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74CB" w:rsidRDefault="00946CBF">
      <w:pPr>
        <w:spacing w:before="9" w:after="958"/>
        <w:ind w:left="5299" w:right="6"/>
        <w:textAlignment w:val="baseline"/>
      </w:pPr>
      <w:bookmarkStart w:id="0" w:name="_GoBack"/>
      <w:bookmarkEnd w:id="0"/>
      <w:r>
        <w:rPr>
          <w:noProof/>
          <w:lang w:val="en-AU" w:eastAsia="en-AU"/>
        </w:rPr>
        <w:drawing>
          <wp:inline distT="0" distB="0" distL="0" distR="0">
            <wp:extent cx="2371725" cy="75882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
                    <a:stretch>
                      <a:fillRect/>
                    </a:stretch>
                  </pic:blipFill>
                  <pic:spPr>
                    <a:xfrm>
                      <a:off x="0" y="0"/>
                      <a:ext cx="2371725" cy="758825"/>
                    </a:xfrm>
                    <a:prstGeom prst="rect">
                      <a:avLst/>
                    </a:prstGeom>
                  </pic:spPr>
                </pic:pic>
              </a:graphicData>
            </a:graphic>
          </wp:inline>
        </w:drawing>
      </w:r>
    </w:p>
    <w:p w:rsidR="007874CB" w:rsidRDefault="00946CBF">
      <w:pPr>
        <w:spacing w:before="2" w:line="250" w:lineRule="exact"/>
        <w:textAlignment w:val="baseline"/>
        <w:rPr>
          <w:rFonts w:ascii="Arial" w:eastAsia="Arial" w:hAnsi="Arial"/>
          <w:color w:val="000000"/>
          <w:spacing w:val="-2"/>
        </w:rPr>
      </w:pPr>
      <w:r>
        <w:rPr>
          <w:rFonts w:ascii="Arial" w:eastAsia="Arial" w:hAnsi="Arial"/>
          <w:color w:val="000000"/>
          <w:spacing w:val="-2"/>
        </w:rPr>
        <w:t>Our ref: 11266971</w:t>
      </w:r>
    </w:p>
    <w:p w:rsidR="007874CB" w:rsidRDefault="00946CBF">
      <w:pPr>
        <w:spacing w:line="250" w:lineRule="exact"/>
        <w:textAlignment w:val="baseline"/>
        <w:rPr>
          <w:rFonts w:ascii="Arial" w:eastAsia="Arial" w:hAnsi="Arial"/>
          <w:color w:val="000000"/>
        </w:rPr>
      </w:pPr>
      <w:r>
        <w:rPr>
          <w:rFonts w:ascii="Arial" w:eastAsia="Arial" w:hAnsi="Arial"/>
          <w:color w:val="000000"/>
        </w:rPr>
        <w:t>Contact officer: Wallace Stark</w:t>
      </w:r>
    </w:p>
    <w:p w:rsidR="007874CB" w:rsidRDefault="00946CBF">
      <w:pPr>
        <w:spacing w:before="4" w:line="251" w:lineRule="exact"/>
        <w:textAlignment w:val="baseline"/>
        <w:rPr>
          <w:rFonts w:ascii="Arial" w:eastAsia="Arial" w:hAnsi="Arial"/>
          <w:color w:val="000000"/>
        </w:rPr>
      </w:pPr>
      <w:r>
        <w:rPr>
          <w:rFonts w:ascii="Arial" w:eastAsia="Arial" w:hAnsi="Arial"/>
          <w:color w:val="000000"/>
        </w:rPr>
        <w:t>Contact phone: (02) 6243 1325</w:t>
      </w:r>
    </w:p>
    <w:p w:rsidR="007874CB" w:rsidRDefault="00946CBF">
      <w:pPr>
        <w:spacing w:before="358" w:line="251" w:lineRule="exact"/>
        <w:textAlignment w:val="baseline"/>
        <w:rPr>
          <w:rFonts w:ascii="Arial" w:eastAsia="Arial" w:hAnsi="Arial"/>
          <w:color w:val="000000"/>
          <w:spacing w:val="-1"/>
        </w:rPr>
      </w:pPr>
      <w:r>
        <w:rPr>
          <w:rFonts w:ascii="Arial" w:eastAsia="Arial" w:hAnsi="Arial"/>
          <w:color w:val="000000"/>
          <w:spacing w:val="-1"/>
        </w:rPr>
        <w:t>10 August 2020</w:t>
      </w:r>
    </w:p>
    <w:p w:rsidR="007874CB" w:rsidRDefault="00946CBF">
      <w:pPr>
        <w:spacing w:before="484" w:line="251" w:lineRule="exact"/>
        <w:textAlignment w:val="baseline"/>
        <w:rPr>
          <w:rFonts w:ascii="Arial" w:eastAsia="Arial" w:hAnsi="Arial"/>
          <w:color w:val="000000"/>
        </w:rPr>
      </w:pPr>
      <w:r>
        <w:rPr>
          <w:rFonts w:ascii="Arial" w:eastAsia="Arial" w:hAnsi="Arial"/>
          <w:color w:val="000000"/>
        </w:rPr>
        <w:t>Governance Project Team Secretariat</w:t>
      </w:r>
    </w:p>
    <w:p w:rsidR="007874CB" w:rsidRDefault="00946CBF">
      <w:pPr>
        <w:spacing w:before="3" w:line="251" w:lineRule="exact"/>
        <w:textAlignment w:val="baseline"/>
        <w:rPr>
          <w:rFonts w:ascii="Arial" w:eastAsia="Arial" w:hAnsi="Arial"/>
          <w:color w:val="000000"/>
        </w:rPr>
      </w:pPr>
      <w:r>
        <w:rPr>
          <w:rFonts w:ascii="Arial" w:eastAsia="Arial" w:hAnsi="Arial"/>
          <w:color w:val="000000"/>
        </w:rPr>
        <w:t>Department of Industry, Science, Energy and Resources</w:t>
      </w:r>
    </w:p>
    <w:p w:rsidR="007874CB" w:rsidRDefault="00946CBF">
      <w:pPr>
        <w:spacing w:before="4" w:line="250" w:lineRule="exact"/>
        <w:textAlignment w:val="baseline"/>
        <w:rPr>
          <w:rFonts w:ascii="Arial" w:eastAsia="Arial" w:hAnsi="Arial"/>
          <w:color w:val="000000"/>
          <w:spacing w:val="-1"/>
        </w:rPr>
      </w:pPr>
      <w:r>
        <w:rPr>
          <w:rFonts w:ascii="Arial" w:eastAsia="Arial" w:hAnsi="Arial"/>
          <w:color w:val="000000"/>
          <w:spacing w:val="-1"/>
        </w:rPr>
        <w:t>GPO 2013</w:t>
      </w:r>
    </w:p>
    <w:p w:rsidR="007874CB" w:rsidRDefault="00946CBF">
      <w:pPr>
        <w:spacing w:line="250" w:lineRule="exact"/>
        <w:textAlignment w:val="baseline"/>
        <w:rPr>
          <w:rFonts w:ascii="Arial" w:eastAsia="Arial" w:hAnsi="Arial"/>
          <w:color w:val="000000"/>
          <w:spacing w:val="-2"/>
        </w:rPr>
      </w:pPr>
      <w:r>
        <w:rPr>
          <w:rFonts w:ascii="Arial" w:eastAsia="Arial" w:hAnsi="Arial"/>
          <w:color w:val="000000"/>
          <w:spacing w:val="-2"/>
        </w:rPr>
        <w:t>CANBERRA ACT 2601</w:t>
      </w:r>
    </w:p>
    <w:p w:rsidR="007874CB" w:rsidRDefault="00946CBF">
      <w:pPr>
        <w:spacing w:before="364" w:line="251" w:lineRule="exact"/>
        <w:textAlignment w:val="baseline"/>
        <w:rPr>
          <w:rFonts w:ascii="Arial" w:eastAsia="Arial" w:hAnsi="Arial"/>
          <w:color w:val="000000"/>
          <w:spacing w:val="-1"/>
        </w:rPr>
      </w:pPr>
      <w:r>
        <w:rPr>
          <w:rFonts w:ascii="Arial" w:eastAsia="Arial" w:hAnsi="Arial"/>
          <w:color w:val="000000"/>
          <w:spacing w:val="-1"/>
        </w:rPr>
        <w:t>To whom it may concern,</w:t>
      </w:r>
    </w:p>
    <w:p w:rsidR="007874CB" w:rsidRDefault="00946CBF">
      <w:pPr>
        <w:spacing w:before="198" w:line="254" w:lineRule="exact"/>
        <w:ind w:right="1080"/>
        <w:textAlignment w:val="baseline"/>
        <w:rPr>
          <w:rFonts w:ascii="Arial" w:eastAsia="Arial" w:hAnsi="Arial"/>
          <w:b/>
          <w:color w:val="000000"/>
        </w:rPr>
      </w:pPr>
      <w:r>
        <w:rPr>
          <w:rFonts w:ascii="Arial" w:eastAsia="Arial" w:hAnsi="Arial"/>
          <w:b/>
          <w:color w:val="000000"/>
        </w:rPr>
        <w:t>COAG Energy Council Proposed Classification of Tiers for the reform of the Australian Energy Regulator Civil Penalty Regime</w:t>
      </w:r>
    </w:p>
    <w:p w:rsidR="007874CB" w:rsidRDefault="00946CBF">
      <w:pPr>
        <w:spacing w:before="205" w:line="250" w:lineRule="exact"/>
        <w:ind w:right="288"/>
        <w:textAlignment w:val="baseline"/>
        <w:rPr>
          <w:rFonts w:ascii="Arial" w:eastAsia="Arial" w:hAnsi="Arial"/>
          <w:color w:val="000000"/>
        </w:rPr>
      </w:pPr>
      <w:r>
        <w:rPr>
          <w:rFonts w:ascii="Arial" w:eastAsia="Arial" w:hAnsi="Arial"/>
          <w:color w:val="000000"/>
        </w:rPr>
        <w:t>Thank you for the opportunity to make a submission on the proposed classification of tiers for the reform of the Australian Energy R</w:t>
      </w:r>
      <w:r>
        <w:rPr>
          <w:rFonts w:ascii="Arial" w:eastAsia="Arial" w:hAnsi="Arial"/>
          <w:color w:val="000000"/>
        </w:rPr>
        <w:t>egulator (AER) civil penalty regime.</w:t>
      </w:r>
    </w:p>
    <w:p w:rsidR="007874CB" w:rsidRDefault="00946CBF">
      <w:pPr>
        <w:spacing w:before="204" w:line="252" w:lineRule="exact"/>
        <w:ind w:right="72"/>
        <w:textAlignment w:val="baseline"/>
        <w:rPr>
          <w:rFonts w:ascii="Arial" w:eastAsia="Arial" w:hAnsi="Arial"/>
          <w:color w:val="000000"/>
        </w:rPr>
      </w:pPr>
      <w:r>
        <w:rPr>
          <w:rFonts w:ascii="Arial" w:eastAsia="Arial" w:hAnsi="Arial"/>
          <w:color w:val="000000"/>
        </w:rPr>
        <w:t>The ACCC notes the overarching purpose of a civil penalty regime is to promote compliance with the law, achieved through the imposition of penalties which are sufficient to deter contravening behaviour.</w:t>
      </w:r>
    </w:p>
    <w:p w:rsidR="007874CB" w:rsidRDefault="00946CBF">
      <w:pPr>
        <w:spacing w:before="209" w:line="252" w:lineRule="exact"/>
        <w:ind w:right="72"/>
        <w:textAlignment w:val="baseline"/>
        <w:rPr>
          <w:rFonts w:ascii="Arial" w:eastAsia="Arial" w:hAnsi="Arial"/>
          <w:color w:val="000000"/>
        </w:rPr>
      </w:pPr>
      <w:r>
        <w:rPr>
          <w:rFonts w:ascii="Arial" w:eastAsia="Arial" w:hAnsi="Arial"/>
          <w:color w:val="000000"/>
        </w:rPr>
        <w:t>The ACCC supports reform of the AER’s civil penalty regime and powers to establish a more flexible and sophisticated penalty regime. The ACCC supports amendment to the National Electricity Law, National Gas Law and National Energy Retail Law (National Ener</w:t>
      </w:r>
      <w:r>
        <w:rPr>
          <w:rFonts w:ascii="Arial" w:eastAsia="Arial" w:hAnsi="Arial"/>
          <w:color w:val="000000"/>
        </w:rPr>
        <w:t xml:space="preserve">gy Laws) to provide for increased civil penalties through the implementation of a tiered penalty structure. The ACCC agrees that increasing the maximum penalties and providing for periodic indexation of those penalties will strengthen and expand the tools </w:t>
      </w:r>
      <w:r>
        <w:rPr>
          <w:rFonts w:ascii="Arial" w:eastAsia="Arial" w:hAnsi="Arial"/>
          <w:color w:val="000000"/>
        </w:rPr>
        <w:t>available to the AER to carry out its role.</w:t>
      </w:r>
    </w:p>
    <w:p w:rsidR="007874CB" w:rsidRDefault="00946CBF">
      <w:pPr>
        <w:spacing w:before="238" w:line="252" w:lineRule="exact"/>
        <w:textAlignment w:val="baseline"/>
        <w:rPr>
          <w:rFonts w:ascii="Arial" w:eastAsia="Arial" w:hAnsi="Arial"/>
          <w:b/>
          <w:color w:val="000000"/>
        </w:rPr>
      </w:pPr>
      <w:r>
        <w:rPr>
          <w:rFonts w:ascii="Arial" w:eastAsia="Arial" w:hAnsi="Arial"/>
          <w:b/>
          <w:color w:val="000000"/>
        </w:rPr>
        <w:t>Civil Penalty Provisions as they relate to the Gas Inquiry</w:t>
      </w:r>
    </w:p>
    <w:p w:rsidR="007874CB" w:rsidRDefault="00946CBF">
      <w:pPr>
        <w:spacing w:before="202" w:line="253" w:lineRule="exact"/>
        <w:ind w:right="72"/>
        <w:textAlignment w:val="baseline"/>
        <w:rPr>
          <w:rFonts w:ascii="Arial" w:eastAsia="Arial" w:hAnsi="Arial"/>
          <w:color w:val="000000"/>
        </w:rPr>
      </w:pPr>
      <w:r>
        <w:rPr>
          <w:rFonts w:ascii="Arial" w:eastAsia="Arial" w:hAnsi="Arial"/>
          <w:color w:val="000000"/>
        </w:rPr>
        <w:t>One of the objectives of the ACCC’s Gas Inquiry 2017-2025 is to improve the transparency of gas supply arrangements and support the efficient operation o</w:t>
      </w:r>
      <w:r>
        <w:rPr>
          <w:rFonts w:ascii="Arial" w:eastAsia="Arial" w:hAnsi="Arial"/>
          <w:color w:val="000000"/>
        </w:rPr>
        <w:t>f the market. To achieve this, the ACCC monitors the quality of the information reported by pipeline operators and the timeliness and outcomes of negotiations on pipelines.</w:t>
      </w:r>
    </w:p>
    <w:p w:rsidR="007874CB" w:rsidRDefault="00946CBF">
      <w:pPr>
        <w:spacing w:before="200" w:line="253" w:lineRule="exact"/>
        <w:ind w:right="72"/>
        <w:textAlignment w:val="baseline"/>
        <w:rPr>
          <w:rFonts w:ascii="Arial" w:eastAsia="Arial" w:hAnsi="Arial"/>
          <w:color w:val="000000"/>
        </w:rPr>
      </w:pPr>
      <w:r>
        <w:rPr>
          <w:rFonts w:ascii="Arial" w:eastAsia="Arial" w:hAnsi="Arial"/>
          <w:color w:val="000000"/>
        </w:rPr>
        <w:t>In 2018 the ACCC and Gas Market Reform Group (GMRG) made a series of joint recommen</w:t>
      </w:r>
      <w:r>
        <w:rPr>
          <w:rFonts w:ascii="Arial" w:eastAsia="Arial" w:hAnsi="Arial"/>
          <w:color w:val="000000"/>
        </w:rPr>
        <w:t>dations for measures to improve the transparency of the gas market. This included increased penalties for non-compliance with reporting obligations, to be progressed through the civil penalties review. The ACCC notes the proposed classification of tiers fo</w:t>
      </w:r>
      <w:r>
        <w:rPr>
          <w:rFonts w:ascii="Arial" w:eastAsia="Arial" w:hAnsi="Arial"/>
          <w:color w:val="000000"/>
        </w:rPr>
        <w:t>r civil penalty provisions relating to non-compliance with reporting obligations are consistent with the joint recommendations made by the ACCC and GMRG in 2018.</w:t>
      </w:r>
    </w:p>
    <w:p w:rsidR="007874CB" w:rsidRDefault="007874CB">
      <w:pPr>
        <w:sectPr w:rsidR="007874CB">
          <w:pgSz w:w="11909" w:h="16838"/>
          <w:pgMar w:top="980" w:right="1429" w:bottom="2042" w:left="1440" w:header="720" w:footer="720" w:gutter="0"/>
          <w:cols w:space="720"/>
        </w:sectPr>
      </w:pPr>
    </w:p>
    <w:p w:rsidR="007874CB" w:rsidRDefault="00946CBF">
      <w:pPr>
        <w:spacing w:before="8" w:line="253" w:lineRule="exact"/>
        <w:ind w:right="72"/>
        <w:textAlignment w:val="baseline"/>
        <w:rPr>
          <w:rFonts w:ascii="Arial" w:eastAsia="Arial" w:hAnsi="Arial"/>
          <w:color w:val="000000"/>
        </w:rPr>
      </w:pPr>
      <w:r>
        <w:rPr>
          <w:rFonts w:ascii="Arial" w:eastAsia="Arial" w:hAnsi="Arial"/>
          <w:color w:val="000000"/>
        </w:rPr>
        <w:lastRenderedPageBreak/>
        <w:t xml:space="preserve">As part of the Gas Inquiry July 2019 Interim Report the ACCC conducted a review of the operation of Part 23 of the National Gas Rules (NGRs). Part 23 of the NGRs was introduced in August 2017 to reduce the information asymmetry and imbalance in bargaining </w:t>
      </w:r>
      <w:r>
        <w:rPr>
          <w:rFonts w:ascii="Arial" w:eastAsia="Arial" w:hAnsi="Arial"/>
          <w:color w:val="000000"/>
        </w:rPr>
        <w:t>power shippers can face when negotiating with non-scheme pipeline operators.</w:t>
      </w:r>
    </w:p>
    <w:p w:rsidR="007874CB" w:rsidRDefault="00946CBF">
      <w:pPr>
        <w:spacing w:before="253" w:line="253" w:lineRule="exact"/>
        <w:ind w:right="72"/>
        <w:textAlignment w:val="baseline"/>
        <w:rPr>
          <w:rFonts w:ascii="Arial" w:eastAsia="Arial" w:hAnsi="Arial"/>
          <w:color w:val="000000"/>
        </w:rPr>
      </w:pPr>
      <w:r>
        <w:rPr>
          <w:rFonts w:ascii="Arial" w:eastAsia="Arial" w:hAnsi="Arial"/>
          <w:color w:val="000000"/>
        </w:rPr>
        <w:t>The purpose of the review was to determine whether key elements of Part 23 were working as intended and the effect its introduction had on pipeline investment. As part of the revi</w:t>
      </w:r>
      <w:r>
        <w:rPr>
          <w:rFonts w:ascii="Arial" w:eastAsia="Arial" w:hAnsi="Arial"/>
          <w:color w:val="000000"/>
        </w:rPr>
        <w:t>ew the ACCC noted it was concerned that some pipeline operators did not appear to be taking the information disclosure obligations under Part 23 seriously and were continuing to exploit information asymmetries to the detriment of shippers. With this in min</w:t>
      </w:r>
      <w:r>
        <w:rPr>
          <w:rFonts w:ascii="Arial" w:eastAsia="Arial" w:hAnsi="Arial"/>
          <w:color w:val="000000"/>
        </w:rPr>
        <w:t>d, the ACCC has provided feedback in the attached table.</w:t>
      </w:r>
    </w:p>
    <w:p w:rsidR="007874CB" w:rsidRDefault="00946CBF">
      <w:pPr>
        <w:spacing w:before="199" w:after="26" w:line="252" w:lineRule="exact"/>
        <w:textAlignment w:val="baseline"/>
        <w:rPr>
          <w:rFonts w:ascii="Arial" w:eastAsia="Arial" w:hAnsi="Arial"/>
          <w:color w:val="000000"/>
        </w:rPr>
      </w:pPr>
      <w:r>
        <w:rPr>
          <w:rFonts w:ascii="Arial" w:eastAsia="Arial" w:hAnsi="Arial"/>
          <w:color w:val="000000"/>
        </w:rPr>
        <w:t>Yours sincerely</w:t>
      </w:r>
    </w:p>
    <w:p w:rsidR="007874CB" w:rsidRDefault="00946CBF">
      <w:pPr>
        <w:spacing w:after="190"/>
        <w:ind w:left="140" w:right="7397"/>
        <w:textAlignment w:val="baseline"/>
      </w:pPr>
      <w:r>
        <w:rPr>
          <w:noProof/>
          <w:lang w:val="en-AU" w:eastAsia="en-AU"/>
        </w:rPr>
        <w:drawing>
          <wp:inline distT="0" distB="0" distL="0" distR="0">
            <wp:extent cx="954405" cy="63436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5"/>
                    <a:stretch>
                      <a:fillRect/>
                    </a:stretch>
                  </pic:blipFill>
                  <pic:spPr>
                    <a:xfrm>
                      <a:off x="0" y="0"/>
                      <a:ext cx="954405" cy="634365"/>
                    </a:xfrm>
                    <a:prstGeom prst="rect">
                      <a:avLst/>
                    </a:prstGeom>
                  </pic:spPr>
                </pic:pic>
              </a:graphicData>
            </a:graphic>
          </wp:inline>
        </w:drawing>
      </w:r>
    </w:p>
    <w:p w:rsidR="007874CB" w:rsidRDefault="00946CBF">
      <w:pPr>
        <w:spacing w:before="2" w:line="252" w:lineRule="exact"/>
        <w:textAlignment w:val="baseline"/>
        <w:rPr>
          <w:rFonts w:ascii="Arial" w:eastAsia="Arial" w:hAnsi="Arial"/>
          <w:color w:val="000000"/>
          <w:spacing w:val="-1"/>
        </w:rPr>
      </w:pPr>
      <w:r>
        <w:rPr>
          <w:rFonts w:ascii="Arial" w:eastAsia="Arial" w:hAnsi="Arial"/>
          <w:color w:val="000000"/>
          <w:spacing w:val="-1"/>
        </w:rPr>
        <w:t>Nicole Ross</w:t>
      </w:r>
    </w:p>
    <w:p w:rsidR="007874CB" w:rsidRDefault="00946CBF">
      <w:pPr>
        <w:spacing w:line="254" w:lineRule="exact"/>
        <w:textAlignment w:val="baseline"/>
        <w:rPr>
          <w:rFonts w:ascii="Arial" w:eastAsia="Arial" w:hAnsi="Arial"/>
          <w:color w:val="000000"/>
        </w:rPr>
      </w:pPr>
      <w:r>
        <w:rPr>
          <w:noProof/>
          <w:lang w:val="en-AU" w:eastAsia="en-AU"/>
        </w:rPr>
        <mc:AlternateContent>
          <mc:Choice Requires="wps">
            <w:drawing>
              <wp:anchor distT="0" distB="0" distL="0" distR="0" simplePos="0" relativeHeight="251657728" behindDoc="1" locked="0" layoutInCell="1" allowOverlap="1">
                <wp:simplePos x="0" y="0"/>
                <wp:positionH relativeFrom="page">
                  <wp:posOffset>6544945</wp:posOffset>
                </wp:positionH>
                <wp:positionV relativeFrom="page">
                  <wp:posOffset>10045700</wp:posOffset>
                </wp:positionV>
                <wp:extent cx="138430" cy="124460"/>
                <wp:effectExtent l="0" t="0" r="0" b="0"/>
                <wp:wrapSquare wrapText="bothSides"/>
                <wp:docPr id="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74CB" w:rsidRDefault="00946CBF">
                            <w:pPr>
                              <w:spacing w:line="192" w:lineRule="exact"/>
                              <w:textAlignment w:val="baseline"/>
                              <w:rPr>
                                <w:rFonts w:ascii="Arial" w:eastAsia="Arial" w:hAnsi="Arial"/>
                                <w:color w:val="000000"/>
                                <w:sz w:val="18"/>
                              </w:rPr>
                            </w:pPr>
                            <w:r>
                              <w:rPr>
                                <w:rFonts w:ascii="Arial" w:eastAsia="Arial" w:hAnsi="Arial"/>
                                <w:color w:val="000000"/>
                                <w:sz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margin-left:515.35pt;margin-top:791pt;width:10.9pt;height:9.8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" filled="f" stroked="f">
                <v:textbox inset="0,0,0,0">
                  <w:txbxContent>
                    <w:p w:rsidR="007874CB" w:rsidRDefault="00946CBF">
                      <w:pPr>
                        <w:spacing w:line="192" w:lineRule="exact"/>
                        <w:textAlignment w:val="baseline"/>
                        <w:rPr>
                          <w:rFonts w:ascii="Arial" w:eastAsia="Arial" w:hAnsi="Arial"/>
                          <w:color w:val="000000"/>
                          <w:sz w:val="18"/>
                        </w:rPr>
                      </w:pPr>
                      <w:r>
                        <w:rPr>
                          <w:rFonts w:ascii="Arial" w:eastAsia="Arial" w:hAnsi="Arial"/>
                          <w:color w:val="000000"/>
                          <w:sz w:val="18"/>
                        </w:rPr>
                        <w:t>2</w:t>
                      </w:r>
                    </w:p>
                  </w:txbxContent>
                </v:textbox>
                <w10:wrap type="square" anchorx="page" anchory="page"/>
              </v:shape>
            </w:pict>
          </mc:Fallback>
        </mc:AlternateContent>
      </w:r>
      <w:r>
        <w:rPr>
          <w:rFonts w:ascii="Arial" w:eastAsia="Arial" w:hAnsi="Arial"/>
          <w:color w:val="000000"/>
        </w:rPr>
        <w:t xml:space="preserve">General Manager </w:t>
      </w:r>
      <w:r>
        <w:rPr>
          <w:rFonts w:ascii="Arial" w:eastAsia="Arial" w:hAnsi="Arial"/>
          <w:color w:val="000000"/>
        </w:rPr>
        <w:br/>
        <w:t>ACCC Gas Inquiry</w:t>
      </w:r>
    </w:p>
    <w:p w:rsidR="007874CB" w:rsidRDefault="007874CB">
      <w:pPr>
        <w:sectPr w:rsidR="007874CB">
          <w:pgSz w:w="11909" w:h="16838"/>
          <w:pgMar w:top="1440" w:right="1478" w:bottom="622" w:left="1391" w:header="720" w:footer="720" w:gutter="0"/>
          <w:cols w:space="720"/>
        </w:sectPr>
      </w:pPr>
    </w:p>
    <w:p w:rsidR="007874CB" w:rsidRDefault="00946CBF">
      <w:pPr>
        <w:spacing w:after="98" w:line="387" w:lineRule="exact"/>
        <w:ind w:left="72"/>
        <w:textAlignment w:val="baseline"/>
        <w:rPr>
          <w:rFonts w:ascii="Arial" w:eastAsia="Arial" w:hAnsi="Arial"/>
          <w:b/>
          <w:color w:val="000000"/>
          <w:sz w:val="24"/>
        </w:rPr>
      </w:pPr>
      <w:r>
        <w:rPr>
          <w:rFonts w:ascii="Arial" w:eastAsia="Arial" w:hAnsi="Arial"/>
          <w:b/>
          <w:color w:val="000000"/>
          <w:sz w:val="24"/>
        </w:rPr>
        <w:lastRenderedPageBreak/>
        <w:t xml:space="preserve">Attachment: Feedback on Proposed Civil Penalty Provisions </w:t>
      </w:r>
      <w:r>
        <w:rPr>
          <w:rFonts w:ascii="Arial" w:eastAsia="Arial" w:hAnsi="Arial"/>
          <w:b/>
          <w:color w:val="000000"/>
          <w:sz w:val="24"/>
        </w:rPr>
        <w:br/>
      </w:r>
      <w:r>
        <w:rPr>
          <w:rFonts w:ascii="Arial" w:eastAsia="Arial" w:hAnsi="Arial"/>
          <w:b/>
          <w:color w:val="000000"/>
        </w:rPr>
        <w:t>Current Proposed Civil Penalty Provisions</w:t>
      </w:r>
    </w:p>
    <w:tbl>
      <w:tblPr>
        <w:tblW w:w="0" w:type="auto"/>
        <w:tblLayout w:type="fixed"/>
        <w:tblCellMar>
          <w:left w:w="0" w:type="dxa"/>
          <w:right w:w="0" w:type="dxa"/>
        </w:tblCellMar>
        <w:tblLook w:val="04A0" w:firstRow="1" w:lastRow="0" w:firstColumn="1" w:lastColumn="0" w:noHBand="0" w:noVBand="1"/>
      </w:tblPr>
      <w:tblGrid>
        <w:gridCol w:w="1689"/>
        <w:gridCol w:w="2136"/>
        <w:gridCol w:w="369"/>
        <w:gridCol w:w="1805"/>
        <w:gridCol w:w="1805"/>
        <w:gridCol w:w="2105"/>
      </w:tblGrid>
      <w:tr w:rsidR="007874CB">
        <w:tblPrEx>
          <w:tblCellMar>
            <w:top w:w="0" w:type="dxa"/>
            <w:bottom w:w="0" w:type="dxa"/>
          </w:tblCellMar>
        </w:tblPrEx>
        <w:trPr>
          <w:trHeight w:hRule="exact" w:val="627"/>
        </w:trPr>
        <w:tc>
          <w:tcPr>
            <w:tcW w:w="1689" w:type="dxa"/>
            <w:tcBorders>
              <w:top w:val="none" w:sz="0" w:space="0" w:color="020000"/>
              <w:left w:val="none" w:sz="0" w:space="0" w:color="020000"/>
              <w:bottom w:val="single" w:sz="13" w:space="0" w:color="000000"/>
              <w:right w:val="single" w:sz="5" w:space="0" w:color="000000"/>
            </w:tcBorders>
          </w:tcPr>
          <w:p w:rsidR="007874CB" w:rsidRDefault="00946CBF">
            <w:pPr>
              <w:spacing w:before="112" w:after="3" w:line="254" w:lineRule="exact"/>
              <w:ind w:left="108"/>
              <w:textAlignment w:val="baseline"/>
              <w:rPr>
                <w:rFonts w:ascii="Arial" w:eastAsia="Arial" w:hAnsi="Arial"/>
                <w:b/>
                <w:color w:val="000000"/>
              </w:rPr>
            </w:pPr>
            <w:r>
              <w:rPr>
                <w:rFonts w:ascii="Arial" w:eastAsia="Arial" w:hAnsi="Arial"/>
                <w:b/>
                <w:color w:val="000000"/>
              </w:rPr>
              <w:t>Civil Penalty Provision</w:t>
            </w:r>
          </w:p>
        </w:tc>
        <w:tc>
          <w:tcPr>
            <w:tcW w:w="2136" w:type="dxa"/>
            <w:tcBorders>
              <w:top w:val="none" w:sz="0" w:space="0" w:color="020000"/>
              <w:left w:val="single" w:sz="5" w:space="0" w:color="000000"/>
              <w:bottom w:val="single" w:sz="13" w:space="0" w:color="000000"/>
              <w:right w:val="none" w:sz="0" w:space="0" w:color="020000"/>
            </w:tcBorders>
            <w:vAlign w:val="center"/>
          </w:tcPr>
          <w:p w:rsidR="007874CB" w:rsidRDefault="00946CBF">
            <w:pPr>
              <w:spacing w:before="181" w:after="190" w:line="252" w:lineRule="exact"/>
              <w:ind w:left="105"/>
              <w:textAlignment w:val="baseline"/>
              <w:rPr>
                <w:rFonts w:ascii="Arial" w:eastAsia="Arial" w:hAnsi="Arial"/>
                <w:b/>
                <w:color w:val="000000"/>
              </w:rPr>
            </w:pPr>
            <w:r>
              <w:rPr>
                <w:rFonts w:ascii="Arial" w:eastAsia="Arial" w:hAnsi="Arial"/>
                <w:b/>
                <w:color w:val="000000"/>
              </w:rPr>
              <w:t>Conduct</w:t>
            </w:r>
          </w:p>
        </w:tc>
        <w:tc>
          <w:tcPr>
            <w:tcW w:w="369" w:type="dxa"/>
            <w:tcBorders>
              <w:top w:val="none" w:sz="0" w:space="0" w:color="020000"/>
              <w:left w:val="none" w:sz="0" w:space="0" w:color="020000"/>
              <w:bottom w:val="single" w:sz="13" w:space="0" w:color="000000"/>
              <w:right w:val="single" w:sz="5" w:space="0" w:color="00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1805" w:type="dxa"/>
            <w:tcBorders>
              <w:top w:val="none" w:sz="0" w:space="0" w:color="020000"/>
              <w:left w:val="single" w:sz="5" w:space="0" w:color="000000"/>
              <w:bottom w:val="single" w:sz="13" w:space="0" w:color="000000"/>
              <w:right w:val="single" w:sz="5" w:space="0" w:color="000000"/>
            </w:tcBorders>
            <w:vAlign w:val="center"/>
          </w:tcPr>
          <w:p w:rsidR="007874CB" w:rsidRDefault="00946CBF">
            <w:pPr>
              <w:spacing w:before="181" w:after="190" w:line="252" w:lineRule="exact"/>
              <w:ind w:left="111"/>
              <w:textAlignment w:val="baseline"/>
              <w:rPr>
                <w:rFonts w:ascii="Arial" w:eastAsia="Arial" w:hAnsi="Arial"/>
                <w:b/>
                <w:color w:val="000000"/>
              </w:rPr>
            </w:pPr>
            <w:r>
              <w:rPr>
                <w:rFonts w:ascii="Arial" w:eastAsia="Arial" w:hAnsi="Arial"/>
                <w:b/>
                <w:color w:val="000000"/>
              </w:rPr>
              <w:t>Proposed Tier</w:t>
            </w:r>
          </w:p>
        </w:tc>
        <w:tc>
          <w:tcPr>
            <w:tcW w:w="1805" w:type="dxa"/>
            <w:tcBorders>
              <w:top w:val="none" w:sz="0" w:space="0" w:color="020000"/>
              <w:left w:val="single" w:sz="5" w:space="0" w:color="000000"/>
              <w:bottom w:val="single" w:sz="13" w:space="0" w:color="000000"/>
              <w:right w:val="single" w:sz="5" w:space="0" w:color="000000"/>
            </w:tcBorders>
          </w:tcPr>
          <w:p w:rsidR="007874CB" w:rsidRDefault="00946CBF">
            <w:pPr>
              <w:spacing w:before="58" w:after="65" w:line="250" w:lineRule="exact"/>
              <w:ind w:left="108"/>
              <w:textAlignment w:val="baseline"/>
              <w:rPr>
                <w:rFonts w:ascii="Arial" w:eastAsia="Arial" w:hAnsi="Arial"/>
                <w:b/>
                <w:color w:val="000000"/>
              </w:rPr>
            </w:pPr>
            <w:r>
              <w:rPr>
                <w:rFonts w:ascii="Arial" w:eastAsia="Arial" w:hAnsi="Arial"/>
                <w:b/>
                <w:color w:val="000000"/>
              </w:rPr>
              <w:t xml:space="preserve">Matrix </w:t>
            </w:r>
            <w:r>
              <w:rPr>
                <w:rFonts w:ascii="Arial" w:eastAsia="Arial" w:hAnsi="Arial"/>
                <w:b/>
                <w:color w:val="000000"/>
              </w:rPr>
              <w:br/>
              <w:t>Category</w:t>
            </w:r>
          </w:p>
        </w:tc>
        <w:tc>
          <w:tcPr>
            <w:tcW w:w="2105" w:type="dxa"/>
            <w:tcBorders>
              <w:top w:val="none" w:sz="0" w:space="0" w:color="020000"/>
              <w:left w:val="single" w:sz="5" w:space="0" w:color="000000"/>
              <w:bottom w:val="single" w:sz="13" w:space="0" w:color="000000"/>
              <w:right w:val="none" w:sz="0" w:space="0" w:color="020000"/>
            </w:tcBorders>
            <w:vAlign w:val="center"/>
          </w:tcPr>
          <w:p w:rsidR="007874CB" w:rsidRDefault="00946CBF">
            <w:pPr>
              <w:spacing w:before="181" w:after="190" w:line="252" w:lineRule="exact"/>
              <w:ind w:left="115"/>
              <w:textAlignment w:val="baseline"/>
              <w:rPr>
                <w:rFonts w:ascii="Arial" w:eastAsia="Arial" w:hAnsi="Arial"/>
                <w:b/>
                <w:color w:val="000000"/>
              </w:rPr>
            </w:pPr>
            <w:r>
              <w:rPr>
                <w:rFonts w:ascii="Arial" w:eastAsia="Arial" w:hAnsi="Arial"/>
                <w:b/>
                <w:color w:val="000000"/>
              </w:rPr>
              <w:t>Sub classification</w:t>
            </w:r>
          </w:p>
        </w:tc>
      </w:tr>
      <w:tr w:rsidR="007874CB">
        <w:tblPrEx>
          <w:tblCellMar>
            <w:top w:w="0" w:type="dxa"/>
            <w:bottom w:w="0" w:type="dxa"/>
          </w:tblCellMar>
        </w:tblPrEx>
        <w:trPr>
          <w:trHeight w:hRule="exact" w:val="543"/>
        </w:trPr>
        <w:tc>
          <w:tcPr>
            <w:tcW w:w="3825" w:type="dxa"/>
            <w:gridSpan w:val="2"/>
            <w:tcBorders>
              <w:top w:val="single" w:sz="13" w:space="0" w:color="000000"/>
              <w:left w:val="none" w:sz="0" w:space="0" w:color="020000"/>
              <w:bottom w:val="single" w:sz="5" w:space="0" w:color="000000"/>
              <w:right w:val="none" w:sz="0" w:space="0" w:color="02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6084" w:type="dxa"/>
            <w:gridSpan w:val="4"/>
            <w:tcBorders>
              <w:top w:val="single" w:sz="13" w:space="0" w:color="000000"/>
              <w:left w:val="none" w:sz="0" w:space="0" w:color="020000"/>
              <w:bottom w:val="single" w:sz="5" w:space="0" w:color="000000"/>
              <w:right w:val="none" w:sz="0" w:space="0" w:color="020000"/>
            </w:tcBorders>
            <w:vAlign w:val="center"/>
          </w:tcPr>
          <w:p w:rsidR="007874CB" w:rsidRDefault="00946CBF">
            <w:pPr>
              <w:spacing w:before="145" w:after="131" w:line="252" w:lineRule="exact"/>
              <w:ind w:right="3910"/>
              <w:jc w:val="right"/>
              <w:textAlignment w:val="baseline"/>
              <w:rPr>
                <w:rFonts w:ascii="Arial" w:eastAsia="Arial" w:hAnsi="Arial"/>
                <w:b/>
                <w:color w:val="000000"/>
              </w:rPr>
            </w:pPr>
            <w:r>
              <w:rPr>
                <w:rFonts w:ascii="Arial" w:eastAsia="Arial" w:hAnsi="Arial"/>
                <w:b/>
                <w:color w:val="000000"/>
              </w:rPr>
              <w:t>National Gas Rules</w:t>
            </w:r>
          </w:p>
        </w:tc>
      </w:tr>
      <w:tr w:rsidR="007874CB">
        <w:tblPrEx>
          <w:tblCellMar>
            <w:top w:w="0" w:type="dxa"/>
            <w:bottom w:w="0" w:type="dxa"/>
          </w:tblCellMar>
        </w:tblPrEx>
        <w:trPr>
          <w:trHeight w:hRule="exact" w:val="523"/>
        </w:trPr>
        <w:tc>
          <w:tcPr>
            <w:tcW w:w="1689" w:type="dxa"/>
            <w:tcBorders>
              <w:top w:val="single" w:sz="5" w:space="0" w:color="000000"/>
              <w:left w:val="none" w:sz="0" w:space="0" w:color="020000"/>
              <w:bottom w:val="none" w:sz="0" w:space="0" w:color="020000"/>
              <w:right w:val="single" w:sz="5" w:space="0" w:color="000000"/>
            </w:tcBorders>
            <w:vAlign w:val="center"/>
          </w:tcPr>
          <w:p w:rsidR="007874CB" w:rsidRDefault="00946CBF">
            <w:pPr>
              <w:spacing w:before="134" w:after="132" w:line="252" w:lineRule="exact"/>
              <w:ind w:left="105"/>
              <w:textAlignment w:val="baseline"/>
              <w:rPr>
                <w:rFonts w:ascii="Arial" w:eastAsia="Arial" w:hAnsi="Arial"/>
                <w:b/>
                <w:color w:val="000000"/>
              </w:rPr>
            </w:pPr>
            <w:r>
              <w:rPr>
                <w:rFonts w:ascii="Arial" w:eastAsia="Arial" w:hAnsi="Arial"/>
                <w:b/>
                <w:color w:val="000000"/>
              </w:rPr>
              <w:t>Rule 562(3)</w:t>
            </w:r>
          </w:p>
        </w:tc>
        <w:tc>
          <w:tcPr>
            <w:tcW w:w="2136" w:type="dxa"/>
            <w:tcBorders>
              <w:top w:val="single" w:sz="5" w:space="0" w:color="000000"/>
              <w:left w:val="single" w:sz="5" w:space="0" w:color="000000"/>
              <w:bottom w:val="none" w:sz="0" w:space="0" w:color="020000"/>
              <w:right w:val="none" w:sz="0" w:space="0" w:color="020000"/>
            </w:tcBorders>
          </w:tcPr>
          <w:p w:rsidR="007874CB" w:rsidRDefault="00946CBF">
            <w:pPr>
              <w:spacing w:line="251" w:lineRule="exact"/>
              <w:ind w:left="108"/>
              <w:textAlignment w:val="baseline"/>
              <w:rPr>
                <w:rFonts w:ascii="Arial" w:eastAsia="Arial" w:hAnsi="Arial"/>
                <w:color w:val="000000"/>
              </w:rPr>
            </w:pPr>
            <w:r>
              <w:rPr>
                <w:rFonts w:ascii="Arial" w:eastAsia="Arial" w:hAnsi="Arial"/>
                <w:color w:val="000000"/>
              </w:rPr>
              <w:t>Access negotiation information</w:t>
            </w:r>
          </w:p>
        </w:tc>
        <w:tc>
          <w:tcPr>
            <w:tcW w:w="369" w:type="dxa"/>
            <w:tcBorders>
              <w:top w:val="single" w:sz="5" w:space="0" w:color="000000"/>
              <w:left w:val="none" w:sz="0" w:space="0" w:color="020000"/>
              <w:bottom w:val="none" w:sz="0" w:space="0" w:color="020000"/>
              <w:right w:val="single" w:sz="5" w:space="0" w:color="00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1805" w:type="dxa"/>
            <w:tcBorders>
              <w:top w:val="single" w:sz="5" w:space="0" w:color="000000"/>
              <w:left w:val="single" w:sz="5" w:space="0" w:color="000000"/>
              <w:bottom w:val="none" w:sz="0" w:space="0" w:color="020000"/>
              <w:right w:val="single" w:sz="5" w:space="0" w:color="000000"/>
            </w:tcBorders>
          </w:tcPr>
          <w:p w:rsidR="007874CB" w:rsidRDefault="00946CBF">
            <w:pPr>
              <w:spacing w:after="252" w:line="253" w:lineRule="exact"/>
              <w:ind w:left="111"/>
              <w:textAlignment w:val="baseline"/>
              <w:rPr>
                <w:rFonts w:ascii="Arial" w:eastAsia="Arial" w:hAnsi="Arial"/>
                <w:color w:val="000000"/>
              </w:rPr>
            </w:pPr>
            <w:r>
              <w:rPr>
                <w:rFonts w:ascii="Arial" w:eastAsia="Arial" w:hAnsi="Arial"/>
                <w:color w:val="000000"/>
              </w:rPr>
              <w:t>Tier 3</w:t>
            </w:r>
          </w:p>
        </w:tc>
        <w:tc>
          <w:tcPr>
            <w:tcW w:w="1805" w:type="dxa"/>
            <w:tcBorders>
              <w:top w:val="single" w:sz="5" w:space="0" w:color="000000"/>
              <w:left w:val="single" w:sz="5" w:space="0" w:color="000000"/>
              <w:bottom w:val="none" w:sz="0" w:space="0" w:color="020000"/>
              <w:right w:val="single" w:sz="5" w:space="0" w:color="000000"/>
            </w:tcBorders>
          </w:tcPr>
          <w:p w:rsidR="007874CB" w:rsidRDefault="00946CBF">
            <w:pPr>
              <w:spacing w:after="252" w:line="253" w:lineRule="exact"/>
              <w:ind w:left="115"/>
              <w:textAlignment w:val="baseline"/>
              <w:rPr>
                <w:rFonts w:ascii="Arial" w:eastAsia="Arial" w:hAnsi="Arial"/>
                <w:color w:val="000000"/>
              </w:rPr>
            </w:pPr>
            <w:r>
              <w:rPr>
                <w:rFonts w:ascii="Arial" w:eastAsia="Arial" w:hAnsi="Arial"/>
                <w:color w:val="000000"/>
              </w:rPr>
              <w:t>-</w:t>
            </w:r>
          </w:p>
        </w:tc>
        <w:tc>
          <w:tcPr>
            <w:tcW w:w="2105" w:type="dxa"/>
            <w:tcBorders>
              <w:top w:val="single" w:sz="5" w:space="0" w:color="000000"/>
              <w:left w:val="single" w:sz="5" w:space="0" w:color="000000"/>
              <w:bottom w:val="none" w:sz="0" w:space="0" w:color="020000"/>
              <w:right w:val="none" w:sz="0" w:space="0" w:color="020000"/>
            </w:tcBorders>
          </w:tcPr>
          <w:p w:rsidR="007874CB" w:rsidRDefault="00946CBF">
            <w:pPr>
              <w:spacing w:after="252" w:line="253" w:lineRule="exact"/>
              <w:ind w:left="115"/>
              <w:textAlignment w:val="baseline"/>
              <w:rPr>
                <w:rFonts w:ascii="Arial" w:eastAsia="Arial" w:hAnsi="Arial"/>
                <w:color w:val="000000"/>
              </w:rPr>
            </w:pPr>
            <w:r>
              <w:rPr>
                <w:rFonts w:ascii="Arial" w:eastAsia="Arial" w:hAnsi="Arial"/>
                <w:color w:val="000000"/>
              </w:rPr>
              <w:t>-</w:t>
            </w:r>
          </w:p>
        </w:tc>
      </w:tr>
    </w:tbl>
    <w:p w:rsidR="007874CB" w:rsidRDefault="00946CBF">
      <w:pPr>
        <w:spacing w:before="2" w:after="89" w:line="252" w:lineRule="exact"/>
        <w:ind w:left="144"/>
        <w:textAlignment w:val="baseline"/>
        <w:rPr>
          <w:rFonts w:ascii="Arial" w:eastAsia="Arial" w:hAnsi="Arial"/>
          <w:b/>
          <w:color w:val="000000"/>
        </w:rPr>
      </w:pPr>
      <w:r>
        <w:rPr>
          <w:rFonts w:ascii="Arial" w:eastAsia="Arial" w:hAnsi="Arial"/>
          <w:b/>
          <w:color w:val="000000"/>
        </w:rPr>
        <w:t>ACCC Proposed Civil Penalty Provisions</w:t>
      </w:r>
    </w:p>
    <w:tbl>
      <w:tblPr>
        <w:tblW w:w="0" w:type="auto"/>
        <w:tblInd w:w="14" w:type="dxa"/>
        <w:tblLayout w:type="fixed"/>
        <w:tblCellMar>
          <w:left w:w="0" w:type="dxa"/>
          <w:right w:w="0" w:type="dxa"/>
        </w:tblCellMar>
        <w:tblLook w:val="04A0" w:firstRow="1" w:lastRow="0" w:firstColumn="1" w:lastColumn="0" w:noHBand="0" w:noVBand="1"/>
      </w:tblPr>
      <w:tblGrid>
        <w:gridCol w:w="1709"/>
        <w:gridCol w:w="2505"/>
        <w:gridCol w:w="1805"/>
        <w:gridCol w:w="1805"/>
        <w:gridCol w:w="2213"/>
        <w:gridCol w:w="4401"/>
      </w:tblGrid>
      <w:tr w:rsidR="007874CB">
        <w:tblPrEx>
          <w:tblCellMar>
            <w:top w:w="0" w:type="dxa"/>
            <w:bottom w:w="0" w:type="dxa"/>
          </w:tblCellMar>
        </w:tblPrEx>
        <w:trPr>
          <w:trHeight w:hRule="exact" w:val="653"/>
        </w:trPr>
        <w:tc>
          <w:tcPr>
            <w:tcW w:w="1709" w:type="dxa"/>
            <w:tcBorders>
              <w:top w:val="single" w:sz="5" w:space="0" w:color="000000"/>
              <w:left w:val="single" w:sz="5" w:space="0" w:color="000000"/>
              <w:bottom w:val="single" w:sz="13" w:space="0" w:color="000000"/>
              <w:right w:val="single" w:sz="5" w:space="0" w:color="000000"/>
            </w:tcBorders>
          </w:tcPr>
          <w:p w:rsidR="007874CB" w:rsidRDefault="00946CBF">
            <w:pPr>
              <w:spacing w:before="137" w:after="7" w:line="254" w:lineRule="exact"/>
              <w:ind w:left="108"/>
              <w:textAlignment w:val="baseline"/>
              <w:rPr>
                <w:rFonts w:ascii="Arial" w:eastAsia="Arial" w:hAnsi="Arial"/>
                <w:b/>
                <w:color w:val="000000"/>
              </w:rPr>
            </w:pPr>
            <w:r>
              <w:rPr>
                <w:rFonts w:ascii="Arial" w:eastAsia="Arial" w:hAnsi="Arial"/>
                <w:b/>
                <w:color w:val="000000"/>
              </w:rPr>
              <w:t>Civil Penalty Provision</w:t>
            </w:r>
          </w:p>
        </w:tc>
        <w:tc>
          <w:tcPr>
            <w:tcW w:w="2505" w:type="dxa"/>
            <w:tcBorders>
              <w:top w:val="single" w:sz="5" w:space="0" w:color="000000"/>
              <w:left w:val="single" w:sz="5" w:space="0" w:color="000000"/>
              <w:bottom w:val="single" w:sz="13" w:space="0" w:color="000000"/>
              <w:right w:val="single" w:sz="5" w:space="0" w:color="000000"/>
            </w:tcBorders>
            <w:vAlign w:val="center"/>
          </w:tcPr>
          <w:p w:rsidR="007874CB" w:rsidRDefault="00946CBF">
            <w:pPr>
              <w:spacing w:before="206" w:after="194" w:line="252" w:lineRule="exact"/>
              <w:ind w:left="105"/>
              <w:textAlignment w:val="baseline"/>
              <w:rPr>
                <w:rFonts w:ascii="Arial" w:eastAsia="Arial" w:hAnsi="Arial"/>
                <w:b/>
                <w:color w:val="000000"/>
              </w:rPr>
            </w:pPr>
            <w:r>
              <w:rPr>
                <w:rFonts w:ascii="Arial" w:eastAsia="Arial" w:hAnsi="Arial"/>
                <w:b/>
                <w:color w:val="000000"/>
              </w:rPr>
              <w:t>Conduct</w:t>
            </w:r>
          </w:p>
        </w:tc>
        <w:tc>
          <w:tcPr>
            <w:tcW w:w="1805" w:type="dxa"/>
            <w:tcBorders>
              <w:top w:val="single" w:sz="5" w:space="0" w:color="000000"/>
              <w:left w:val="single" w:sz="5" w:space="0" w:color="000000"/>
              <w:bottom w:val="single" w:sz="13" w:space="0" w:color="000000"/>
              <w:right w:val="single" w:sz="5" w:space="0" w:color="000000"/>
            </w:tcBorders>
            <w:vAlign w:val="center"/>
          </w:tcPr>
          <w:p w:rsidR="007874CB" w:rsidRDefault="00946CBF">
            <w:pPr>
              <w:spacing w:before="206" w:after="194" w:line="252" w:lineRule="exact"/>
              <w:ind w:left="111"/>
              <w:textAlignment w:val="baseline"/>
              <w:rPr>
                <w:rFonts w:ascii="Arial" w:eastAsia="Arial" w:hAnsi="Arial"/>
                <w:b/>
                <w:color w:val="000000"/>
              </w:rPr>
            </w:pPr>
            <w:r>
              <w:rPr>
                <w:rFonts w:ascii="Arial" w:eastAsia="Arial" w:hAnsi="Arial"/>
                <w:b/>
                <w:color w:val="000000"/>
              </w:rPr>
              <w:t>Proposed Tier</w:t>
            </w:r>
          </w:p>
        </w:tc>
        <w:tc>
          <w:tcPr>
            <w:tcW w:w="1805" w:type="dxa"/>
            <w:tcBorders>
              <w:top w:val="single" w:sz="5" w:space="0" w:color="000000"/>
              <w:left w:val="single" w:sz="5" w:space="0" w:color="000000"/>
              <w:bottom w:val="single" w:sz="13" w:space="0" w:color="000000"/>
              <w:right w:val="single" w:sz="5" w:space="0" w:color="000000"/>
            </w:tcBorders>
          </w:tcPr>
          <w:p w:rsidR="007874CB" w:rsidRDefault="00946CBF">
            <w:pPr>
              <w:spacing w:before="75" w:after="69" w:line="254" w:lineRule="exact"/>
              <w:ind w:left="108"/>
              <w:textAlignment w:val="baseline"/>
              <w:rPr>
                <w:rFonts w:ascii="Arial" w:eastAsia="Arial" w:hAnsi="Arial"/>
                <w:b/>
                <w:color w:val="000000"/>
              </w:rPr>
            </w:pPr>
            <w:r>
              <w:rPr>
                <w:rFonts w:ascii="Arial" w:eastAsia="Arial" w:hAnsi="Arial"/>
                <w:b/>
                <w:color w:val="000000"/>
              </w:rPr>
              <w:t xml:space="preserve">Matrix </w:t>
            </w:r>
            <w:r>
              <w:rPr>
                <w:rFonts w:ascii="Arial" w:eastAsia="Arial" w:hAnsi="Arial"/>
                <w:b/>
                <w:color w:val="000000"/>
              </w:rPr>
              <w:br/>
              <w:t>Category</w:t>
            </w:r>
          </w:p>
        </w:tc>
        <w:tc>
          <w:tcPr>
            <w:tcW w:w="2213" w:type="dxa"/>
            <w:tcBorders>
              <w:top w:val="single" w:sz="5" w:space="0" w:color="000000"/>
              <w:left w:val="single" w:sz="5" w:space="0" w:color="000000"/>
              <w:bottom w:val="single" w:sz="13" w:space="0" w:color="000000"/>
              <w:right w:val="single" w:sz="5" w:space="0" w:color="000000"/>
            </w:tcBorders>
            <w:vAlign w:val="center"/>
          </w:tcPr>
          <w:p w:rsidR="007874CB" w:rsidRDefault="00946CBF">
            <w:pPr>
              <w:spacing w:before="206" w:after="194" w:line="252" w:lineRule="exact"/>
              <w:ind w:right="197"/>
              <w:jc w:val="right"/>
              <w:textAlignment w:val="baseline"/>
              <w:rPr>
                <w:rFonts w:ascii="Arial" w:eastAsia="Arial" w:hAnsi="Arial"/>
                <w:b/>
                <w:color w:val="000000"/>
              </w:rPr>
            </w:pPr>
            <w:r>
              <w:rPr>
                <w:rFonts w:ascii="Arial" w:eastAsia="Arial" w:hAnsi="Arial"/>
                <w:b/>
                <w:color w:val="000000"/>
              </w:rPr>
              <w:t>Sub classification</w:t>
            </w:r>
          </w:p>
        </w:tc>
        <w:tc>
          <w:tcPr>
            <w:tcW w:w="4401" w:type="dxa"/>
            <w:tcBorders>
              <w:top w:val="single" w:sz="5" w:space="0" w:color="000000"/>
              <w:left w:val="single" w:sz="5" w:space="0" w:color="000000"/>
              <w:bottom w:val="single" w:sz="13" w:space="0" w:color="000000"/>
              <w:right w:val="single" w:sz="5" w:space="0" w:color="000000"/>
            </w:tcBorders>
            <w:vAlign w:val="center"/>
          </w:tcPr>
          <w:p w:rsidR="007874CB" w:rsidRDefault="00946CBF">
            <w:pPr>
              <w:spacing w:before="206" w:after="194" w:line="252" w:lineRule="exact"/>
              <w:ind w:left="110"/>
              <w:textAlignment w:val="baseline"/>
              <w:rPr>
                <w:rFonts w:ascii="Arial" w:eastAsia="Arial" w:hAnsi="Arial"/>
                <w:b/>
                <w:color w:val="000000"/>
              </w:rPr>
            </w:pPr>
            <w:r>
              <w:rPr>
                <w:rFonts w:ascii="Arial" w:eastAsia="Arial" w:hAnsi="Arial"/>
                <w:b/>
                <w:color w:val="000000"/>
              </w:rPr>
              <w:t>Discussion</w:t>
            </w:r>
          </w:p>
        </w:tc>
      </w:tr>
      <w:tr w:rsidR="007874CB">
        <w:tblPrEx>
          <w:tblCellMar>
            <w:top w:w="0" w:type="dxa"/>
            <w:bottom w:w="0" w:type="dxa"/>
          </w:tblCellMar>
        </w:tblPrEx>
        <w:trPr>
          <w:trHeight w:hRule="exact" w:val="629"/>
        </w:trPr>
        <w:tc>
          <w:tcPr>
            <w:tcW w:w="14438" w:type="dxa"/>
            <w:gridSpan w:val="6"/>
            <w:tcBorders>
              <w:top w:val="single" w:sz="13" w:space="0" w:color="000000"/>
              <w:left w:val="single" w:sz="5" w:space="0" w:color="000000"/>
              <w:bottom w:val="single" w:sz="5" w:space="0" w:color="000000"/>
              <w:right w:val="single" w:sz="5" w:space="0" w:color="000000"/>
            </w:tcBorders>
          </w:tcPr>
          <w:p w:rsidR="007874CB" w:rsidRDefault="00946CBF">
            <w:pPr>
              <w:spacing w:before="139" w:after="228" w:line="252" w:lineRule="exact"/>
              <w:ind w:left="6155"/>
              <w:textAlignment w:val="baseline"/>
              <w:rPr>
                <w:rFonts w:ascii="Arial" w:eastAsia="Arial" w:hAnsi="Arial"/>
                <w:b/>
                <w:color w:val="000000"/>
              </w:rPr>
            </w:pPr>
            <w:r>
              <w:rPr>
                <w:rFonts w:ascii="Arial" w:eastAsia="Arial" w:hAnsi="Arial"/>
                <w:b/>
                <w:color w:val="000000"/>
              </w:rPr>
              <w:t>National Gas Rules</w:t>
            </w:r>
          </w:p>
        </w:tc>
      </w:tr>
      <w:tr w:rsidR="007874CB">
        <w:tblPrEx>
          <w:tblCellMar>
            <w:top w:w="0" w:type="dxa"/>
            <w:bottom w:w="0" w:type="dxa"/>
          </w:tblCellMar>
        </w:tblPrEx>
        <w:trPr>
          <w:trHeight w:hRule="exact" w:val="1017"/>
        </w:trPr>
        <w:tc>
          <w:tcPr>
            <w:tcW w:w="1709" w:type="dxa"/>
            <w:tcBorders>
              <w:top w:val="single" w:sz="5" w:space="0" w:color="000000"/>
              <w:left w:val="single" w:sz="5" w:space="0" w:color="000000"/>
              <w:bottom w:val="none" w:sz="0" w:space="0" w:color="020000"/>
              <w:right w:val="single" w:sz="5" w:space="0" w:color="000000"/>
            </w:tcBorders>
          </w:tcPr>
          <w:p w:rsidR="007874CB" w:rsidRDefault="00946CBF">
            <w:pPr>
              <w:spacing w:before="134" w:after="626" w:line="252" w:lineRule="exact"/>
              <w:ind w:left="125"/>
              <w:textAlignment w:val="baseline"/>
              <w:rPr>
                <w:rFonts w:ascii="Arial" w:eastAsia="Arial" w:hAnsi="Arial"/>
                <w:b/>
                <w:color w:val="000000"/>
              </w:rPr>
            </w:pPr>
            <w:r>
              <w:rPr>
                <w:rFonts w:ascii="Arial" w:eastAsia="Arial" w:hAnsi="Arial"/>
                <w:b/>
                <w:color w:val="000000"/>
              </w:rPr>
              <w:t>Rule 562(3)</w:t>
            </w:r>
          </w:p>
        </w:tc>
        <w:tc>
          <w:tcPr>
            <w:tcW w:w="2505" w:type="dxa"/>
            <w:tcBorders>
              <w:top w:val="single" w:sz="5" w:space="0" w:color="000000"/>
              <w:left w:val="single" w:sz="5" w:space="0" w:color="000000"/>
              <w:bottom w:val="none" w:sz="0" w:space="0" w:color="020000"/>
              <w:right w:val="single" w:sz="5" w:space="0" w:color="000000"/>
            </w:tcBorders>
          </w:tcPr>
          <w:p w:rsidR="007874CB" w:rsidRDefault="00946CBF">
            <w:pPr>
              <w:spacing w:after="492" w:line="253" w:lineRule="exact"/>
              <w:ind w:left="108"/>
              <w:textAlignment w:val="baseline"/>
              <w:rPr>
                <w:rFonts w:ascii="Arial" w:eastAsia="Arial" w:hAnsi="Arial"/>
                <w:color w:val="000000"/>
              </w:rPr>
            </w:pPr>
            <w:r>
              <w:rPr>
                <w:rFonts w:ascii="Arial" w:eastAsia="Arial" w:hAnsi="Arial"/>
                <w:color w:val="000000"/>
              </w:rPr>
              <w:t>Access negotiation information</w:t>
            </w:r>
          </w:p>
        </w:tc>
        <w:tc>
          <w:tcPr>
            <w:tcW w:w="1805" w:type="dxa"/>
            <w:tcBorders>
              <w:top w:val="single" w:sz="5" w:space="0" w:color="000000"/>
              <w:left w:val="single" w:sz="5" w:space="0" w:color="000000"/>
              <w:bottom w:val="none" w:sz="0" w:space="0" w:color="020000"/>
              <w:right w:val="single" w:sz="5" w:space="0" w:color="000000"/>
            </w:tcBorders>
          </w:tcPr>
          <w:p w:rsidR="007874CB" w:rsidRDefault="00946CBF">
            <w:pPr>
              <w:spacing w:after="746" w:line="253" w:lineRule="exact"/>
              <w:ind w:left="111"/>
              <w:textAlignment w:val="baseline"/>
              <w:rPr>
                <w:rFonts w:ascii="Arial" w:eastAsia="Arial" w:hAnsi="Arial"/>
                <w:color w:val="000000"/>
              </w:rPr>
            </w:pPr>
            <w:r>
              <w:rPr>
                <w:rFonts w:ascii="Arial" w:eastAsia="Arial" w:hAnsi="Arial"/>
                <w:color w:val="000000"/>
              </w:rPr>
              <w:t>Tier 1</w:t>
            </w:r>
          </w:p>
        </w:tc>
        <w:tc>
          <w:tcPr>
            <w:tcW w:w="1805" w:type="dxa"/>
            <w:tcBorders>
              <w:top w:val="single" w:sz="5" w:space="0" w:color="000000"/>
              <w:left w:val="single" w:sz="5" w:space="0" w:color="000000"/>
              <w:bottom w:val="none" w:sz="0" w:space="0" w:color="020000"/>
              <w:right w:val="single" w:sz="5" w:space="0" w:color="000000"/>
            </w:tcBorders>
          </w:tcPr>
          <w:p w:rsidR="007874CB" w:rsidRDefault="00946CBF">
            <w:pPr>
              <w:spacing w:after="492" w:line="253" w:lineRule="exact"/>
              <w:ind w:left="108"/>
              <w:textAlignment w:val="baseline"/>
              <w:rPr>
                <w:rFonts w:ascii="Arial" w:eastAsia="Arial" w:hAnsi="Arial"/>
                <w:color w:val="000000"/>
              </w:rPr>
            </w:pPr>
            <w:r>
              <w:rPr>
                <w:rFonts w:ascii="Arial" w:eastAsia="Arial" w:hAnsi="Arial"/>
                <w:color w:val="000000"/>
              </w:rPr>
              <w:t>Adverse Market Impact</w:t>
            </w:r>
          </w:p>
        </w:tc>
        <w:tc>
          <w:tcPr>
            <w:tcW w:w="2213" w:type="dxa"/>
            <w:tcBorders>
              <w:top w:val="single" w:sz="5" w:space="0" w:color="000000"/>
              <w:left w:val="single" w:sz="5" w:space="0" w:color="000000"/>
              <w:bottom w:val="none" w:sz="0" w:space="0" w:color="020000"/>
              <w:right w:val="single" w:sz="5" w:space="0" w:color="000000"/>
            </w:tcBorders>
          </w:tcPr>
          <w:p w:rsidR="007874CB" w:rsidRDefault="00946CBF">
            <w:pPr>
              <w:spacing w:after="746" w:line="253" w:lineRule="exact"/>
              <w:ind w:right="197"/>
              <w:jc w:val="right"/>
              <w:textAlignment w:val="baseline"/>
              <w:rPr>
                <w:rFonts w:ascii="Arial" w:eastAsia="Arial" w:hAnsi="Arial"/>
                <w:color w:val="000000"/>
              </w:rPr>
            </w:pPr>
            <w:r>
              <w:rPr>
                <w:rFonts w:ascii="Arial" w:eastAsia="Arial" w:hAnsi="Arial"/>
                <w:color w:val="000000"/>
              </w:rPr>
              <w:t>Distortion of market</w:t>
            </w:r>
          </w:p>
        </w:tc>
        <w:tc>
          <w:tcPr>
            <w:tcW w:w="4401" w:type="dxa"/>
            <w:tcBorders>
              <w:top w:val="single" w:sz="5" w:space="0" w:color="000000"/>
              <w:left w:val="single" w:sz="5" w:space="0" w:color="000000"/>
              <w:bottom w:val="none" w:sz="0" w:space="0" w:color="020000"/>
              <w:right w:val="single" w:sz="5" w:space="0" w:color="000000"/>
            </w:tcBorders>
          </w:tcPr>
          <w:p w:rsidR="007874CB" w:rsidRDefault="00946CBF">
            <w:pPr>
              <w:spacing w:line="251" w:lineRule="exact"/>
              <w:ind w:left="108" w:right="180"/>
              <w:textAlignment w:val="baseline"/>
              <w:rPr>
                <w:rFonts w:ascii="Arial" w:eastAsia="Arial" w:hAnsi="Arial"/>
                <w:color w:val="000000"/>
                <w:spacing w:val="-2"/>
              </w:rPr>
            </w:pPr>
            <w:r>
              <w:rPr>
                <w:rFonts w:ascii="Arial" w:eastAsia="Arial" w:hAnsi="Arial"/>
                <w:color w:val="000000"/>
                <w:spacing w:val="-2"/>
              </w:rPr>
              <w:t>The obligation that this rule creates to respond to requests for information during access negotiations is key to facilitating timely and effective commercial outcomes.</w:t>
            </w:r>
          </w:p>
        </w:tc>
      </w:tr>
      <w:tr w:rsidR="007874CB">
        <w:tblPrEx>
          <w:tblCellMar>
            <w:top w:w="0" w:type="dxa"/>
            <w:bottom w:w="0" w:type="dxa"/>
          </w:tblCellMar>
        </w:tblPrEx>
        <w:trPr>
          <w:trHeight w:hRule="exact" w:val="3303"/>
        </w:trPr>
        <w:tc>
          <w:tcPr>
            <w:tcW w:w="1709" w:type="dxa"/>
            <w:tcBorders>
              <w:top w:val="none" w:sz="0" w:space="0" w:color="020000"/>
              <w:left w:val="single" w:sz="5" w:space="0" w:color="000000"/>
              <w:bottom w:val="single" w:sz="5" w:space="0" w:color="000000"/>
              <w:right w:val="single" w:sz="5" w:space="0" w:color="00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2505" w:type="dxa"/>
            <w:tcBorders>
              <w:top w:val="none" w:sz="0" w:space="0" w:color="020000"/>
              <w:left w:val="single" w:sz="5" w:space="0" w:color="000000"/>
              <w:bottom w:val="single" w:sz="5" w:space="0" w:color="000000"/>
              <w:right w:val="single" w:sz="5" w:space="0" w:color="00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1805" w:type="dxa"/>
            <w:tcBorders>
              <w:top w:val="none" w:sz="0" w:space="0" w:color="020000"/>
              <w:left w:val="single" w:sz="5" w:space="0" w:color="000000"/>
              <w:bottom w:val="single" w:sz="5" w:space="0" w:color="000000"/>
              <w:right w:val="single" w:sz="5" w:space="0" w:color="00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1805" w:type="dxa"/>
            <w:tcBorders>
              <w:top w:val="none" w:sz="0" w:space="0" w:color="020000"/>
              <w:left w:val="single" w:sz="5" w:space="0" w:color="000000"/>
              <w:bottom w:val="single" w:sz="5" w:space="0" w:color="000000"/>
              <w:right w:val="single" w:sz="5" w:space="0" w:color="00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2213" w:type="dxa"/>
            <w:tcBorders>
              <w:top w:val="none" w:sz="0" w:space="0" w:color="020000"/>
              <w:left w:val="single" w:sz="5" w:space="0" w:color="000000"/>
              <w:bottom w:val="single" w:sz="5" w:space="0" w:color="000000"/>
              <w:right w:val="single" w:sz="5" w:space="0" w:color="000000"/>
            </w:tcBorders>
          </w:tcPr>
          <w:p w:rsidR="007874CB" w:rsidRDefault="00946CBF">
            <w:pPr>
              <w:textAlignment w:val="baseline"/>
              <w:rPr>
                <w:rFonts w:ascii="Arial" w:eastAsia="Arial" w:hAnsi="Arial"/>
                <w:color w:val="000000"/>
                <w:sz w:val="24"/>
              </w:rPr>
            </w:pPr>
            <w:r>
              <w:rPr>
                <w:rFonts w:ascii="Arial" w:eastAsia="Arial" w:hAnsi="Arial"/>
                <w:color w:val="000000"/>
                <w:sz w:val="24"/>
              </w:rPr>
              <w:t xml:space="preserve"> </w:t>
            </w:r>
          </w:p>
        </w:tc>
        <w:tc>
          <w:tcPr>
            <w:tcW w:w="4401" w:type="dxa"/>
            <w:tcBorders>
              <w:top w:val="none" w:sz="0" w:space="0" w:color="020000"/>
              <w:left w:val="single" w:sz="5" w:space="0" w:color="000000"/>
              <w:bottom w:val="single" w:sz="5" w:space="0" w:color="000000"/>
              <w:right w:val="single" w:sz="5" w:space="0" w:color="000000"/>
            </w:tcBorders>
          </w:tcPr>
          <w:p w:rsidR="007874CB" w:rsidRDefault="00946CBF">
            <w:pPr>
              <w:spacing w:line="252" w:lineRule="exact"/>
              <w:ind w:left="108" w:right="144"/>
              <w:textAlignment w:val="baseline"/>
              <w:rPr>
                <w:rFonts w:ascii="Arial" w:eastAsia="Arial" w:hAnsi="Arial"/>
                <w:color w:val="000000"/>
              </w:rPr>
            </w:pPr>
            <w:r>
              <w:rPr>
                <w:rFonts w:ascii="Arial" w:eastAsia="Arial" w:hAnsi="Arial"/>
                <w:color w:val="000000"/>
              </w:rPr>
              <w:t>Compliance with the rule also establishes the credibility of the threat of a</w:t>
            </w:r>
            <w:r>
              <w:rPr>
                <w:rFonts w:ascii="Arial" w:eastAsia="Arial" w:hAnsi="Arial"/>
                <w:color w:val="000000"/>
              </w:rPr>
              <w:t>rbitration, as the information exchanged during negotiations forms the basis for any potential arbitration. As a result, a breach of this provision may result in or involve the distortion of a market through denying or delaying access to information and th</w:t>
            </w:r>
            <w:r>
              <w:rPr>
                <w:rFonts w:ascii="Arial" w:eastAsia="Arial" w:hAnsi="Arial"/>
                <w:color w:val="000000"/>
              </w:rPr>
              <w:t>erefore the market. We suggest compliance with Rule 562(3) would be more effectively achieved through the imposition of maximum penalties associated with Tier 1.</w:t>
            </w:r>
          </w:p>
        </w:tc>
      </w:tr>
    </w:tbl>
    <w:p w:rsidR="00000000" w:rsidRDefault="00946CBF"/>
    <w:sectPr w:rsidR="00000000">
      <w:pgSz w:w="16838" w:h="11909" w:orient="landscape"/>
      <w:pgMar w:top="1560" w:right="1061" w:bottom="1113" w:left="131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74CB"/>
    <w:rsid w:val="007874CB"/>
    <w:rsid w:val="00946C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D2818C27-4E56-4BFE-B86E-11DAA1B6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ACCC Generic Letterhead 25 JUNE 2015</vt:lpstr>
    </vt:vector>
  </TitlesOfParts>
  <Company>Department of Industry, Innovation and Science</Company>
  <LinksUpToDate>false</LinksUpToDate>
  <CharactersWithSpaces>4246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ACCC Generic Letterhead 25 JUNE 2015</dc:title>
  <dc:creator>Jacobsen, Niall</dc:creator>
  <cp:lastModifiedBy>Hirscher, Andrew</cp:lastModifiedBy>
  <cp:revision>2</cp:revision>
  <dcterms:created xsi:type="dcterms:W3CDTF">2020-08-13T05:05:00Z</dcterms:created>
  <dcterms:modified xsi:type="dcterms:W3CDTF">2020-08-13T05:05:00Z</dcterms:modified>
</cp:coreProperties>
</file>