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5BE" w:rsidRDefault="00852C2C">
      <w:pPr>
        <w:spacing w:before="8" w:line="235" w:lineRule="exact"/>
        <w:ind w:left="360"/>
        <w:textAlignment w:val="baseline"/>
        <w:rPr>
          <w:rFonts w:ascii="Tahoma" w:eastAsia="Tahoma" w:hAnsi="Tahoma"/>
          <w:color w:val="000000"/>
          <w:spacing w:val="-1"/>
          <w:sz w:val="20"/>
        </w:rPr>
      </w:pPr>
      <w:bookmarkStart w:id="0" w:name="_GoBack"/>
      <w:bookmarkEnd w:id="0"/>
      <w:r>
        <w:rPr>
          <w:noProof/>
          <w:lang w:val="en-AU" w:eastAsia="en-AU"/>
        </w:rPr>
        <mc:AlternateContent>
          <mc:Choice Requires="wps">
            <w:drawing>
              <wp:anchor distT="0" distB="0" distL="0" distR="0" simplePos="0" relativeHeight="251655680" behindDoc="1" locked="0" layoutInCell="1" allowOverlap="1">
                <wp:simplePos x="0" y="0"/>
                <wp:positionH relativeFrom="page">
                  <wp:posOffset>682625</wp:posOffset>
                </wp:positionH>
                <wp:positionV relativeFrom="page">
                  <wp:posOffset>533400</wp:posOffset>
                </wp:positionV>
                <wp:extent cx="6199505" cy="1258570"/>
                <wp:effectExtent l="0" t="0" r="0" b="0"/>
                <wp:wrapSquare wrapText="bothSides"/>
                <wp:docPr id="9"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9505" cy="1258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4A0" w:firstRow="1" w:lastRow="0" w:firstColumn="1" w:lastColumn="0" w:noHBand="0" w:noVBand="1"/>
                            </w:tblPr>
                            <w:tblGrid>
                              <w:gridCol w:w="4958"/>
                              <w:gridCol w:w="4805"/>
                            </w:tblGrid>
                            <w:tr w:rsidR="00A455BE">
                              <w:tblPrEx>
                                <w:tblCellMar>
                                  <w:top w:w="0" w:type="dxa"/>
                                  <w:bottom w:w="0" w:type="dxa"/>
                                </w:tblCellMar>
                              </w:tblPrEx>
                              <w:trPr>
                                <w:trHeight w:hRule="exact" w:val="730"/>
                              </w:trPr>
                              <w:tc>
                                <w:tcPr>
                                  <w:tcW w:w="4958" w:type="dxa"/>
                                  <w:tcBorders>
                                    <w:top w:val="none" w:sz="0" w:space="0" w:color="000000"/>
                                    <w:left w:val="none" w:sz="0" w:space="0" w:color="000000"/>
                                    <w:bottom w:val="none" w:sz="0" w:space="0" w:color="000000"/>
                                    <w:right w:val="none" w:sz="0" w:space="0" w:color="000000"/>
                                  </w:tcBorders>
                                </w:tcPr>
                                <w:p w:rsidR="00A455BE" w:rsidRDefault="00852C2C">
                                  <w:pPr>
                                    <w:textAlignment w:val="baseline"/>
                                  </w:pPr>
                                  <w:r>
                                    <w:rPr>
                                      <w:noProof/>
                                      <w:lang w:val="en-AU" w:eastAsia="en-AU"/>
                                    </w:rPr>
                                    <w:drawing>
                                      <wp:inline distT="0" distB="0" distL="0" distR="0">
                                        <wp:extent cx="1859280" cy="46355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5"/>
                                                <a:stretch>
                                                  <a:fillRect/>
                                                </a:stretch>
                                              </pic:blipFill>
                                              <pic:spPr>
                                                <a:xfrm>
                                                  <a:off x="0" y="0"/>
                                                  <a:ext cx="1859280" cy="463550"/>
                                                </a:xfrm>
                                                <a:prstGeom prst="rect">
                                                  <a:avLst/>
                                                </a:prstGeom>
                                              </pic:spPr>
                                            </pic:pic>
                                          </a:graphicData>
                                        </a:graphic>
                                      </wp:inline>
                                    </w:drawing>
                                  </w:r>
                                </w:p>
                              </w:tc>
                              <w:tc>
                                <w:tcPr>
                                  <w:tcW w:w="4805" w:type="dxa"/>
                                  <w:vMerge w:val="restart"/>
                                  <w:tcBorders>
                                    <w:top w:val="none" w:sz="0" w:space="0" w:color="000000"/>
                                    <w:left w:val="none" w:sz="0" w:space="0" w:color="000000"/>
                                    <w:bottom w:val="single" w:sz="0" w:space="0" w:color="000000"/>
                                    <w:right w:val="none" w:sz="0" w:space="0" w:color="000000"/>
                                  </w:tcBorders>
                                </w:tcPr>
                                <w:p w:rsidR="00A455BE" w:rsidRDefault="00852C2C">
                                  <w:pPr>
                                    <w:jc w:val="right"/>
                                    <w:textAlignment w:val="baseline"/>
                                  </w:pPr>
                                  <w:r>
                                    <w:rPr>
                                      <w:noProof/>
                                      <w:lang w:val="en-AU" w:eastAsia="en-AU"/>
                                    </w:rPr>
                                    <w:drawing>
                                      <wp:inline distT="0" distB="0" distL="0" distR="0">
                                        <wp:extent cx="1761490" cy="125857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6"/>
                                                <a:stretch>
                                                  <a:fillRect/>
                                                </a:stretch>
                                              </pic:blipFill>
                                              <pic:spPr>
                                                <a:xfrm>
                                                  <a:off x="0" y="0"/>
                                                  <a:ext cx="1761490" cy="1258570"/>
                                                </a:xfrm>
                                                <a:prstGeom prst="rect">
                                                  <a:avLst/>
                                                </a:prstGeom>
                                              </pic:spPr>
                                            </pic:pic>
                                          </a:graphicData>
                                        </a:graphic>
                                      </wp:inline>
                                    </w:drawing>
                                  </w:r>
                                </w:p>
                              </w:tc>
                            </w:tr>
                            <w:tr w:rsidR="00A455BE">
                              <w:tblPrEx>
                                <w:tblCellMar>
                                  <w:top w:w="0" w:type="dxa"/>
                                  <w:bottom w:w="0" w:type="dxa"/>
                                </w:tblCellMar>
                              </w:tblPrEx>
                              <w:trPr>
                                <w:trHeight w:hRule="exact" w:val="1252"/>
                              </w:trPr>
                              <w:tc>
                                <w:tcPr>
                                  <w:tcW w:w="4958" w:type="dxa"/>
                                  <w:tcBorders>
                                    <w:top w:val="none" w:sz="0" w:space="0" w:color="000000"/>
                                    <w:left w:val="none" w:sz="0" w:space="0" w:color="000000"/>
                                    <w:bottom w:val="none" w:sz="0" w:space="0" w:color="000000"/>
                                    <w:right w:val="none" w:sz="0" w:space="0" w:color="000000"/>
                                  </w:tcBorders>
                                  <w:vAlign w:val="center"/>
                                </w:tcPr>
                                <w:p w:rsidR="00A455BE" w:rsidRDefault="00852C2C">
                                  <w:pPr>
                                    <w:spacing w:before="556" w:after="446" w:line="236" w:lineRule="exact"/>
                                    <w:ind w:right="3230"/>
                                    <w:jc w:val="right"/>
                                    <w:textAlignment w:val="baseline"/>
                                    <w:rPr>
                                      <w:rFonts w:ascii="Tahoma" w:eastAsia="Tahoma" w:hAnsi="Tahoma"/>
                                      <w:color w:val="000000"/>
                                      <w:sz w:val="20"/>
                                    </w:rPr>
                                  </w:pPr>
                                  <w:r>
                                    <w:rPr>
                                      <w:rFonts w:ascii="Tahoma" w:eastAsia="Tahoma" w:hAnsi="Tahoma"/>
                                      <w:color w:val="000000"/>
                                      <w:sz w:val="20"/>
                                    </w:rPr>
                                    <w:t>10 August 2020</w:t>
                                  </w:r>
                                </w:p>
                              </w:tc>
                              <w:tc>
                                <w:tcPr>
                                  <w:tcW w:w="4805" w:type="dxa"/>
                                  <w:vMerge/>
                                  <w:tcBorders>
                                    <w:top w:val="single" w:sz="0" w:space="0" w:color="000000"/>
                                    <w:left w:val="none" w:sz="0" w:space="0" w:color="000000"/>
                                    <w:bottom w:val="none" w:sz="0" w:space="0" w:color="000000"/>
                                    <w:right w:val="none" w:sz="0" w:space="0" w:color="000000"/>
                                  </w:tcBorders>
                                </w:tcPr>
                                <w:p w:rsidR="00A455BE" w:rsidRDefault="00A455BE"/>
                              </w:tc>
                            </w:tr>
                          </w:tbl>
                          <w:p w:rsidR="00000000" w:rsidRDefault="00852C2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o:spid="_x0000_s1026" type="#_x0000_t202" style="position:absolute;left:0;text-align:left;margin-left:53.75pt;margin-top:42pt;width:488.15pt;height:99.1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" filled="f" stroked="f">
                <v:textbox inset="0,0,0,0">
                  <w:txbxContent>
                    <w:tbl>
                      <w:tblPr>
                        <w:tblW w:w="0" w:type="auto"/>
                        <w:tblLayout w:type="fixed"/>
                        <w:tblCellMar>
                          <w:left w:w="0" w:type="dxa"/>
                          <w:right w:w="0" w:type="dxa"/>
                        </w:tblCellMar>
                        <w:tblLook w:val="04A0" w:firstRow="1" w:lastRow="0" w:firstColumn="1" w:lastColumn="0" w:noHBand="0" w:noVBand="1"/>
                      </w:tblPr>
                      <w:tblGrid>
                        <w:gridCol w:w="4958"/>
                        <w:gridCol w:w="4805"/>
                      </w:tblGrid>
                      <w:tr w:rsidR="00A455BE">
                        <w:tblPrEx>
                          <w:tblCellMar>
                            <w:top w:w="0" w:type="dxa"/>
                            <w:bottom w:w="0" w:type="dxa"/>
                          </w:tblCellMar>
                        </w:tblPrEx>
                        <w:trPr>
                          <w:trHeight w:hRule="exact" w:val="730"/>
                        </w:trPr>
                        <w:tc>
                          <w:tcPr>
                            <w:tcW w:w="4958" w:type="dxa"/>
                            <w:tcBorders>
                              <w:top w:val="none" w:sz="0" w:space="0" w:color="000000"/>
                              <w:left w:val="none" w:sz="0" w:space="0" w:color="000000"/>
                              <w:bottom w:val="none" w:sz="0" w:space="0" w:color="000000"/>
                              <w:right w:val="none" w:sz="0" w:space="0" w:color="000000"/>
                            </w:tcBorders>
                          </w:tcPr>
                          <w:p w:rsidR="00A455BE" w:rsidRDefault="00852C2C">
                            <w:pPr>
                              <w:textAlignment w:val="baseline"/>
                            </w:pPr>
                            <w:r>
                              <w:rPr>
                                <w:noProof/>
                                <w:lang w:val="en-AU" w:eastAsia="en-AU"/>
                              </w:rPr>
                              <w:drawing>
                                <wp:inline distT="0" distB="0" distL="0" distR="0">
                                  <wp:extent cx="1859280" cy="46355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5"/>
                                          <a:stretch>
                                            <a:fillRect/>
                                          </a:stretch>
                                        </pic:blipFill>
                                        <pic:spPr>
                                          <a:xfrm>
                                            <a:off x="0" y="0"/>
                                            <a:ext cx="1859280" cy="463550"/>
                                          </a:xfrm>
                                          <a:prstGeom prst="rect">
                                            <a:avLst/>
                                          </a:prstGeom>
                                        </pic:spPr>
                                      </pic:pic>
                                    </a:graphicData>
                                  </a:graphic>
                                </wp:inline>
                              </w:drawing>
                            </w:r>
                          </w:p>
                        </w:tc>
                        <w:tc>
                          <w:tcPr>
                            <w:tcW w:w="4805" w:type="dxa"/>
                            <w:vMerge w:val="restart"/>
                            <w:tcBorders>
                              <w:top w:val="none" w:sz="0" w:space="0" w:color="000000"/>
                              <w:left w:val="none" w:sz="0" w:space="0" w:color="000000"/>
                              <w:bottom w:val="single" w:sz="0" w:space="0" w:color="000000"/>
                              <w:right w:val="none" w:sz="0" w:space="0" w:color="000000"/>
                            </w:tcBorders>
                          </w:tcPr>
                          <w:p w:rsidR="00A455BE" w:rsidRDefault="00852C2C">
                            <w:pPr>
                              <w:jc w:val="right"/>
                              <w:textAlignment w:val="baseline"/>
                            </w:pPr>
                            <w:r>
                              <w:rPr>
                                <w:noProof/>
                                <w:lang w:val="en-AU" w:eastAsia="en-AU"/>
                              </w:rPr>
                              <w:drawing>
                                <wp:inline distT="0" distB="0" distL="0" distR="0">
                                  <wp:extent cx="1761490" cy="125857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6"/>
                                          <a:stretch>
                                            <a:fillRect/>
                                          </a:stretch>
                                        </pic:blipFill>
                                        <pic:spPr>
                                          <a:xfrm>
                                            <a:off x="0" y="0"/>
                                            <a:ext cx="1761490" cy="1258570"/>
                                          </a:xfrm>
                                          <a:prstGeom prst="rect">
                                            <a:avLst/>
                                          </a:prstGeom>
                                        </pic:spPr>
                                      </pic:pic>
                                    </a:graphicData>
                                  </a:graphic>
                                </wp:inline>
                              </w:drawing>
                            </w:r>
                          </w:p>
                        </w:tc>
                      </w:tr>
                      <w:tr w:rsidR="00A455BE">
                        <w:tblPrEx>
                          <w:tblCellMar>
                            <w:top w:w="0" w:type="dxa"/>
                            <w:bottom w:w="0" w:type="dxa"/>
                          </w:tblCellMar>
                        </w:tblPrEx>
                        <w:trPr>
                          <w:trHeight w:hRule="exact" w:val="1252"/>
                        </w:trPr>
                        <w:tc>
                          <w:tcPr>
                            <w:tcW w:w="4958" w:type="dxa"/>
                            <w:tcBorders>
                              <w:top w:val="none" w:sz="0" w:space="0" w:color="000000"/>
                              <w:left w:val="none" w:sz="0" w:space="0" w:color="000000"/>
                              <w:bottom w:val="none" w:sz="0" w:space="0" w:color="000000"/>
                              <w:right w:val="none" w:sz="0" w:space="0" w:color="000000"/>
                            </w:tcBorders>
                            <w:vAlign w:val="center"/>
                          </w:tcPr>
                          <w:p w:rsidR="00A455BE" w:rsidRDefault="00852C2C">
                            <w:pPr>
                              <w:spacing w:before="556" w:after="446" w:line="236" w:lineRule="exact"/>
                              <w:ind w:right="3230"/>
                              <w:jc w:val="right"/>
                              <w:textAlignment w:val="baseline"/>
                              <w:rPr>
                                <w:rFonts w:ascii="Tahoma" w:eastAsia="Tahoma" w:hAnsi="Tahoma"/>
                                <w:color w:val="000000"/>
                                <w:sz w:val="20"/>
                              </w:rPr>
                            </w:pPr>
                            <w:r>
                              <w:rPr>
                                <w:rFonts w:ascii="Tahoma" w:eastAsia="Tahoma" w:hAnsi="Tahoma"/>
                                <w:color w:val="000000"/>
                                <w:sz w:val="20"/>
                              </w:rPr>
                              <w:t>10 August 2020</w:t>
                            </w:r>
                          </w:p>
                        </w:tc>
                        <w:tc>
                          <w:tcPr>
                            <w:tcW w:w="4805" w:type="dxa"/>
                            <w:vMerge/>
                            <w:tcBorders>
                              <w:top w:val="single" w:sz="0" w:space="0" w:color="000000"/>
                              <w:left w:val="none" w:sz="0" w:space="0" w:color="000000"/>
                              <w:bottom w:val="none" w:sz="0" w:space="0" w:color="000000"/>
                              <w:right w:val="none" w:sz="0" w:space="0" w:color="000000"/>
                            </w:tcBorders>
                          </w:tcPr>
                          <w:p w:rsidR="00A455BE" w:rsidRDefault="00A455BE"/>
                        </w:tc>
                      </w:tr>
                    </w:tbl>
                    <w:p w:rsidR="00000000" w:rsidRDefault="00852C2C"/>
                  </w:txbxContent>
                </v:textbox>
                <w10:wrap type="square" anchorx="page" anchory="page"/>
              </v:shape>
            </w:pict>
          </mc:Fallback>
        </mc:AlternateContent>
      </w:r>
      <w:r>
        <w:rPr>
          <w:rFonts w:ascii="Tahoma" w:eastAsia="Tahoma" w:hAnsi="Tahoma"/>
          <w:color w:val="000000"/>
          <w:spacing w:val="-1"/>
          <w:sz w:val="20"/>
        </w:rPr>
        <w:t>COAG Energy Council</w:t>
      </w:r>
    </w:p>
    <w:p w:rsidR="00A455BE" w:rsidRDefault="00852C2C">
      <w:pPr>
        <w:spacing w:before="42" w:line="227" w:lineRule="exact"/>
        <w:ind w:left="360"/>
        <w:textAlignment w:val="baseline"/>
        <w:rPr>
          <w:rFonts w:ascii="Calibri" w:eastAsia="Calibri" w:hAnsi="Calibri"/>
          <w:color w:val="000000"/>
        </w:rPr>
      </w:pPr>
      <w:r>
        <w:rPr>
          <w:rFonts w:ascii="Calibri" w:eastAsia="Calibri" w:hAnsi="Calibri"/>
          <w:color w:val="000000"/>
        </w:rPr>
        <w:t>Governance Project Team Secretariat</w:t>
      </w:r>
    </w:p>
    <w:p w:rsidR="00A455BE" w:rsidRDefault="00852C2C">
      <w:pPr>
        <w:spacing w:before="222" w:line="229" w:lineRule="exact"/>
        <w:ind w:left="360"/>
        <w:textAlignment w:val="baseline"/>
        <w:rPr>
          <w:rFonts w:ascii="Calibri" w:eastAsia="Calibri" w:hAnsi="Calibri"/>
          <w:color w:val="000000"/>
          <w:spacing w:val="-3"/>
        </w:rPr>
      </w:pPr>
      <w:r>
        <w:rPr>
          <w:rFonts w:ascii="Calibri" w:eastAsia="Calibri" w:hAnsi="Calibri"/>
          <w:color w:val="000000"/>
          <w:spacing w:val="-3"/>
        </w:rPr>
        <w:t xml:space="preserve">By </w:t>
      </w:r>
      <w:hyperlink r:id="rId7">
        <w:r>
          <w:rPr>
            <w:rFonts w:ascii="Calibri" w:eastAsia="Calibri" w:hAnsi="Calibri"/>
            <w:color w:val="0000FF"/>
            <w:spacing w:val="-3"/>
            <w:u w:val="single"/>
          </w:rPr>
          <w:t>Email:</w:t>
        </w:r>
      </w:hyperlink>
      <w:r>
        <w:rPr>
          <w:rFonts w:ascii="Calibri" w:eastAsia="Calibri" w:hAnsi="Calibri"/>
          <w:color w:val="0000FF"/>
          <w:spacing w:val="-3"/>
          <w:sz w:val="23"/>
          <w:u w:val="single"/>
        </w:rPr>
        <w:t xml:space="preserve"> GPTSecretariat@industry.gov.au</w:t>
      </w:r>
      <w:r>
        <w:rPr>
          <w:rFonts w:ascii="Calibri" w:eastAsia="Calibri" w:hAnsi="Calibri"/>
          <w:color w:val="0000FF"/>
          <w:spacing w:val="-3"/>
          <w:u w:val="single"/>
        </w:rPr>
        <w:t xml:space="preserve"> </w:t>
      </w:r>
      <w:r>
        <w:rPr>
          <w:rFonts w:ascii="Calibri" w:eastAsia="Calibri" w:hAnsi="Calibri"/>
          <w:color w:val="000000"/>
          <w:spacing w:val="-3"/>
        </w:rPr>
        <w:t xml:space="preserve"> </w:t>
      </w:r>
    </w:p>
    <w:p w:rsidR="00A455BE" w:rsidRDefault="00852C2C">
      <w:pPr>
        <w:spacing w:before="1022" w:line="235" w:lineRule="exact"/>
        <w:ind w:left="360"/>
        <w:textAlignment w:val="baseline"/>
        <w:rPr>
          <w:rFonts w:ascii="Tahoma" w:eastAsia="Tahoma" w:hAnsi="Tahoma"/>
          <w:color w:val="000000"/>
          <w:spacing w:val="-1"/>
          <w:sz w:val="20"/>
        </w:rPr>
      </w:pPr>
      <w:r>
        <w:rPr>
          <w:rFonts w:ascii="Tahoma" w:eastAsia="Tahoma" w:hAnsi="Tahoma"/>
          <w:color w:val="000000"/>
          <w:spacing w:val="-1"/>
          <w:sz w:val="20"/>
        </w:rPr>
        <w:t>To Whom it May Concern</w:t>
      </w:r>
    </w:p>
    <w:p w:rsidR="00A455BE" w:rsidRDefault="00852C2C">
      <w:pPr>
        <w:spacing w:before="236" w:line="264" w:lineRule="exact"/>
        <w:ind w:left="360" w:right="360"/>
        <w:jc w:val="both"/>
        <w:textAlignment w:val="baseline"/>
        <w:rPr>
          <w:rFonts w:ascii="Tahoma" w:eastAsia="Tahoma" w:hAnsi="Tahoma"/>
          <w:b/>
          <w:color w:val="000000"/>
          <w:sz w:val="20"/>
        </w:rPr>
      </w:pPr>
      <w:r>
        <w:rPr>
          <w:rFonts w:ascii="Tahoma" w:eastAsia="Tahoma" w:hAnsi="Tahoma"/>
          <w:b/>
          <w:color w:val="000000"/>
          <w:sz w:val="20"/>
        </w:rPr>
        <w:t>Proposed Classification of Tiers for the Reform of the Australian Energy Regulator Civil Penalty Regime</w:t>
      </w:r>
    </w:p>
    <w:p w:rsidR="00A455BE" w:rsidRDefault="00852C2C">
      <w:pPr>
        <w:spacing w:before="116" w:line="260" w:lineRule="exact"/>
        <w:ind w:left="360" w:right="360"/>
        <w:jc w:val="both"/>
        <w:textAlignment w:val="baseline"/>
        <w:rPr>
          <w:rFonts w:ascii="Tahoma" w:eastAsia="Tahoma" w:hAnsi="Tahoma"/>
          <w:color w:val="000000"/>
          <w:sz w:val="20"/>
        </w:rPr>
      </w:pPr>
      <w:r>
        <w:rPr>
          <w:rFonts w:ascii="Tahoma" w:eastAsia="Tahoma" w:hAnsi="Tahoma"/>
          <w:color w:val="000000"/>
          <w:sz w:val="20"/>
        </w:rPr>
        <w:t>Thank you for the opportunity to comment on the proposed classification of tiers as part of the reform of the civil penalty regimes managed by the Austr</w:t>
      </w:r>
      <w:r>
        <w:rPr>
          <w:rFonts w:ascii="Tahoma" w:eastAsia="Tahoma" w:hAnsi="Tahoma"/>
          <w:color w:val="000000"/>
          <w:sz w:val="20"/>
        </w:rPr>
        <w:t xml:space="preserve">alia Energy Regulator (AER). This submission focuses on the classification of tiers as proposed to apply under </w:t>
      </w:r>
      <w:r>
        <w:rPr>
          <w:rFonts w:ascii="Tahoma" w:eastAsia="Tahoma" w:hAnsi="Tahoma"/>
          <w:i/>
          <w:color w:val="000000"/>
          <w:sz w:val="23"/>
        </w:rPr>
        <w:t xml:space="preserve">National Gas Law </w:t>
      </w:r>
      <w:r>
        <w:rPr>
          <w:rFonts w:ascii="Tahoma" w:eastAsia="Tahoma" w:hAnsi="Tahoma"/>
          <w:color w:val="000000"/>
          <w:sz w:val="20"/>
        </w:rPr>
        <w:t xml:space="preserve">and </w:t>
      </w:r>
      <w:r>
        <w:rPr>
          <w:rFonts w:ascii="Tahoma" w:eastAsia="Tahoma" w:hAnsi="Tahoma"/>
          <w:i/>
          <w:color w:val="000000"/>
          <w:sz w:val="23"/>
        </w:rPr>
        <w:t>National Energy Retail Law</w:t>
      </w:r>
      <w:r>
        <w:rPr>
          <w:rFonts w:ascii="Tahoma" w:eastAsia="Tahoma" w:hAnsi="Tahoma"/>
          <w:color w:val="000000"/>
          <w:sz w:val="20"/>
        </w:rPr>
        <w:t>, and their respective rules. Australian Gas Infrastructure Group (AGIG) has interests relating to</w:t>
      </w:r>
      <w:r>
        <w:rPr>
          <w:rFonts w:ascii="Tahoma" w:eastAsia="Tahoma" w:hAnsi="Tahoma"/>
          <w:color w:val="000000"/>
          <w:sz w:val="20"/>
        </w:rPr>
        <w:t xml:space="preserve"> transmission and distribution pipelines under both of these regimes.</w:t>
      </w:r>
    </w:p>
    <w:p w:rsidR="00A455BE" w:rsidRDefault="00852C2C">
      <w:pPr>
        <w:spacing w:before="120" w:line="260" w:lineRule="exact"/>
        <w:ind w:left="360" w:right="360"/>
        <w:jc w:val="both"/>
        <w:textAlignment w:val="baseline"/>
        <w:rPr>
          <w:rFonts w:ascii="Tahoma" w:eastAsia="Tahoma" w:hAnsi="Tahoma"/>
          <w:color w:val="000000"/>
          <w:sz w:val="20"/>
        </w:rPr>
      </w:pPr>
      <w:r>
        <w:rPr>
          <w:rFonts w:ascii="Tahoma" w:eastAsia="Tahoma" w:hAnsi="Tahoma"/>
          <w:color w:val="000000"/>
          <w:sz w:val="20"/>
        </w:rPr>
        <w:t>AGIG is one of Australia’s largest gas infrastructure businesses and combines the operations of Multinet Gas Networks (MGN), Australian Gas Networks (AGN) and Dampier Bunbury Pipeline (D</w:t>
      </w:r>
      <w:r>
        <w:rPr>
          <w:rFonts w:ascii="Tahoma" w:eastAsia="Tahoma" w:hAnsi="Tahoma"/>
          <w:color w:val="000000"/>
          <w:sz w:val="20"/>
        </w:rPr>
        <w:t>BP). We have over two million customers across every Australian mainland state and the Northern Territory. Our assets include 34,000km of gas distribution networks, over 4,000km of gas transmission pipelines and 57PJ of storage capacity.</w:t>
      </w:r>
    </w:p>
    <w:p w:rsidR="00A455BE" w:rsidRDefault="00852C2C">
      <w:pPr>
        <w:spacing w:before="122" w:line="260" w:lineRule="exact"/>
        <w:ind w:left="360" w:right="360"/>
        <w:jc w:val="both"/>
        <w:textAlignment w:val="baseline"/>
        <w:rPr>
          <w:rFonts w:ascii="Tahoma" w:eastAsia="Tahoma" w:hAnsi="Tahoma"/>
          <w:color w:val="000000"/>
          <w:sz w:val="20"/>
        </w:rPr>
      </w:pPr>
      <w:r>
        <w:rPr>
          <w:rFonts w:ascii="Tahoma" w:eastAsia="Tahoma" w:hAnsi="Tahoma"/>
          <w:color w:val="000000"/>
          <w:sz w:val="20"/>
        </w:rPr>
        <w:t>We support the overarching goals of the civil penalty regime. The regime should be flexible and promote the public interest in compliance with law as outlined in the National Energy Objectives. As outlined in the consultation guide the tiers and maximum pe</w:t>
      </w:r>
      <w:r>
        <w:rPr>
          <w:rFonts w:ascii="Tahoma" w:eastAsia="Tahoma" w:hAnsi="Tahoma"/>
          <w:color w:val="000000"/>
          <w:sz w:val="20"/>
        </w:rPr>
        <w:t>nalty amounts adopted should represent a hierarchy of potential harm and 'penalties which are sufficient to deter contravening behaviour'.</w:t>
      </w:r>
    </w:p>
    <w:p w:rsidR="00A455BE" w:rsidRDefault="00852C2C">
      <w:pPr>
        <w:spacing w:before="122" w:line="260" w:lineRule="exact"/>
        <w:ind w:left="360" w:right="360"/>
        <w:jc w:val="both"/>
        <w:textAlignment w:val="baseline"/>
        <w:rPr>
          <w:rFonts w:ascii="Tahoma" w:eastAsia="Tahoma" w:hAnsi="Tahoma"/>
          <w:color w:val="000000"/>
          <w:sz w:val="20"/>
        </w:rPr>
      </w:pPr>
      <w:r>
        <w:rPr>
          <w:rFonts w:ascii="Tahoma" w:eastAsia="Tahoma" w:hAnsi="Tahoma"/>
          <w:color w:val="000000"/>
          <w:sz w:val="20"/>
        </w:rPr>
        <w:t>It is also important that the tier which applies to a specific civil penalty provision should be proportionate to the</w:t>
      </w:r>
      <w:r>
        <w:rPr>
          <w:rFonts w:ascii="Tahoma" w:eastAsia="Tahoma" w:hAnsi="Tahoma"/>
          <w:color w:val="000000"/>
          <w:sz w:val="20"/>
        </w:rPr>
        <w:t xml:space="preserve"> nature of the contravention and the potential harm that could occur as a result of a breach of that provision. In doing so the tier selected should recognise the existing mechanisms within the relevant Law and Rules that act to both deter contravention an</w:t>
      </w:r>
      <w:r>
        <w:rPr>
          <w:rFonts w:ascii="Tahoma" w:eastAsia="Tahoma" w:hAnsi="Tahoma"/>
          <w:color w:val="000000"/>
          <w:sz w:val="20"/>
        </w:rPr>
        <w:t>d enforce compliance.</w:t>
      </w:r>
    </w:p>
    <w:p w:rsidR="00A455BE" w:rsidRDefault="00852C2C">
      <w:pPr>
        <w:spacing w:before="144" w:line="235" w:lineRule="exact"/>
        <w:ind w:left="360"/>
        <w:textAlignment w:val="baseline"/>
        <w:rPr>
          <w:rFonts w:ascii="Tahoma" w:eastAsia="Tahoma" w:hAnsi="Tahoma"/>
          <w:color w:val="000000"/>
          <w:sz w:val="20"/>
        </w:rPr>
      </w:pPr>
      <w:r>
        <w:rPr>
          <w:rFonts w:ascii="Tahoma" w:eastAsia="Tahoma" w:hAnsi="Tahoma"/>
          <w:color w:val="000000"/>
          <w:sz w:val="20"/>
        </w:rPr>
        <w:t>AGIG broadly supports the proposed classifications, save for the following matters:</w:t>
      </w:r>
    </w:p>
    <w:p w:rsidR="00A455BE" w:rsidRDefault="00852C2C">
      <w:pPr>
        <w:numPr>
          <w:ilvl w:val="0"/>
          <w:numId w:val="1"/>
        </w:numPr>
        <w:tabs>
          <w:tab w:val="clear" w:pos="360"/>
          <w:tab w:val="left" w:pos="720"/>
        </w:tabs>
        <w:spacing w:before="117" w:line="260" w:lineRule="exact"/>
        <w:ind w:left="720" w:right="360" w:hanging="360"/>
        <w:jc w:val="both"/>
        <w:textAlignment w:val="baseline"/>
        <w:rPr>
          <w:rFonts w:ascii="Tahoma" w:eastAsia="Tahoma" w:hAnsi="Tahoma"/>
          <w:color w:val="000000"/>
          <w:spacing w:val="-2"/>
          <w:sz w:val="20"/>
        </w:rPr>
      </w:pPr>
      <w:r>
        <w:rPr>
          <w:rFonts w:ascii="Tahoma" w:eastAsia="Tahoma" w:hAnsi="Tahoma"/>
          <w:color w:val="000000"/>
          <w:spacing w:val="-2"/>
          <w:sz w:val="20"/>
        </w:rPr>
        <w:t>We suggest that proposed Tier 2 provisions in the subcategories of 'General reporting obligations to the regulator' and 'Inadequate record keeping or administrative processes' may not warrant inclusion in Tier 2. These provisions mostly relate to the submi</w:t>
      </w:r>
      <w:r>
        <w:rPr>
          <w:rFonts w:ascii="Tahoma" w:eastAsia="Tahoma" w:hAnsi="Tahoma"/>
          <w:color w:val="000000"/>
          <w:spacing w:val="-2"/>
          <w:sz w:val="20"/>
        </w:rPr>
        <w:t>ssion of information to the AER, or the provision of information to pipeline users and gas consumers. Compliance with these provisions</w:t>
      </w:r>
    </w:p>
    <w:p w:rsidR="00A455BE" w:rsidRDefault="00852C2C">
      <w:pPr>
        <w:tabs>
          <w:tab w:val="left" w:pos="2952"/>
        </w:tabs>
        <w:spacing w:before="2" w:line="260" w:lineRule="exact"/>
        <w:ind w:left="720" w:right="360"/>
        <w:jc w:val="both"/>
        <w:textAlignment w:val="baseline"/>
        <w:rPr>
          <w:rFonts w:ascii="Tahoma" w:eastAsia="Tahoma" w:hAnsi="Tahoma"/>
          <w:color w:val="000000"/>
          <w:spacing w:val="-3"/>
          <w:sz w:val="20"/>
        </w:rPr>
      </w:pPr>
      <w:r>
        <w:rPr>
          <w:rFonts w:ascii="Tahoma" w:eastAsia="Tahoma" w:hAnsi="Tahoma"/>
          <w:color w:val="000000"/>
          <w:spacing w:val="-3"/>
          <w:sz w:val="20"/>
        </w:rPr>
        <w:t>is clearly important.</w:t>
      </w:r>
      <w:r>
        <w:rPr>
          <w:rFonts w:ascii="Tahoma" w:eastAsia="Tahoma" w:hAnsi="Tahoma"/>
          <w:color w:val="000000"/>
          <w:spacing w:val="-3"/>
          <w:sz w:val="20"/>
        </w:rPr>
        <w:tab/>
        <w:t xml:space="preserve">However, in respect of provisions relating to deadlines and content of submissions and information </w:t>
      </w:r>
      <w:r>
        <w:rPr>
          <w:rFonts w:ascii="Tahoma" w:eastAsia="Tahoma" w:hAnsi="Tahoma"/>
          <w:color w:val="000000"/>
          <w:spacing w:val="-3"/>
          <w:sz w:val="20"/>
        </w:rPr>
        <w:t>to be provided to the regulator, (such as NGL 56, 57, NGR 37, 43(1), 52(1)), a Tier 3 penalty is sufficient to deter contravention. A Tier 2 penalty seems disproportionate.</w:t>
      </w:r>
    </w:p>
    <w:p w:rsidR="00A455BE" w:rsidRDefault="00852C2C">
      <w:pPr>
        <w:numPr>
          <w:ilvl w:val="0"/>
          <w:numId w:val="1"/>
        </w:numPr>
        <w:tabs>
          <w:tab w:val="clear" w:pos="360"/>
          <w:tab w:val="left" w:pos="720"/>
        </w:tabs>
        <w:spacing w:before="120" w:line="260" w:lineRule="exact"/>
        <w:ind w:left="720" w:right="360" w:hanging="360"/>
        <w:jc w:val="both"/>
        <w:textAlignment w:val="baseline"/>
        <w:rPr>
          <w:rFonts w:ascii="Tahoma" w:eastAsia="Tahoma" w:hAnsi="Tahoma"/>
          <w:color w:val="000000"/>
          <w:sz w:val="20"/>
        </w:rPr>
      </w:pPr>
      <w:r>
        <w:rPr>
          <w:noProof/>
          <w:lang w:val="en-AU" w:eastAsia="en-AU"/>
        </w:rPr>
        <mc:AlternateContent>
          <mc:Choice Requires="wps">
            <w:drawing>
              <wp:anchor distT="0" distB="0" distL="0" distR="0" simplePos="0" relativeHeight="251656704" behindDoc="1" locked="0" layoutInCell="1" allowOverlap="1">
                <wp:simplePos x="0" y="0"/>
                <wp:positionH relativeFrom="page">
                  <wp:posOffset>6794500</wp:posOffset>
                </wp:positionH>
                <wp:positionV relativeFrom="page">
                  <wp:posOffset>9966325</wp:posOffset>
                </wp:positionV>
                <wp:extent cx="86995" cy="107315"/>
                <wp:effectExtent l="0" t="0" r="0" b="0"/>
                <wp:wrapSquare wrapText="bothSides"/>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95" cy="107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55BE" w:rsidRDefault="00852C2C">
                            <w:pPr>
                              <w:spacing w:before="7" w:line="152" w:lineRule="exact"/>
                              <w:textAlignment w:val="baseline"/>
                              <w:rPr>
                                <w:rFonts w:ascii="Tahoma" w:eastAsia="Tahoma" w:hAnsi="Tahoma"/>
                                <w:color w:val="063D6C"/>
                                <w:sz w:val="14"/>
                              </w:rPr>
                            </w:pPr>
                            <w:r>
                              <w:rPr>
                                <w:rFonts w:ascii="Tahoma" w:eastAsia="Tahoma" w:hAnsi="Tahoma"/>
                                <w:color w:val="063D6C"/>
                                <w:sz w:val="14"/>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535pt;margin-top:784.75pt;width:6.85pt;height:8.4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" filled="f" stroked="f">
                <v:textbox inset="0,0,0,0">
                  <w:txbxContent>
                    <w:p w:rsidR="00A455BE" w:rsidRDefault="00852C2C">
                      <w:pPr>
                        <w:spacing w:before="7" w:line="152" w:lineRule="exact"/>
                        <w:textAlignment w:val="baseline"/>
                        <w:rPr>
                          <w:rFonts w:ascii="Tahoma" w:eastAsia="Tahoma" w:hAnsi="Tahoma"/>
                          <w:color w:val="063D6C"/>
                          <w:sz w:val="14"/>
                        </w:rPr>
                      </w:pPr>
                      <w:r>
                        <w:rPr>
                          <w:rFonts w:ascii="Tahoma" w:eastAsia="Tahoma" w:hAnsi="Tahoma"/>
                          <w:color w:val="063D6C"/>
                          <w:sz w:val="14"/>
                        </w:rPr>
                        <w:t>1</w:t>
                      </w:r>
                    </w:p>
                  </w:txbxContent>
                </v:textbox>
                <w10:wrap type="square" anchorx="page" anchory="page"/>
              </v:shape>
            </w:pict>
          </mc:Fallback>
        </mc:AlternateContent>
      </w:r>
      <w:r>
        <w:rPr>
          <w:rFonts w:ascii="Tahoma" w:eastAsia="Tahoma" w:hAnsi="Tahoma"/>
          <w:color w:val="000000"/>
          <w:sz w:val="20"/>
        </w:rPr>
        <w:t>In relation to requirements to publish information on a service provider's web</w:t>
      </w:r>
      <w:r>
        <w:rPr>
          <w:rFonts w:ascii="Tahoma" w:eastAsia="Tahoma" w:hAnsi="Tahoma"/>
          <w:color w:val="000000"/>
          <w:sz w:val="20"/>
        </w:rPr>
        <w:t>site (NGR 107, 108), we consider the Tier 2 civil penalties and infringement penalties are not necessary to deter compliance. Other provisions (eg NGR 112) outline timeframes in which service providers must undertake various steps following an access reque</w:t>
      </w:r>
      <w:r>
        <w:rPr>
          <w:rFonts w:ascii="Tahoma" w:eastAsia="Tahoma" w:hAnsi="Tahoma"/>
          <w:color w:val="000000"/>
          <w:sz w:val="20"/>
        </w:rPr>
        <w:t>st. These provisions are subject to the access dispute provisions which form a significant incentive to ensure actions are undertaken within the required timeframes.</w:t>
      </w:r>
    </w:p>
    <w:p w:rsidR="00A455BE" w:rsidRDefault="00A455BE">
      <w:pPr>
        <w:sectPr w:rsidR="00A455BE">
          <w:pgSz w:w="11904" w:h="16843"/>
          <w:pgMar w:top="2882" w:right="1066" w:bottom="752" w:left="1075" w:header="720" w:footer="720" w:gutter="0"/>
          <w:cols w:space="720"/>
        </w:sectPr>
      </w:pPr>
    </w:p>
    <w:p w:rsidR="00A455BE" w:rsidRDefault="00852C2C">
      <w:pPr>
        <w:spacing w:before="5"/>
        <w:ind w:right="7258"/>
        <w:textAlignment w:val="baseline"/>
      </w:pPr>
      <w:r>
        <w:rPr>
          <w:noProof/>
          <w:lang w:val="en-AU" w:eastAsia="en-AU"/>
        </w:rPr>
        <w:lastRenderedPageBreak/>
        <w:drawing>
          <wp:inline distT="0" distB="0" distL="0" distR="0">
            <wp:extent cx="1195070" cy="35623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8"/>
                    <a:stretch>
                      <a:fillRect/>
                    </a:stretch>
                  </pic:blipFill>
                  <pic:spPr>
                    <a:xfrm>
                      <a:off x="0" y="0"/>
                      <a:ext cx="1195070" cy="356235"/>
                    </a:xfrm>
                    <a:prstGeom prst="rect">
                      <a:avLst/>
                    </a:prstGeom>
                  </pic:spPr>
                </pic:pic>
              </a:graphicData>
            </a:graphic>
          </wp:inline>
        </w:drawing>
      </w:r>
    </w:p>
    <w:p w:rsidR="00A455BE" w:rsidRDefault="00852C2C">
      <w:pPr>
        <w:numPr>
          <w:ilvl w:val="0"/>
          <w:numId w:val="1"/>
        </w:numPr>
        <w:tabs>
          <w:tab w:val="clear" w:pos="360"/>
          <w:tab w:val="left" w:pos="432"/>
        </w:tabs>
        <w:spacing w:before="16" w:line="260" w:lineRule="exact"/>
        <w:ind w:left="432" w:hanging="360"/>
        <w:jc w:val="both"/>
        <w:textAlignment w:val="baseline"/>
        <w:rPr>
          <w:rFonts w:ascii="Tahoma" w:eastAsia="Tahoma" w:hAnsi="Tahoma"/>
          <w:color w:val="000000"/>
          <w:sz w:val="20"/>
        </w:rPr>
      </w:pPr>
      <w:r>
        <w:rPr>
          <w:rFonts w:ascii="Tahoma" w:eastAsia="Tahoma" w:hAnsi="Tahoma"/>
          <w:color w:val="000000"/>
          <w:sz w:val="20"/>
        </w:rPr>
        <w:t>Having regard to the compliance incentives in the regulatory framework and the proportionality of the harm caused by contravention, we consider classifying the majority of provisions proposed in the subcategories, 'General reporting obligations to the regu</w:t>
      </w:r>
      <w:r>
        <w:rPr>
          <w:rFonts w:ascii="Tahoma" w:eastAsia="Tahoma" w:hAnsi="Tahoma"/>
          <w:color w:val="000000"/>
          <w:sz w:val="20"/>
        </w:rPr>
        <w:t>lator' and 'Inadequate record keeping or administrative processes' as Tier 3 rather than Tier 2, will achieve the objectives of the penalty regime and better balance the proportionality of the response.</w:t>
      </w:r>
    </w:p>
    <w:p w:rsidR="00A455BE" w:rsidRDefault="00852C2C">
      <w:pPr>
        <w:numPr>
          <w:ilvl w:val="0"/>
          <w:numId w:val="1"/>
        </w:numPr>
        <w:tabs>
          <w:tab w:val="clear" w:pos="360"/>
          <w:tab w:val="left" w:pos="432"/>
        </w:tabs>
        <w:spacing w:before="124" w:line="260" w:lineRule="exact"/>
        <w:ind w:left="432" w:hanging="360"/>
        <w:jc w:val="both"/>
        <w:textAlignment w:val="baseline"/>
        <w:rPr>
          <w:rFonts w:ascii="Tahoma" w:eastAsia="Tahoma" w:hAnsi="Tahoma"/>
          <w:color w:val="000000"/>
          <w:spacing w:val="-2"/>
          <w:sz w:val="20"/>
        </w:rPr>
      </w:pPr>
      <w:r>
        <w:rPr>
          <w:rFonts w:ascii="Tahoma" w:eastAsia="Tahoma" w:hAnsi="Tahoma"/>
          <w:color w:val="000000"/>
          <w:spacing w:val="-2"/>
          <w:sz w:val="20"/>
        </w:rPr>
        <w:t>In regard to National Energy Retail Law (NERL) and Ru</w:t>
      </w:r>
      <w:r>
        <w:rPr>
          <w:rFonts w:ascii="Tahoma" w:eastAsia="Tahoma" w:hAnsi="Tahoma"/>
          <w:color w:val="000000"/>
          <w:spacing w:val="-2"/>
          <w:sz w:val="20"/>
        </w:rPr>
        <w:t>les we consider the tiers should take into account the AER Compliance Procedures and Guidelines (the Procedures and Guidelines).</w:t>
      </w:r>
      <w:r>
        <w:rPr>
          <w:rFonts w:ascii="Tahoma" w:eastAsia="Tahoma" w:hAnsi="Tahoma"/>
          <w:color w:val="000000"/>
          <w:spacing w:val="-2"/>
          <w:sz w:val="20"/>
          <w:vertAlign w:val="superscript"/>
        </w:rPr>
        <w:t>1</w:t>
      </w:r>
      <w:r>
        <w:rPr>
          <w:rFonts w:ascii="Tahoma" w:eastAsia="Tahoma" w:hAnsi="Tahoma"/>
          <w:color w:val="000000"/>
          <w:spacing w:val="-2"/>
          <w:sz w:val="20"/>
        </w:rPr>
        <w:t xml:space="preserve"> The Procedures and Guidelines assess the civil penalty provisions in the NERL and NERR, and then based on the potential harm caused by a breach of a specific provision, sets out reporting requirements. For example some provisions require a breach to be im</w:t>
      </w:r>
      <w:r>
        <w:rPr>
          <w:rFonts w:ascii="Tahoma" w:eastAsia="Tahoma" w:hAnsi="Tahoma"/>
          <w:color w:val="000000"/>
          <w:spacing w:val="-2"/>
          <w:sz w:val="20"/>
        </w:rPr>
        <w:t>mediately reported (within 2 days), while others are reported annually. The immediacy of the reporting requirement under the Procedures and Guidelines should align with the tier adopted in the civil penalty arrangements.</w:t>
      </w:r>
    </w:p>
    <w:p w:rsidR="00A455BE" w:rsidRDefault="00852C2C">
      <w:pPr>
        <w:numPr>
          <w:ilvl w:val="0"/>
          <w:numId w:val="1"/>
        </w:numPr>
        <w:tabs>
          <w:tab w:val="clear" w:pos="360"/>
          <w:tab w:val="left" w:pos="432"/>
        </w:tabs>
        <w:spacing w:before="114" w:line="260" w:lineRule="exact"/>
        <w:ind w:left="432" w:hanging="360"/>
        <w:jc w:val="both"/>
        <w:textAlignment w:val="baseline"/>
        <w:rPr>
          <w:rFonts w:ascii="Tahoma" w:eastAsia="Tahoma" w:hAnsi="Tahoma"/>
          <w:color w:val="000000"/>
          <w:sz w:val="20"/>
        </w:rPr>
      </w:pPr>
      <w:r>
        <w:rPr>
          <w:rFonts w:ascii="Tahoma" w:eastAsia="Tahoma" w:hAnsi="Tahoma"/>
          <w:color w:val="000000"/>
          <w:sz w:val="20"/>
        </w:rPr>
        <w:t>The NERL and Rule provisions includ</w:t>
      </w:r>
      <w:r>
        <w:rPr>
          <w:rFonts w:ascii="Tahoma" w:eastAsia="Tahoma" w:hAnsi="Tahoma"/>
          <w:color w:val="000000"/>
          <w:sz w:val="20"/>
        </w:rPr>
        <w:t>ed in the proposed tier 1 do not align with the most serious breaches in the AER Procedures and Guidelines. Specifically, breaches of NERR 90 and 91(c) are only required to be reported every six months, but are included in Tier 1. Similarly for NERR 122 br</w:t>
      </w:r>
      <w:r>
        <w:rPr>
          <w:rFonts w:ascii="Tahoma" w:eastAsia="Tahoma" w:hAnsi="Tahoma"/>
          <w:color w:val="000000"/>
          <w:sz w:val="20"/>
        </w:rPr>
        <w:t>eaches are reported quarterly, but also included in Tier 1. Given the AER's assessment is that these provisions do not require immediate reporting we consider they may warrant inclusion in a different tier.</w:t>
      </w:r>
    </w:p>
    <w:p w:rsidR="00A455BE" w:rsidRDefault="00852C2C">
      <w:pPr>
        <w:spacing w:before="124" w:line="260" w:lineRule="exact"/>
        <w:ind w:left="72"/>
        <w:jc w:val="both"/>
        <w:textAlignment w:val="baseline"/>
        <w:rPr>
          <w:rFonts w:ascii="Tahoma" w:eastAsia="Tahoma" w:hAnsi="Tahoma"/>
          <w:color w:val="000000"/>
          <w:sz w:val="20"/>
        </w:rPr>
      </w:pPr>
      <w:r>
        <w:rPr>
          <w:rFonts w:ascii="Tahoma" w:eastAsia="Tahoma" w:hAnsi="Tahoma"/>
          <w:color w:val="000000"/>
          <w:sz w:val="20"/>
        </w:rPr>
        <w:t>If you have any queries regarding this submission</w:t>
      </w:r>
      <w:r>
        <w:rPr>
          <w:rFonts w:ascii="Tahoma" w:eastAsia="Tahoma" w:hAnsi="Tahoma"/>
          <w:color w:val="000000"/>
          <w:sz w:val="20"/>
        </w:rPr>
        <w:t xml:space="preserve"> please contact Drew Pearman, Manager Policy and Government Relations (</w:t>
      </w:r>
      <w:hyperlink r:id="rId9">
        <w:r>
          <w:rPr>
            <w:rFonts w:ascii="Tahoma" w:eastAsia="Tahoma" w:hAnsi="Tahoma"/>
            <w:color w:val="0000FF"/>
            <w:sz w:val="20"/>
            <w:u w:val="single"/>
          </w:rPr>
          <w:t>drew.pearman@agig.com.au</w:t>
        </w:r>
      </w:hyperlink>
      <w:r>
        <w:rPr>
          <w:rFonts w:ascii="Tahoma" w:eastAsia="Tahoma" w:hAnsi="Tahoma"/>
          <w:color w:val="000000"/>
          <w:sz w:val="20"/>
        </w:rPr>
        <w:t>, 0417 544 731) to discuss this issue further.</w:t>
      </w:r>
    </w:p>
    <w:p w:rsidR="00A455BE" w:rsidRDefault="00852C2C">
      <w:pPr>
        <w:spacing w:before="125" w:line="235" w:lineRule="exact"/>
        <w:ind w:left="72"/>
        <w:textAlignment w:val="baseline"/>
        <w:rPr>
          <w:rFonts w:ascii="Tahoma" w:eastAsia="Tahoma" w:hAnsi="Tahoma"/>
          <w:color w:val="000000"/>
          <w:sz w:val="20"/>
        </w:rPr>
      </w:pPr>
      <w:r>
        <w:rPr>
          <w:noProof/>
          <w:lang w:val="en-AU" w:eastAsia="en-AU"/>
        </w:rPr>
        <mc:AlternateContent>
          <mc:Choice Requires="wps">
            <w:drawing>
              <wp:anchor distT="0" distB="0" distL="0" distR="0" simplePos="0" relativeHeight="251657728" behindDoc="1" locked="0" layoutInCell="1" allowOverlap="1">
                <wp:simplePos x="0" y="0"/>
                <wp:positionH relativeFrom="page">
                  <wp:posOffset>829310</wp:posOffset>
                </wp:positionH>
                <wp:positionV relativeFrom="page">
                  <wp:posOffset>4824730</wp:posOffset>
                </wp:positionV>
                <wp:extent cx="1463040" cy="533400"/>
                <wp:effectExtent l="0" t="0" r="0"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304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55BE" w:rsidRDefault="00852C2C">
                            <w:pPr>
                              <w:textAlignment w:val="baseline"/>
                            </w:pPr>
                            <w:r>
                              <w:rPr>
                                <w:noProof/>
                                <w:lang w:val="en-AU" w:eastAsia="en-AU"/>
                              </w:rPr>
                              <w:drawing>
                                <wp:inline distT="0" distB="0" distL="0" distR="0">
                                  <wp:extent cx="1463040" cy="53340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10"/>
                                          <a:stretch>
                                            <a:fillRect/>
                                          </a:stretch>
                                        </pic:blipFill>
                                        <pic:spPr>
                                          <a:xfrm>
                                            <a:off x="0" y="0"/>
                                            <a:ext cx="1463040" cy="53340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65.3pt;margin-top:379.9pt;width:115.2pt;height:42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" filled="f" stroked="f">
                <v:textbox inset="0,0,0,0">
                  <w:txbxContent>
                    <w:p w:rsidR="00A455BE" w:rsidRDefault="00852C2C">
                      <w:pPr>
                        <w:textAlignment w:val="baseline"/>
                      </w:pPr>
                      <w:r>
                        <w:rPr>
                          <w:noProof/>
                          <w:lang w:val="en-AU" w:eastAsia="en-AU"/>
                        </w:rPr>
                        <w:drawing>
                          <wp:inline distT="0" distB="0" distL="0" distR="0">
                            <wp:extent cx="1463040" cy="53340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10"/>
                                    <a:stretch>
                                      <a:fillRect/>
                                    </a:stretch>
                                  </pic:blipFill>
                                  <pic:spPr>
                                    <a:xfrm>
                                      <a:off x="0" y="0"/>
                                      <a:ext cx="1463040" cy="533400"/>
                                    </a:xfrm>
                                    <a:prstGeom prst="rect">
                                      <a:avLst/>
                                    </a:prstGeom>
                                  </pic:spPr>
                                </pic:pic>
                              </a:graphicData>
                            </a:graphic>
                          </wp:inline>
                        </w:drawing>
                      </w:r>
                    </w:p>
                  </w:txbxContent>
                </v:textbox>
                <w10:wrap anchorx="page" anchory="page"/>
              </v:shape>
            </w:pict>
          </mc:Fallback>
        </mc:AlternateContent>
      </w:r>
      <w:r>
        <w:rPr>
          <w:rFonts w:ascii="Tahoma" w:eastAsia="Tahoma" w:hAnsi="Tahoma"/>
          <w:color w:val="000000"/>
          <w:sz w:val="20"/>
        </w:rPr>
        <w:t>Yours sincerely</w:t>
      </w:r>
    </w:p>
    <w:p w:rsidR="00A455BE" w:rsidRDefault="00852C2C">
      <w:pPr>
        <w:spacing w:before="830" w:line="226" w:lineRule="exact"/>
        <w:ind w:left="72"/>
        <w:textAlignment w:val="baseline"/>
        <w:rPr>
          <w:rFonts w:ascii="Calibri" w:eastAsia="Calibri" w:hAnsi="Calibri"/>
          <w:b/>
          <w:color w:val="000000"/>
        </w:rPr>
      </w:pPr>
      <w:r>
        <w:rPr>
          <w:rFonts w:ascii="Calibri" w:eastAsia="Calibri" w:hAnsi="Calibri"/>
          <w:b/>
          <w:color w:val="000000"/>
        </w:rPr>
        <w:t>Craig de Laine</w:t>
      </w:r>
    </w:p>
    <w:p w:rsidR="00A455BE" w:rsidRDefault="00852C2C">
      <w:pPr>
        <w:spacing w:before="43" w:after="5630" w:line="226" w:lineRule="exact"/>
        <w:ind w:left="72"/>
        <w:textAlignment w:val="baseline"/>
        <w:rPr>
          <w:rFonts w:ascii="Calibri" w:eastAsia="Calibri" w:hAnsi="Calibri"/>
          <w:b/>
          <w:color w:val="000000"/>
        </w:rPr>
      </w:pPr>
      <w:r>
        <w:rPr>
          <w:rFonts w:ascii="Calibri" w:eastAsia="Calibri" w:hAnsi="Calibri"/>
          <w:b/>
          <w:color w:val="000000"/>
        </w:rPr>
        <w:t xml:space="preserve">General Manager – People &amp; </w:t>
      </w:r>
      <w:r>
        <w:rPr>
          <w:rFonts w:ascii="Calibri" w:eastAsia="Calibri" w:hAnsi="Calibri"/>
          <w:b/>
          <w:color w:val="000000"/>
        </w:rPr>
        <w:t>Strategy</w:t>
      </w:r>
    </w:p>
    <w:p w:rsidR="00A455BE" w:rsidRDefault="00A455BE">
      <w:pPr>
        <w:spacing w:before="43" w:after="5630" w:line="226" w:lineRule="exact"/>
        <w:sectPr w:rsidR="00A455BE">
          <w:pgSz w:w="11904" w:h="16843"/>
          <w:pgMar w:top="840" w:right="1420" w:bottom="567" w:left="1344" w:header="720" w:footer="720" w:gutter="0"/>
          <w:cols w:space="720"/>
        </w:sectPr>
      </w:pPr>
    </w:p>
    <w:p w:rsidR="00A455BE" w:rsidRDefault="00852C2C">
      <w:pPr>
        <w:spacing w:before="120" w:line="243" w:lineRule="exact"/>
        <w:textAlignment w:val="baseline"/>
        <w:rPr>
          <w:rFonts w:ascii="Calibri" w:eastAsia="Calibri" w:hAnsi="Calibri"/>
          <w:color w:val="000000"/>
          <w:sz w:val="13"/>
          <w:vertAlign w:val="superscript"/>
        </w:rPr>
      </w:pPr>
      <w:r>
        <w:rPr>
          <w:noProof/>
          <w:lang w:val="en-AU" w:eastAsia="en-AU"/>
        </w:rPr>
        <mc:AlternateContent>
          <mc:Choice Requires="wps">
            <w:drawing>
              <wp:anchor distT="0" distB="0" distL="0" distR="0" simplePos="0" relativeHeight="251658752" behindDoc="1" locked="0" layoutInCell="1" allowOverlap="1">
                <wp:simplePos x="0" y="0"/>
                <wp:positionH relativeFrom="page">
                  <wp:posOffset>6781165</wp:posOffset>
                </wp:positionH>
                <wp:positionV relativeFrom="page">
                  <wp:posOffset>9966325</wp:posOffset>
                </wp:positionV>
                <wp:extent cx="111125" cy="107315"/>
                <wp:effectExtent l="0" t="0" r="0" b="0"/>
                <wp:wrapSquare wrapText="bothSides"/>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25" cy="107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55BE" w:rsidRDefault="00852C2C">
                            <w:pPr>
                              <w:spacing w:before="7" w:line="152" w:lineRule="exact"/>
                              <w:textAlignment w:val="baseline"/>
                              <w:rPr>
                                <w:rFonts w:ascii="Tahoma" w:eastAsia="Tahoma" w:hAnsi="Tahoma"/>
                                <w:color w:val="003B71"/>
                                <w:sz w:val="14"/>
                              </w:rPr>
                            </w:pPr>
                            <w:r>
                              <w:rPr>
                                <w:rFonts w:ascii="Tahoma" w:eastAsia="Tahoma" w:hAnsi="Tahoma"/>
                                <w:color w:val="003B71"/>
                                <w:sz w:val="1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533.95pt;margin-top:784.75pt;width:8.75pt;height:8.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" filled="f" stroked="f">
                <v:textbox inset="0,0,0,0">
                  <w:txbxContent>
                    <w:p w:rsidR="00A455BE" w:rsidRDefault="00852C2C">
                      <w:pPr>
                        <w:spacing w:before="7" w:line="152" w:lineRule="exact"/>
                        <w:textAlignment w:val="baseline"/>
                        <w:rPr>
                          <w:rFonts w:ascii="Tahoma" w:eastAsia="Tahoma" w:hAnsi="Tahoma"/>
                          <w:color w:val="003B71"/>
                          <w:sz w:val="14"/>
                        </w:rPr>
                      </w:pPr>
                      <w:r>
                        <w:rPr>
                          <w:rFonts w:ascii="Tahoma" w:eastAsia="Tahoma" w:hAnsi="Tahoma"/>
                          <w:color w:val="003B71"/>
                          <w:sz w:val="14"/>
                        </w:rPr>
                        <w:t>2</w:t>
                      </w:r>
                    </w:p>
                  </w:txbxContent>
                </v:textbox>
                <w10:wrap type="square" anchorx="page" anchory="page"/>
              </v:shape>
            </w:pict>
          </mc:Fallback>
        </mc:AlternateContent>
      </w:r>
      <w:r>
        <w:rPr>
          <w:noProof/>
          <w:lang w:val="en-AU" w:eastAsia="en-AU"/>
        </w:rPr>
        <mc:AlternateContent>
          <mc:Choice Requires="wps">
            <w:drawing>
              <wp:anchor distT="0" distB="0" distL="114300" distR="114300" simplePos="0" relativeHeight="251659776" behindDoc="0" locked="0" layoutInCell="1" allowOverlap="1">
                <wp:simplePos x="0" y="0"/>
                <wp:positionH relativeFrom="page">
                  <wp:posOffset>899160</wp:posOffset>
                </wp:positionH>
                <wp:positionV relativeFrom="page">
                  <wp:posOffset>9091930</wp:posOffset>
                </wp:positionV>
                <wp:extent cx="1832610" cy="0"/>
                <wp:effectExtent l="0" t="0" r="0" b="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FE866B" id="Line 2"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pt,715.9pt" to="215.1pt,7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" strokeweight=".95pt">
                <w10:wrap anchorx="page" anchory="page"/>
              </v:line>
            </w:pict>
          </mc:Fallback>
        </mc:AlternateContent>
      </w:r>
      <w:r>
        <w:rPr>
          <w:rFonts w:ascii="Calibri" w:eastAsia="Calibri" w:hAnsi="Calibri"/>
          <w:color w:val="000000"/>
          <w:sz w:val="13"/>
          <w:vertAlign w:val="superscript"/>
        </w:rPr>
        <w:t>1</w:t>
      </w:r>
      <w:r>
        <w:rPr>
          <w:rFonts w:ascii="Calibri" w:eastAsia="Calibri" w:hAnsi="Calibri"/>
          <w:color w:val="000000"/>
          <w:sz w:val="20"/>
        </w:rPr>
        <w:t xml:space="preserve"> Australian Energy Regulator, AER Compliance Procedures and Guidelines: National Energy Retail Law, Retail Rules and Regulations Version 6, </w:t>
      </w:r>
      <w:hyperlink r:id="rId11">
        <w:r>
          <w:rPr>
            <w:rFonts w:ascii="Calibri" w:eastAsia="Calibri" w:hAnsi="Calibri"/>
            <w:color w:val="0000FF"/>
            <w:sz w:val="20"/>
            <w:u w:val="single"/>
          </w:rPr>
          <w:t>https://www.aer.gov.au/system/files/AER%20compliance%20procedures%20and%20guidelines%20</w:t>
        </w:r>
      </w:hyperlink>
      <w:r>
        <w:rPr>
          <w:rFonts w:ascii="Arial" w:eastAsia="Arial" w:hAnsi="Arial"/>
          <w:color w:val="0000FF"/>
          <w:u w:val="single"/>
        </w:rPr>
        <w:t>-</w:t>
      </w:r>
      <w:r>
        <w:rPr>
          <w:rFonts w:ascii="Calibri" w:eastAsia="Calibri" w:hAnsi="Calibri"/>
          <w:color w:val="0000FF"/>
          <w:sz w:val="20"/>
          <w:u w:val="single"/>
        </w:rPr>
        <w:t>%20Version%206%20</w:t>
      </w:r>
      <w:r>
        <w:rPr>
          <w:rFonts w:ascii="Arial" w:eastAsia="Arial" w:hAnsi="Arial"/>
          <w:color w:val="0000FF"/>
          <w:u w:val="single"/>
        </w:rPr>
        <w:t>-</w:t>
      </w:r>
      <w:r>
        <w:rPr>
          <w:rFonts w:ascii="Calibri" w:eastAsia="Calibri" w:hAnsi="Calibri"/>
          <w:color w:val="0000FF"/>
          <w:sz w:val="20"/>
          <w:u w:val="single"/>
        </w:rPr>
        <w:t>%</w:t>
      </w:r>
      <w:r>
        <w:rPr>
          <w:rFonts w:ascii="Calibri" w:eastAsia="Calibri" w:hAnsi="Calibri"/>
          <w:color w:val="0000FF"/>
          <w:sz w:val="20"/>
          <w:u w:val="single"/>
        </w:rPr>
        <w:t>20September%202018_2.pdf</w:t>
      </w:r>
      <w:r>
        <w:rPr>
          <w:rFonts w:ascii="Calibri" w:eastAsia="Calibri" w:hAnsi="Calibri"/>
          <w:color w:val="0562C1"/>
          <w:sz w:val="20"/>
        </w:rPr>
        <w:t xml:space="preserve"> </w:t>
      </w:r>
    </w:p>
    <w:sectPr w:rsidR="00A455BE">
      <w:type w:val="continuous"/>
      <w:pgSz w:w="11904" w:h="16843"/>
      <w:pgMar w:top="840" w:right="1648" w:bottom="567" w:left="141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Calibri">
    <w:charset w:val="00"/>
    <w:pitch w:val="variable"/>
    <w:family w:val="swiss"/>
    <w:panose1 w:val="02020603050405020304"/>
  </w:font>
  <w:font w:name="Tahoma">
    <w:charset w:val="00"/>
    <w:pitch w:val="variable"/>
    <w:family w:val="swiss"/>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756EF5"/>
    <w:multiLevelType w:val="multilevel"/>
    <w:tmpl w:val="FC62E0A4"/>
    <w:lvl w:ilvl="0">
      <w:numFmt w:val="bullet"/>
      <w:lvlText w:val="·"/>
      <w:lvlJc w:val="left"/>
      <w:pPr>
        <w:tabs>
          <w:tab w:val="left" w:pos="360"/>
        </w:tabs>
      </w:pPr>
      <w:rPr>
        <w:rFonts w:ascii="Symbol" w:eastAsia="Symbol" w:hAnsi="Symbol"/>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5BE"/>
    <w:rsid w:val="00852C2C"/>
    <w:rsid w:val="00A455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docId w15:val="{208346DD-A93C-4B56-93C0-D0194A5E2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PTSecretariat@industry.gov.au%20" TargetMode="External"/><Relationship Id="rId12" Type="http://schemas.openxmlformats.org/officeDocument/2006/relationships/fontTable" Target="fontTable.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hyperlink" Target="https://www.aer.gov.au/system/files/AER%20compliance%20procedures%20and%20guidelines%20-%20Version%206%20-%20September%202018_2.pdf" TargetMode="External"/><Relationship Id="rId5" Type="http://schemas.openxmlformats.org/officeDocument/2006/relationships/image" Target="media/image1.jpg"/><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hyperlink" Target="mailto:drew.pearman@agig.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836</Words>
  <Characters>4768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Microsoft Word - 200808_COAG EG penalty tiers_AGIG v3</vt:lpstr>
    </vt:vector>
  </TitlesOfParts>
  <Company>Department of Industry, Innovation and Science</Company>
  <LinksUpToDate>false</LinksUpToDate>
  <CharactersWithSpaces>5593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- 200808_COAG EG penalty tiers_AGIG v3</dc:title>
  <dc:creator>tammer</dc:creator>
  <cp:lastModifiedBy>Hirscher, Andrew</cp:lastModifiedBy>
  <cp:revision>2</cp:revision>
  <dcterms:created xsi:type="dcterms:W3CDTF">2020-08-13T05:14:00Z</dcterms:created>
  <dcterms:modified xsi:type="dcterms:W3CDTF">2020-08-13T05:14:00Z</dcterms:modified>
</cp:coreProperties>
</file>