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6C6D45">
      <w:pPr>
        <w:kinsoku w:val="0"/>
        <w:overflowPunct w:val="0"/>
        <w:autoSpaceDE/>
        <w:autoSpaceDN/>
        <w:adjustRightInd/>
        <w:spacing w:after="294"/>
        <w:textAlignment w:val="baseline"/>
        <w:rPr>
          <w:sz w:val="24"/>
        </w:rPr>
      </w:pPr>
      <w:bookmarkStart w:id="0" w:name="_GoBack"/>
      <w:bookmarkEnd w:id="0"/>
      <w:r>
        <w:rPr>
          <w:noProof/>
          <w:sz w:val="24"/>
          <w:lang w:val="en-AU"/>
        </w:rPr>
        <w:drawing>
          <wp:inline distT="0" distB="0" distL="0" distR="0">
            <wp:extent cx="3359150" cy="488950"/>
            <wp:effectExtent l="0" t="0" r="0" b="6350"/>
            <wp:docPr id="1" name="Picture 1" descr="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Pic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59150" cy="488950"/>
                    </a:xfrm>
                    <a:prstGeom prst="rect">
                      <a:avLst/>
                    </a:prstGeom>
                    <a:noFill/>
                    <a:ln>
                      <a:noFill/>
                    </a:ln>
                  </pic:spPr>
                </pic:pic>
              </a:graphicData>
            </a:graphic>
          </wp:inline>
        </w:drawing>
      </w:r>
    </w:p>
    <w:p w:rsidR="00000000" w:rsidRDefault="006C6D45">
      <w:pPr>
        <w:kinsoku w:val="0"/>
        <w:overflowPunct w:val="0"/>
        <w:autoSpaceDE/>
        <w:autoSpaceDN/>
        <w:adjustRightInd/>
        <w:spacing w:after="294"/>
        <w:textAlignment w:val="baseline"/>
        <w:rPr>
          <w:sz w:val="24"/>
        </w:rPr>
        <w:sectPr w:rsidR="00000000">
          <w:pgSz w:w="11909" w:h="16838"/>
          <w:pgMar w:top="960" w:right="0" w:bottom="1262" w:left="6624"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5073"/>
        <w:gridCol w:w="3967"/>
      </w:tblGrid>
      <w:tr w:rsidR="00000000">
        <w:tblPrEx>
          <w:tblCellMar>
            <w:top w:w="0" w:type="dxa"/>
            <w:left w:w="0" w:type="dxa"/>
            <w:bottom w:w="0" w:type="dxa"/>
            <w:right w:w="0" w:type="dxa"/>
          </w:tblCellMar>
        </w:tblPrEx>
        <w:trPr>
          <w:trHeight w:hRule="exact" w:val="2281"/>
        </w:trPr>
        <w:tc>
          <w:tcPr>
            <w:tcW w:w="5073" w:type="dxa"/>
            <w:tcBorders>
              <w:top w:val="nil"/>
              <w:left w:val="nil"/>
              <w:bottom w:val="nil"/>
              <w:right w:val="nil"/>
            </w:tcBorders>
            <w:vAlign w:val="bottom"/>
          </w:tcPr>
          <w:p w:rsidR="00000000" w:rsidRDefault="006C6D45">
            <w:pPr>
              <w:tabs>
                <w:tab w:val="left" w:pos="1728"/>
              </w:tabs>
              <w:kinsoku w:val="0"/>
              <w:overflowPunct w:val="0"/>
              <w:autoSpaceDE/>
              <w:autoSpaceDN/>
              <w:adjustRightInd/>
              <w:spacing w:before="1595" w:line="230" w:lineRule="exact"/>
              <w:textAlignment w:val="baseline"/>
              <w:rPr>
                <w:rFonts w:ascii="Arial" w:hAnsi="Arial"/>
              </w:rPr>
            </w:pPr>
            <w:r>
              <w:rPr>
                <w:rFonts w:ascii="Arial" w:hAnsi="Arial"/>
              </w:rPr>
              <w:t>Our Ref:</w:t>
            </w:r>
            <w:r>
              <w:rPr>
                <w:rFonts w:ascii="Arial" w:hAnsi="Arial"/>
              </w:rPr>
              <w:tab/>
              <w:t>AER200996</w:t>
            </w:r>
          </w:p>
          <w:p w:rsidR="00000000" w:rsidRDefault="006C6D45">
            <w:pPr>
              <w:tabs>
                <w:tab w:val="left" w:pos="1728"/>
              </w:tabs>
              <w:kinsoku w:val="0"/>
              <w:overflowPunct w:val="0"/>
              <w:autoSpaceDE/>
              <w:autoSpaceDN/>
              <w:adjustRightInd/>
              <w:spacing w:line="222" w:lineRule="exact"/>
              <w:textAlignment w:val="baseline"/>
              <w:rPr>
                <w:rFonts w:ascii="Arial" w:hAnsi="Arial"/>
              </w:rPr>
            </w:pPr>
            <w:r>
              <w:rPr>
                <w:rFonts w:ascii="Arial" w:hAnsi="Arial"/>
              </w:rPr>
              <w:t>Contact Officer:</w:t>
            </w:r>
            <w:r>
              <w:rPr>
                <w:rFonts w:ascii="Arial" w:hAnsi="Arial"/>
              </w:rPr>
              <w:tab/>
              <w:t>Libby Darwin</w:t>
            </w:r>
            <w:r>
              <w:rPr>
                <w:rFonts w:ascii="Arial" w:hAnsi="Arial"/>
              </w:rPr>
              <w:br/>
              <w:t>Contact Phone: 0408 696 164</w:t>
            </w:r>
          </w:p>
        </w:tc>
        <w:tc>
          <w:tcPr>
            <w:tcW w:w="3967" w:type="dxa"/>
            <w:tcBorders>
              <w:top w:val="nil"/>
              <w:left w:val="nil"/>
              <w:bottom w:val="nil"/>
              <w:right w:val="nil"/>
            </w:tcBorders>
          </w:tcPr>
          <w:p w:rsidR="00000000" w:rsidRDefault="006C6D45">
            <w:pPr>
              <w:kinsoku w:val="0"/>
              <w:overflowPunct w:val="0"/>
              <w:autoSpaceDE/>
              <w:autoSpaceDN/>
              <w:adjustRightInd/>
              <w:spacing w:line="237" w:lineRule="exact"/>
              <w:ind w:left="2160"/>
              <w:jc w:val="right"/>
              <w:textAlignment w:val="baseline"/>
              <w:rPr>
                <w:rFonts w:ascii="Arial" w:hAnsi="Arial"/>
                <w:spacing w:val="-2"/>
              </w:rPr>
            </w:pPr>
            <w:r>
              <w:rPr>
                <w:rFonts w:ascii="Arial" w:hAnsi="Arial"/>
                <w:spacing w:val="-2"/>
              </w:rPr>
              <w:t>Level 17, Casselden 2 Lonsdale Street Melbourne Vic 3000</w:t>
            </w:r>
          </w:p>
          <w:p w:rsidR="00000000" w:rsidRDefault="006C6D45">
            <w:pPr>
              <w:kinsoku w:val="0"/>
              <w:overflowPunct w:val="0"/>
              <w:autoSpaceDE/>
              <w:autoSpaceDN/>
              <w:adjustRightInd/>
              <w:spacing w:before="68" w:line="230" w:lineRule="exact"/>
              <w:ind w:right="16"/>
              <w:jc w:val="right"/>
              <w:textAlignment w:val="baseline"/>
              <w:rPr>
                <w:rFonts w:ascii="Arial" w:hAnsi="Arial"/>
              </w:rPr>
            </w:pPr>
            <w:r>
              <w:rPr>
                <w:rFonts w:ascii="Arial" w:hAnsi="Arial"/>
              </w:rPr>
              <w:t>GPO Box 520</w:t>
            </w:r>
          </w:p>
          <w:p w:rsidR="00000000" w:rsidRDefault="006C6D45">
            <w:pPr>
              <w:kinsoku w:val="0"/>
              <w:overflowPunct w:val="0"/>
              <w:autoSpaceDE/>
              <w:autoSpaceDN/>
              <w:adjustRightInd/>
              <w:spacing w:before="10" w:line="230" w:lineRule="exact"/>
              <w:ind w:right="16"/>
              <w:jc w:val="right"/>
              <w:textAlignment w:val="baseline"/>
              <w:rPr>
                <w:rFonts w:ascii="Arial" w:hAnsi="Arial"/>
              </w:rPr>
            </w:pPr>
            <w:r>
              <w:rPr>
                <w:rFonts w:ascii="Arial" w:hAnsi="Arial"/>
              </w:rPr>
              <w:t>Melbourne Vic 3001</w:t>
            </w:r>
          </w:p>
          <w:p w:rsidR="00000000" w:rsidRDefault="006C6D45">
            <w:pPr>
              <w:kinsoku w:val="0"/>
              <w:overflowPunct w:val="0"/>
              <w:autoSpaceDE/>
              <w:autoSpaceDN/>
              <w:adjustRightInd/>
              <w:spacing w:before="4" w:after="420" w:line="298" w:lineRule="exact"/>
              <w:ind w:left="2304"/>
              <w:jc w:val="right"/>
              <w:textAlignment w:val="baseline"/>
              <w:rPr>
                <w:rFonts w:ascii="Arial" w:hAnsi="Arial"/>
                <w:spacing w:val="-2"/>
              </w:rPr>
            </w:pPr>
            <w:r>
              <w:rPr>
                <w:rFonts w:ascii="Arial" w:hAnsi="Arial"/>
                <w:spacing w:val="-2"/>
              </w:rPr>
              <w:t xml:space="preserve">tel: (03) 9290 1800 </w:t>
            </w:r>
            <w:hyperlink r:id="rId6" w:history="1">
              <w:r>
                <w:rPr>
                  <w:rFonts w:ascii="Arial" w:hAnsi="Arial"/>
                  <w:color w:val="0000FF"/>
                  <w:spacing w:val="-2"/>
                  <w:u w:val="single"/>
                </w:rPr>
                <w:t>www.aer.gov.au</w:t>
              </w:r>
            </w:hyperlink>
          </w:p>
        </w:tc>
      </w:tr>
    </w:tbl>
    <w:p w:rsidR="00000000" w:rsidRDefault="006C6D45">
      <w:pPr>
        <w:kinsoku w:val="0"/>
        <w:overflowPunct w:val="0"/>
        <w:autoSpaceDE/>
        <w:autoSpaceDN/>
        <w:adjustRightInd/>
        <w:spacing w:after="484" w:line="20" w:lineRule="exact"/>
        <w:textAlignment w:val="baseline"/>
        <w:rPr>
          <w:sz w:val="24"/>
        </w:rPr>
      </w:pPr>
    </w:p>
    <w:p w:rsidR="00000000" w:rsidRDefault="006C6D45">
      <w:pPr>
        <w:kinsoku w:val="0"/>
        <w:overflowPunct w:val="0"/>
        <w:autoSpaceDE/>
        <w:autoSpaceDN/>
        <w:adjustRightInd/>
        <w:spacing w:before="2" w:line="251" w:lineRule="exact"/>
        <w:textAlignment w:val="baseline"/>
        <w:rPr>
          <w:rFonts w:ascii="Arial" w:hAnsi="Arial"/>
          <w:sz w:val="22"/>
        </w:rPr>
      </w:pPr>
      <w:r>
        <w:rPr>
          <w:rFonts w:ascii="Arial" w:hAnsi="Arial"/>
          <w:sz w:val="22"/>
        </w:rPr>
        <w:t>4 August 2020</w:t>
      </w:r>
    </w:p>
    <w:p w:rsidR="00000000" w:rsidRDefault="006C6D45">
      <w:pPr>
        <w:kinsoku w:val="0"/>
        <w:overflowPunct w:val="0"/>
        <w:autoSpaceDE/>
        <w:autoSpaceDN/>
        <w:adjustRightInd/>
        <w:spacing w:before="253" w:line="251" w:lineRule="exact"/>
        <w:textAlignment w:val="baseline"/>
        <w:rPr>
          <w:rFonts w:ascii="Arial" w:hAnsi="Arial"/>
          <w:sz w:val="22"/>
        </w:rPr>
      </w:pPr>
      <w:r>
        <w:rPr>
          <w:rFonts w:ascii="Arial" w:hAnsi="Arial"/>
          <w:sz w:val="22"/>
        </w:rPr>
        <w:t>Governance Project Team Secretariat</w:t>
      </w:r>
    </w:p>
    <w:p w:rsidR="00000000" w:rsidRDefault="006C6D45">
      <w:pPr>
        <w:kinsoku w:val="0"/>
        <w:overflowPunct w:val="0"/>
        <w:autoSpaceDE/>
        <w:autoSpaceDN/>
        <w:adjustRightInd/>
        <w:spacing w:before="4" w:line="251" w:lineRule="exact"/>
        <w:textAlignment w:val="baseline"/>
        <w:rPr>
          <w:rFonts w:ascii="Arial" w:hAnsi="Arial"/>
          <w:sz w:val="22"/>
        </w:rPr>
      </w:pPr>
      <w:r>
        <w:rPr>
          <w:rFonts w:ascii="Arial" w:hAnsi="Arial"/>
          <w:sz w:val="22"/>
        </w:rPr>
        <w:t>Department of Industry, Science, Energy and Resources</w:t>
      </w:r>
    </w:p>
    <w:p w:rsidR="00000000" w:rsidRDefault="006C6D45">
      <w:pPr>
        <w:kinsoku w:val="0"/>
        <w:overflowPunct w:val="0"/>
        <w:autoSpaceDE/>
        <w:autoSpaceDN/>
        <w:adjustRightInd/>
        <w:spacing w:before="3" w:line="250" w:lineRule="exact"/>
        <w:textAlignment w:val="baseline"/>
        <w:rPr>
          <w:rFonts w:ascii="Arial" w:hAnsi="Arial"/>
          <w:spacing w:val="-1"/>
          <w:sz w:val="22"/>
        </w:rPr>
      </w:pPr>
      <w:r>
        <w:rPr>
          <w:rFonts w:ascii="Arial" w:hAnsi="Arial"/>
          <w:spacing w:val="-1"/>
          <w:sz w:val="22"/>
        </w:rPr>
        <w:t>GPO 2013</w:t>
      </w:r>
    </w:p>
    <w:p w:rsidR="00000000" w:rsidRDefault="006C6D45">
      <w:pPr>
        <w:kinsoku w:val="0"/>
        <w:overflowPunct w:val="0"/>
        <w:autoSpaceDE/>
        <w:autoSpaceDN/>
        <w:adjustRightInd/>
        <w:spacing w:line="251" w:lineRule="exact"/>
        <w:textAlignment w:val="baseline"/>
        <w:rPr>
          <w:rFonts w:ascii="Arial" w:hAnsi="Arial"/>
          <w:spacing w:val="-2"/>
          <w:sz w:val="22"/>
        </w:rPr>
      </w:pPr>
      <w:r>
        <w:rPr>
          <w:rFonts w:ascii="Arial" w:hAnsi="Arial"/>
          <w:spacing w:val="-2"/>
          <w:sz w:val="22"/>
        </w:rPr>
        <w:t>CANBERRA ACT 2601</w:t>
      </w:r>
    </w:p>
    <w:p w:rsidR="00000000" w:rsidRDefault="006C6D45">
      <w:pPr>
        <w:kinsoku w:val="0"/>
        <w:overflowPunct w:val="0"/>
        <w:autoSpaceDE/>
        <w:autoSpaceDN/>
        <w:adjustRightInd/>
        <w:spacing w:before="251" w:line="230" w:lineRule="exact"/>
        <w:textAlignment w:val="baseline"/>
        <w:rPr>
          <w:rFonts w:ascii="Arial" w:hAnsi="Arial"/>
        </w:rPr>
      </w:pPr>
      <w:r>
        <w:rPr>
          <w:rFonts w:ascii="Arial" w:hAnsi="Arial"/>
        </w:rPr>
        <w:t>By email:</w:t>
      </w:r>
      <w:hyperlink r:id="rId7" w:history="1">
        <w:r>
          <w:rPr>
            <w:rFonts w:ascii="Arial" w:hAnsi="Arial"/>
            <w:color w:val="0000FF"/>
            <w:u w:val="single"/>
          </w:rPr>
          <w:t xml:space="preserve"> GPTSecretariat@industry.gov.au</w:t>
        </w:r>
      </w:hyperlink>
      <w:r>
        <w:rPr>
          <w:rFonts w:ascii="Arial" w:hAnsi="Arial"/>
        </w:rPr>
        <w:t xml:space="preserve"> </w:t>
      </w:r>
    </w:p>
    <w:p w:rsidR="00000000" w:rsidRDefault="006C6D45">
      <w:pPr>
        <w:kinsoku w:val="0"/>
        <w:overflowPunct w:val="0"/>
        <w:autoSpaceDE/>
        <w:autoSpaceDN/>
        <w:adjustRightInd/>
        <w:spacing w:before="655" w:line="251" w:lineRule="exact"/>
        <w:textAlignment w:val="baseline"/>
        <w:rPr>
          <w:rFonts w:ascii="Arial" w:hAnsi="Arial"/>
          <w:spacing w:val="-1"/>
          <w:sz w:val="22"/>
        </w:rPr>
      </w:pPr>
      <w:r>
        <w:rPr>
          <w:rFonts w:ascii="Arial" w:hAnsi="Arial"/>
          <w:spacing w:val="-1"/>
          <w:sz w:val="22"/>
        </w:rPr>
        <w:t>Dear Sir/Madam</w:t>
      </w:r>
    </w:p>
    <w:p w:rsidR="00000000" w:rsidRDefault="006C6D45">
      <w:pPr>
        <w:kinsoku w:val="0"/>
        <w:overflowPunct w:val="0"/>
        <w:autoSpaceDE/>
        <w:autoSpaceDN/>
        <w:adjustRightInd/>
        <w:spacing w:before="273" w:line="279" w:lineRule="exact"/>
        <w:ind w:right="864"/>
        <w:textAlignment w:val="baseline"/>
        <w:rPr>
          <w:rFonts w:ascii="Arial" w:hAnsi="Arial"/>
          <w:b/>
          <w:sz w:val="24"/>
        </w:rPr>
      </w:pPr>
      <w:r>
        <w:rPr>
          <w:rFonts w:ascii="Arial" w:hAnsi="Arial"/>
          <w:b/>
          <w:sz w:val="24"/>
        </w:rPr>
        <w:t xml:space="preserve">Proposed Classification of Tiers </w:t>
      </w:r>
      <w:r>
        <w:rPr>
          <w:rFonts w:ascii="Arial" w:hAnsi="Arial"/>
          <w:b/>
          <w:sz w:val="24"/>
        </w:rPr>
        <w:t>for the reform of the Australian Energy Regulator Civil Penalty Regime</w:t>
      </w:r>
    </w:p>
    <w:p w:rsidR="00000000" w:rsidRDefault="006C6D45">
      <w:pPr>
        <w:kinsoku w:val="0"/>
        <w:overflowPunct w:val="0"/>
        <w:autoSpaceDE/>
        <w:autoSpaceDN/>
        <w:adjustRightInd/>
        <w:spacing w:before="199" w:line="252" w:lineRule="exact"/>
        <w:ind w:right="144"/>
        <w:textAlignment w:val="baseline"/>
        <w:rPr>
          <w:rFonts w:ascii="Arial" w:hAnsi="Arial"/>
          <w:sz w:val="22"/>
        </w:rPr>
      </w:pPr>
      <w:r>
        <w:rPr>
          <w:rFonts w:ascii="Arial" w:hAnsi="Arial"/>
          <w:sz w:val="22"/>
        </w:rPr>
        <w:t>The Australian Energy Regulator (AER) welcomes the opportunity to make public comment on the Governance Project Team consultation paper on the proposed classification of civil penal</w:t>
      </w:r>
      <w:r>
        <w:rPr>
          <w:rFonts w:ascii="Arial" w:hAnsi="Arial"/>
          <w:sz w:val="22"/>
        </w:rPr>
        <w:t>ty provisions under the National Energy Laws.</w:t>
      </w:r>
    </w:p>
    <w:p w:rsidR="00000000" w:rsidRDefault="006C6D45">
      <w:pPr>
        <w:kinsoku w:val="0"/>
        <w:overflowPunct w:val="0"/>
        <w:autoSpaceDE/>
        <w:autoSpaceDN/>
        <w:adjustRightInd/>
        <w:spacing w:before="204" w:line="252" w:lineRule="exact"/>
        <w:ind w:right="144"/>
        <w:textAlignment w:val="baseline"/>
        <w:rPr>
          <w:rFonts w:ascii="Arial" w:hAnsi="Arial"/>
          <w:spacing w:val="-1"/>
          <w:sz w:val="22"/>
        </w:rPr>
      </w:pPr>
      <w:r>
        <w:rPr>
          <w:rFonts w:ascii="Arial" w:hAnsi="Arial"/>
          <w:spacing w:val="-1"/>
          <w:sz w:val="22"/>
        </w:rPr>
        <w:t>The AER makes this submission to provide support to the concepts featured in the Decision Matrix and Concepts Table, which were used in reaching the proposed classifications now made public. These concepts refl</w:t>
      </w:r>
      <w:r>
        <w:rPr>
          <w:rFonts w:ascii="Arial" w:hAnsi="Arial"/>
          <w:spacing w:val="-1"/>
          <w:sz w:val="22"/>
        </w:rPr>
        <w:t>ect the National Energy Objectives set out in, and which underpin, the National Electricity Law, National Energy Retail Law and National Gas Law respectively.</w:t>
      </w:r>
    </w:p>
    <w:p w:rsidR="00000000" w:rsidRDefault="006C6D45">
      <w:pPr>
        <w:kinsoku w:val="0"/>
        <w:overflowPunct w:val="0"/>
        <w:autoSpaceDE/>
        <w:autoSpaceDN/>
        <w:adjustRightInd/>
        <w:spacing w:before="240" w:line="254" w:lineRule="exact"/>
        <w:textAlignment w:val="baseline"/>
        <w:rPr>
          <w:rFonts w:ascii="Arial" w:hAnsi="Arial"/>
          <w:spacing w:val="-1"/>
          <w:sz w:val="22"/>
        </w:rPr>
      </w:pPr>
      <w:r>
        <w:rPr>
          <w:rFonts w:ascii="Arial" w:hAnsi="Arial"/>
          <w:spacing w:val="-1"/>
          <w:sz w:val="22"/>
        </w:rPr>
        <w:t>We also wish to note that many provisions were classified so as to give effect to the recommendat</w:t>
      </w:r>
      <w:r>
        <w:rPr>
          <w:rFonts w:ascii="Arial" w:hAnsi="Arial"/>
          <w:spacing w:val="-1"/>
          <w:sz w:val="22"/>
        </w:rPr>
        <w:t>ions of the ACCC Retail Electricity Pricing Inquiry and Gas Inquiry respectively.</w:t>
      </w:r>
    </w:p>
    <w:p w:rsidR="00000000" w:rsidRDefault="006C6D45">
      <w:pPr>
        <w:kinsoku w:val="0"/>
        <w:overflowPunct w:val="0"/>
        <w:autoSpaceDE/>
        <w:autoSpaceDN/>
        <w:adjustRightInd/>
        <w:spacing w:before="249" w:line="255" w:lineRule="exact"/>
        <w:textAlignment w:val="baseline"/>
        <w:rPr>
          <w:rFonts w:ascii="Arial" w:hAnsi="Arial"/>
          <w:sz w:val="22"/>
        </w:rPr>
      </w:pPr>
      <w:r>
        <w:rPr>
          <w:rFonts w:ascii="Arial" w:hAnsi="Arial"/>
          <w:sz w:val="22"/>
        </w:rPr>
        <w:t xml:space="preserve">If you would like to discuss this submission, please contact Libby Darwin on 0408 696 164 or </w:t>
      </w:r>
      <w:hyperlink r:id="rId8" w:history="1">
        <w:r>
          <w:rPr>
            <w:rFonts w:ascii="Arial" w:hAnsi="Arial"/>
            <w:color w:val="0000FF"/>
            <w:sz w:val="22"/>
            <w:u w:val="single"/>
          </w:rPr>
          <w:t>libby.darwin@aer.gov.au</w:t>
        </w:r>
      </w:hyperlink>
      <w:r>
        <w:rPr>
          <w:rFonts w:ascii="Arial" w:hAnsi="Arial"/>
          <w:sz w:val="22"/>
        </w:rPr>
        <w:t>.</w:t>
      </w:r>
    </w:p>
    <w:p w:rsidR="00000000" w:rsidRDefault="006C6D45">
      <w:pPr>
        <w:kinsoku w:val="0"/>
        <w:overflowPunct w:val="0"/>
        <w:autoSpaceDE/>
        <w:autoSpaceDN/>
        <w:adjustRightInd/>
        <w:spacing w:before="205" w:after="224" w:line="251" w:lineRule="exact"/>
        <w:textAlignment w:val="baseline"/>
        <w:rPr>
          <w:rFonts w:ascii="Arial" w:hAnsi="Arial"/>
          <w:sz w:val="22"/>
        </w:rPr>
      </w:pPr>
      <w:r>
        <w:rPr>
          <w:rFonts w:ascii="Arial" w:hAnsi="Arial"/>
          <w:sz w:val="22"/>
        </w:rPr>
        <w:t>Yours sincerely</w:t>
      </w:r>
    </w:p>
    <w:p w:rsidR="00000000" w:rsidRDefault="006C6D45">
      <w:pPr>
        <w:kinsoku w:val="0"/>
        <w:overflowPunct w:val="0"/>
        <w:autoSpaceDE/>
        <w:autoSpaceDN/>
        <w:adjustRightInd/>
        <w:spacing w:after="589"/>
        <w:ind w:left="130" w:right="6683"/>
        <w:textAlignment w:val="baseline"/>
        <w:rPr>
          <w:sz w:val="24"/>
        </w:rPr>
      </w:pPr>
      <w:r>
        <w:rPr>
          <w:noProof/>
          <w:sz w:val="24"/>
          <w:lang w:val="en-AU"/>
        </w:rPr>
        <w:drawing>
          <wp:inline distT="0" distB="0" distL="0" distR="0">
            <wp:extent cx="1416050" cy="584200"/>
            <wp:effectExtent l="0" t="0" r="0" b="6350"/>
            <wp:docPr id="2" name="Picture 2"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6050" cy="584200"/>
                    </a:xfrm>
                    <a:prstGeom prst="rect">
                      <a:avLst/>
                    </a:prstGeom>
                    <a:noFill/>
                    <a:ln>
                      <a:noFill/>
                    </a:ln>
                  </pic:spPr>
                </pic:pic>
              </a:graphicData>
            </a:graphic>
          </wp:inline>
        </w:drawing>
      </w:r>
    </w:p>
    <w:p w:rsidR="00000000" w:rsidRDefault="006C6D45">
      <w:pPr>
        <w:kinsoku w:val="0"/>
        <w:overflowPunct w:val="0"/>
        <w:autoSpaceDE/>
        <w:autoSpaceDN/>
        <w:adjustRightInd/>
        <w:spacing w:line="253" w:lineRule="exact"/>
        <w:textAlignment w:val="baseline"/>
        <w:rPr>
          <w:rFonts w:ascii="Arial" w:hAnsi="Arial"/>
          <w:sz w:val="22"/>
        </w:rPr>
      </w:pPr>
      <w:r>
        <w:rPr>
          <w:rFonts w:ascii="Arial" w:hAnsi="Arial"/>
          <w:sz w:val="22"/>
        </w:rPr>
        <w:t>Clare Savage</w:t>
      </w:r>
      <w:r>
        <w:rPr>
          <w:rFonts w:ascii="Arial" w:hAnsi="Arial"/>
          <w:sz w:val="22"/>
        </w:rPr>
        <w:br/>
        <w:t>Chair</w:t>
      </w:r>
    </w:p>
    <w:p w:rsidR="00000000" w:rsidRDefault="006C6D45">
      <w:pPr>
        <w:widowControl/>
        <w:rPr>
          <w:sz w:val="24"/>
        </w:rPr>
        <w:sectPr w:rsidR="00000000">
          <w:type w:val="continuous"/>
          <w:pgSz w:w="11909" w:h="16838"/>
          <w:pgMar w:top="960" w:right="1429" w:bottom="1262" w:left="1440" w:header="720" w:footer="720" w:gutter="0"/>
          <w:cols w:space="720"/>
          <w:noEndnote/>
        </w:sectPr>
      </w:pPr>
    </w:p>
    <w:p w:rsidR="00000000" w:rsidRDefault="006C6D45">
      <w:pPr>
        <w:kinsoku w:val="0"/>
        <w:overflowPunct w:val="0"/>
        <w:autoSpaceDE/>
        <w:autoSpaceDN/>
        <w:adjustRightInd/>
        <w:spacing w:before="12" w:line="240" w:lineRule="exact"/>
        <w:ind w:left="72" w:right="288"/>
        <w:textAlignment w:val="baseline"/>
        <w:rPr>
          <w:rFonts w:ascii="Arial" w:hAnsi="Arial"/>
          <w:b/>
          <w:color w:val="20004C"/>
          <w:sz w:val="21"/>
        </w:rPr>
      </w:pPr>
      <w:r>
        <w:rPr>
          <w:rFonts w:ascii="Arial" w:hAnsi="Arial"/>
          <w:b/>
          <w:color w:val="20004C"/>
          <w:sz w:val="21"/>
        </w:rPr>
        <w:lastRenderedPageBreak/>
        <w:t>Australian Energy Regulator Submission to the Proposed Classification of Tiers for the reform of the Australian Energy Regulator Civil Penalty Regime</w:t>
      </w:r>
    </w:p>
    <w:p w:rsidR="00000000" w:rsidRDefault="006C6D45">
      <w:pPr>
        <w:kinsoku w:val="0"/>
        <w:overflowPunct w:val="0"/>
        <w:autoSpaceDE/>
        <w:autoSpaceDN/>
        <w:adjustRightInd/>
        <w:spacing w:before="185" w:line="238" w:lineRule="exact"/>
        <w:ind w:left="72"/>
        <w:textAlignment w:val="baseline"/>
        <w:rPr>
          <w:rFonts w:ascii="Arial" w:hAnsi="Arial"/>
          <w:sz w:val="21"/>
        </w:rPr>
      </w:pPr>
      <w:r>
        <w:rPr>
          <w:rFonts w:ascii="Arial" w:hAnsi="Arial"/>
          <w:sz w:val="21"/>
        </w:rPr>
        <w:t>The AER welcomes the opportunity to publicly comment on the proposed classification of the civil penalty provisions. The AER strongly supports the proposed position as being necessary to achieve specific and general deterrence of breaches of the National E</w:t>
      </w:r>
      <w:r>
        <w:rPr>
          <w:rFonts w:ascii="Arial" w:hAnsi="Arial"/>
          <w:sz w:val="21"/>
        </w:rPr>
        <w:t>nergy Laws.</w:t>
      </w:r>
    </w:p>
    <w:p w:rsidR="00000000" w:rsidRDefault="006C6D45">
      <w:pPr>
        <w:kinsoku w:val="0"/>
        <w:overflowPunct w:val="0"/>
        <w:autoSpaceDE/>
        <w:autoSpaceDN/>
        <w:adjustRightInd/>
        <w:spacing w:before="183" w:line="238" w:lineRule="exact"/>
        <w:ind w:left="72" w:right="504"/>
        <w:textAlignment w:val="baseline"/>
        <w:rPr>
          <w:rFonts w:ascii="Arial" w:hAnsi="Arial"/>
          <w:sz w:val="21"/>
        </w:rPr>
      </w:pPr>
      <w:r>
        <w:rPr>
          <w:rFonts w:ascii="Arial" w:hAnsi="Arial"/>
          <w:sz w:val="21"/>
        </w:rPr>
        <w:t>The AER has been involved in the development of the proposed tiers, along with the Australian Energy Market Commission, Australian Energy Market Operator and Energy Consumers Australia.</w:t>
      </w:r>
    </w:p>
    <w:p w:rsidR="00000000" w:rsidRDefault="006C6D45">
      <w:pPr>
        <w:kinsoku w:val="0"/>
        <w:overflowPunct w:val="0"/>
        <w:autoSpaceDE/>
        <w:autoSpaceDN/>
        <w:adjustRightInd/>
        <w:spacing w:before="192" w:line="238" w:lineRule="exact"/>
        <w:ind w:left="72" w:right="288"/>
        <w:textAlignment w:val="baseline"/>
        <w:rPr>
          <w:rFonts w:ascii="Arial" w:hAnsi="Arial"/>
          <w:sz w:val="21"/>
        </w:rPr>
      </w:pPr>
      <w:r>
        <w:rPr>
          <w:rFonts w:ascii="Arial" w:hAnsi="Arial"/>
          <w:sz w:val="21"/>
        </w:rPr>
        <w:t>The proposed classification of the civil penalty provision</w:t>
      </w:r>
      <w:r>
        <w:rPr>
          <w:rFonts w:ascii="Arial" w:hAnsi="Arial"/>
          <w:sz w:val="21"/>
        </w:rPr>
        <w:t>s will align Australia</w:t>
      </w:r>
      <w:r>
        <w:rPr>
          <w:rFonts w:ascii="Arial" w:hAnsi="Arial"/>
          <w:sz w:val="21"/>
        </w:rPr>
        <w:t>’</w:t>
      </w:r>
      <w:r>
        <w:rPr>
          <w:rFonts w:ascii="Arial" w:hAnsi="Arial"/>
          <w:sz w:val="21"/>
        </w:rPr>
        <w:t>s energy laws more closely with other legislation for the regulation of markets and business</w:t>
      </w:r>
    </w:p>
    <w:p w:rsidR="00000000" w:rsidRDefault="006C6D45">
      <w:pPr>
        <w:kinsoku w:val="0"/>
        <w:overflowPunct w:val="0"/>
        <w:autoSpaceDE/>
        <w:autoSpaceDN/>
        <w:adjustRightInd/>
        <w:spacing w:line="237" w:lineRule="exact"/>
        <w:ind w:left="72" w:right="432"/>
        <w:textAlignment w:val="baseline"/>
        <w:rPr>
          <w:rFonts w:ascii="Arial" w:hAnsi="Arial"/>
          <w:spacing w:val="-1"/>
          <w:sz w:val="21"/>
        </w:rPr>
      </w:pPr>
      <w:r>
        <w:rPr>
          <w:rFonts w:ascii="Arial" w:hAnsi="Arial"/>
          <w:spacing w:val="-1"/>
          <w:sz w:val="21"/>
        </w:rPr>
        <w:t>conduct. Prescribing consequences that are consistent with other laws for business and market regulation is essential for achieving effectiv</w:t>
      </w:r>
      <w:r>
        <w:rPr>
          <w:rFonts w:ascii="Arial" w:hAnsi="Arial"/>
          <w:spacing w:val="-1"/>
          <w:sz w:val="21"/>
        </w:rPr>
        <w:t>e deterrence in energy markets.</w:t>
      </w:r>
    </w:p>
    <w:p w:rsidR="00000000" w:rsidRDefault="006C6D45">
      <w:pPr>
        <w:kinsoku w:val="0"/>
        <w:overflowPunct w:val="0"/>
        <w:autoSpaceDE/>
        <w:autoSpaceDN/>
        <w:adjustRightInd/>
        <w:spacing w:before="183" w:line="238" w:lineRule="exact"/>
        <w:ind w:left="72"/>
        <w:textAlignment w:val="baseline"/>
        <w:rPr>
          <w:rFonts w:ascii="Arial" w:hAnsi="Arial"/>
          <w:sz w:val="21"/>
        </w:rPr>
      </w:pPr>
      <w:r>
        <w:rPr>
          <w:rFonts w:ascii="Arial" w:hAnsi="Arial"/>
          <w:sz w:val="21"/>
        </w:rPr>
        <w:t>It should be noted that the maximum penalty for each tier will reflect the penalty for the worst possible conduct in breach of provisions in that tier. The appropriate penalty in an individual litigation is a matter for judi</w:t>
      </w:r>
      <w:r>
        <w:rPr>
          <w:rFonts w:ascii="Arial" w:hAnsi="Arial"/>
          <w:sz w:val="21"/>
        </w:rPr>
        <w:t>cial discretion.</w:t>
      </w:r>
    </w:p>
    <w:p w:rsidR="00000000" w:rsidRDefault="006C6D45">
      <w:pPr>
        <w:kinsoku w:val="0"/>
        <w:overflowPunct w:val="0"/>
        <w:autoSpaceDE/>
        <w:autoSpaceDN/>
        <w:adjustRightInd/>
        <w:spacing w:before="194" w:line="239" w:lineRule="exact"/>
        <w:ind w:left="72"/>
        <w:textAlignment w:val="baseline"/>
        <w:rPr>
          <w:rFonts w:ascii="Arial" w:hAnsi="Arial"/>
          <w:b/>
          <w:spacing w:val="-1"/>
          <w:sz w:val="21"/>
        </w:rPr>
      </w:pPr>
      <w:r>
        <w:rPr>
          <w:rFonts w:ascii="Arial" w:hAnsi="Arial"/>
          <w:b/>
          <w:spacing w:val="-1"/>
          <w:sz w:val="21"/>
        </w:rPr>
        <w:t>Decision Matrix and Concepts Table</w:t>
      </w:r>
    </w:p>
    <w:p w:rsidR="00000000" w:rsidRDefault="006C6D45">
      <w:pPr>
        <w:kinsoku w:val="0"/>
        <w:overflowPunct w:val="0"/>
        <w:autoSpaceDE/>
        <w:autoSpaceDN/>
        <w:adjustRightInd/>
        <w:spacing w:before="186" w:line="238" w:lineRule="exact"/>
        <w:ind w:left="72" w:right="288"/>
        <w:textAlignment w:val="baseline"/>
        <w:rPr>
          <w:rFonts w:ascii="Arial" w:hAnsi="Arial"/>
          <w:sz w:val="21"/>
        </w:rPr>
      </w:pPr>
      <w:r>
        <w:rPr>
          <w:rFonts w:ascii="Arial" w:hAnsi="Arial"/>
          <w:sz w:val="21"/>
        </w:rPr>
        <w:t>The Decision Matrix reflects the broad categories of conduct that are intended to fall within each Tier. Those concepts are appropriately placed:</w:t>
      </w:r>
    </w:p>
    <w:p w:rsidR="00000000" w:rsidRDefault="006C6D45">
      <w:pPr>
        <w:kinsoku w:val="0"/>
        <w:overflowPunct w:val="0"/>
        <w:autoSpaceDE/>
        <w:autoSpaceDN/>
        <w:adjustRightInd/>
        <w:spacing w:before="184" w:line="238" w:lineRule="exact"/>
        <w:ind w:left="72"/>
        <w:textAlignment w:val="baseline"/>
        <w:rPr>
          <w:rFonts w:ascii="Arial" w:hAnsi="Arial"/>
          <w:spacing w:val="7"/>
          <w:sz w:val="21"/>
        </w:rPr>
      </w:pPr>
      <w:r>
        <w:rPr>
          <w:rFonts w:ascii="Arial" w:hAnsi="Arial"/>
          <w:spacing w:val="7"/>
          <w:sz w:val="21"/>
        </w:rPr>
        <w:t>Tier 1</w:t>
      </w:r>
    </w:p>
    <w:p w:rsidR="00000000" w:rsidRDefault="006C6D45">
      <w:pPr>
        <w:kinsoku w:val="0"/>
        <w:overflowPunct w:val="0"/>
        <w:autoSpaceDE/>
        <w:autoSpaceDN/>
        <w:adjustRightInd/>
        <w:spacing w:before="189" w:line="232" w:lineRule="exact"/>
        <w:ind w:left="72"/>
        <w:textAlignment w:val="baseline"/>
        <w:rPr>
          <w:rFonts w:ascii="Arial" w:hAnsi="Arial"/>
          <w:spacing w:val="-1"/>
          <w:sz w:val="21"/>
          <w:u w:val="single"/>
        </w:rPr>
      </w:pPr>
      <w:r>
        <w:rPr>
          <w:rFonts w:ascii="Arial" w:hAnsi="Arial"/>
          <w:spacing w:val="-1"/>
          <w:sz w:val="21"/>
          <w:u w:val="single"/>
        </w:rPr>
        <w:t xml:space="preserve">Consumer Harm Type 1 </w:t>
      </w:r>
    </w:p>
    <w:p w:rsidR="00000000" w:rsidRDefault="006C6D45">
      <w:pPr>
        <w:kinsoku w:val="0"/>
        <w:overflowPunct w:val="0"/>
        <w:autoSpaceDE/>
        <w:autoSpaceDN/>
        <w:adjustRightInd/>
        <w:spacing w:before="195" w:line="238" w:lineRule="exact"/>
        <w:ind w:left="72" w:right="144"/>
        <w:textAlignment w:val="baseline"/>
        <w:rPr>
          <w:rFonts w:ascii="Arial" w:hAnsi="Arial"/>
          <w:sz w:val="21"/>
        </w:rPr>
      </w:pPr>
      <w:r>
        <w:rPr>
          <w:rFonts w:ascii="Arial" w:hAnsi="Arial"/>
          <w:sz w:val="21"/>
        </w:rPr>
        <w:t>This type of conduct draws strong parallels to the conduct proscribed by the Australian Consumer Law, and has an equivalent penalty attached accordingly. This includes conduct that may endanger injury or death to consumers or cause significant loss.</w:t>
      </w:r>
    </w:p>
    <w:p w:rsidR="00000000" w:rsidRDefault="006C6D45">
      <w:pPr>
        <w:kinsoku w:val="0"/>
        <w:overflowPunct w:val="0"/>
        <w:autoSpaceDE/>
        <w:autoSpaceDN/>
        <w:adjustRightInd/>
        <w:spacing w:before="189" w:line="232" w:lineRule="exact"/>
        <w:ind w:left="72"/>
        <w:textAlignment w:val="baseline"/>
        <w:rPr>
          <w:rFonts w:ascii="Arial" w:hAnsi="Arial"/>
          <w:spacing w:val="-1"/>
          <w:sz w:val="21"/>
          <w:u w:val="single"/>
        </w:rPr>
      </w:pPr>
      <w:r>
        <w:rPr>
          <w:rFonts w:ascii="Arial" w:hAnsi="Arial"/>
          <w:spacing w:val="-1"/>
          <w:sz w:val="21"/>
          <w:u w:val="single"/>
        </w:rPr>
        <w:t>Advers</w:t>
      </w:r>
      <w:r>
        <w:rPr>
          <w:rFonts w:ascii="Arial" w:hAnsi="Arial"/>
          <w:spacing w:val="-1"/>
          <w:sz w:val="21"/>
          <w:u w:val="single"/>
        </w:rPr>
        <w:t>e Market Impact</w:t>
      </w:r>
    </w:p>
    <w:p w:rsidR="00000000" w:rsidRDefault="006C6D45">
      <w:pPr>
        <w:kinsoku w:val="0"/>
        <w:overflowPunct w:val="0"/>
        <w:autoSpaceDE/>
        <w:autoSpaceDN/>
        <w:adjustRightInd/>
        <w:spacing w:before="192" w:line="238" w:lineRule="exact"/>
        <w:ind w:left="72" w:right="144"/>
        <w:textAlignment w:val="baseline"/>
        <w:rPr>
          <w:rFonts w:ascii="Arial" w:hAnsi="Arial"/>
          <w:sz w:val="21"/>
        </w:rPr>
      </w:pPr>
      <w:r>
        <w:rPr>
          <w:rFonts w:ascii="Arial" w:hAnsi="Arial"/>
          <w:sz w:val="21"/>
        </w:rPr>
        <w:t>This type of conduct draws strong parallels with the provisions of Part IV of the Competition and Consumer Act 2010, and has an equivalent penalty attached accordingly. Most provisions concern unilateral conduct that are likely to compromis</w:t>
      </w:r>
      <w:r>
        <w:rPr>
          <w:rFonts w:ascii="Arial" w:hAnsi="Arial"/>
          <w:sz w:val="21"/>
        </w:rPr>
        <w:t>e the supply of energy to consumers, and the price paid for that supply.</w:t>
      </w:r>
    </w:p>
    <w:p w:rsidR="00000000" w:rsidRDefault="006C6D45">
      <w:pPr>
        <w:kinsoku w:val="0"/>
        <w:overflowPunct w:val="0"/>
        <w:autoSpaceDE/>
        <w:autoSpaceDN/>
        <w:adjustRightInd/>
        <w:spacing w:before="189" w:line="232" w:lineRule="exact"/>
        <w:ind w:left="72"/>
        <w:textAlignment w:val="baseline"/>
        <w:rPr>
          <w:rFonts w:ascii="Arial" w:hAnsi="Arial"/>
          <w:spacing w:val="-1"/>
          <w:sz w:val="21"/>
          <w:u w:val="single"/>
        </w:rPr>
      </w:pPr>
      <w:r>
        <w:rPr>
          <w:rFonts w:ascii="Arial" w:hAnsi="Arial"/>
          <w:spacing w:val="-1"/>
          <w:sz w:val="21"/>
          <w:u w:val="single"/>
        </w:rPr>
        <w:t>Supply Security and Reliability</w:t>
      </w:r>
    </w:p>
    <w:p w:rsidR="00000000" w:rsidRDefault="006C6D45">
      <w:pPr>
        <w:kinsoku w:val="0"/>
        <w:overflowPunct w:val="0"/>
        <w:autoSpaceDE/>
        <w:autoSpaceDN/>
        <w:adjustRightInd/>
        <w:spacing w:before="194" w:line="238" w:lineRule="exact"/>
        <w:ind w:left="72" w:right="288"/>
        <w:textAlignment w:val="baseline"/>
        <w:rPr>
          <w:rFonts w:ascii="Arial" w:hAnsi="Arial"/>
          <w:sz w:val="21"/>
        </w:rPr>
      </w:pPr>
      <w:r>
        <w:rPr>
          <w:rFonts w:ascii="Arial" w:hAnsi="Arial"/>
          <w:sz w:val="21"/>
        </w:rPr>
        <w:t>At its most serious, this type of conduct can result in catastrophic consequences such as black system events, which fundamentally threaten the integri</w:t>
      </w:r>
      <w:r>
        <w:rPr>
          <w:rFonts w:ascii="Arial" w:hAnsi="Arial"/>
          <w:sz w:val="21"/>
        </w:rPr>
        <w:t>ty of the energy system. The highest penalty level is therefore appropriate for this category of conduct.</w:t>
      </w:r>
    </w:p>
    <w:p w:rsidR="00000000" w:rsidRDefault="006C6D45">
      <w:pPr>
        <w:kinsoku w:val="0"/>
        <w:overflowPunct w:val="0"/>
        <w:autoSpaceDE/>
        <w:autoSpaceDN/>
        <w:adjustRightInd/>
        <w:spacing w:before="189" w:line="232" w:lineRule="exact"/>
        <w:ind w:left="72"/>
        <w:textAlignment w:val="baseline"/>
        <w:rPr>
          <w:rFonts w:ascii="Arial" w:hAnsi="Arial"/>
          <w:spacing w:val="-1"/>
          <w:sz w:val="21"/>
          <w:u w:val="single"/>
        </w:rPr>
      </w:pPr>
      <w:r>
        <w:rPr>
          <w:rFonts w:ascii="Arial" w:hAnsi="Arial"/>
          <w:spacing w:val="-1"/>
          <w:sz w:val="21"/>
          <w:u w:val="single"/>
        </w:rPr>
        <w:t xml:space="preserve">Unacceptable Market Participant Behaviour: </w:t>
      </w:r>
    </w:p>
    <w:p w:rsidR="00000000" w:rsidRDefault="006C6D45">
      <w:pPr>
        <w:kinsoku w:val="0"/>
        <w:overflowPunct w:val="0"/>
        <w:autoSpaceDE/>
        <w:autoSpaceDN/>
        <w:adjustRightInd/>
        <w:spacing w:before="192" w:line="238" w:lineRule="exact"/>
        <w:ind w:left="72" w:right="216"/>
        <w:textAlignment w:val="baseline"/>
        <w:rPr>
          <w:rFonts w:ascii="Arial" w:hAnsi="Arial"/>
          <w:sz w:val="21"/>
        </w:rPr>
      </w:pPr>
      <w:r>
        <w:rPr>
          <w:noProof/>
          <w:lang w:val="en-AU"/>
        </w:rPr>
        <mc:AlternateContent>
          <mc:Choice Requires="wps">
            <w:drawing>
              <wp:anchor distT="0" distB="0" distL="0" distR="0" simplePos="0" relativeHeight="251658240" behindDoc="0" locked="0" layoutInCell="0" allowOverlap="1">
                <wp:simplePos x="0" y="0"/>
                <wp:positionH relativeFrom="page">
                  <wp:posOffset>6499225</wp:posOffset>
                </wp:positionH>
                <wp:positionV relativeFrom="page">
                  <wp:posOffset>9186545</wp:posOffset>
                </wp:positionV>
                <wp:extent cx="86995" cy="13144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 cy="1314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6C6D45">
                            <w:pPr>
                              <w:kinsoku w:val="0"/>
                              <w:overflowPunct w:val="0"/>
                              <w:autoSpaceDE/>
                              <w:autoSpaceDN/>
                              <w:adjustRightInd/>
                              <w:spacing w:before="11" w:line="195" w:lineRule="exact"/>
                              <w:textAlignment w:val="baseline"/>
                              <w:rPr>
                                <w:rFonts w:ascii="Arial" w:hAnsi="Arial"/>
                                <w:sz w:val="18"/>
                              </w:rPr>
                            </w:pPr>
                            <w:r>
                              <w:rPr>
                                <w:rFonts w:ascii="Arial" w:hAnsi="Arial"/>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1.75pt;margin-top:723.35pt;width:6.85pt;height:10.3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" o:allowincell="f" stroked="f">
                <v:fill opacity="0"/>
                <v:textbox inset="0,0,0,0">
                  <w:txbxContent>
                    <w:p w:rsidR="00000000" w:rsidRDefault="006C6D45">
                      <w:pPr>
                        <w:kinsoku w:val="0"/>
                        <w:overflowPunct w:val="0"/>
                        <w:autoSpaceDE/>
                        <w:autoSpaceDN/>
                        <w:adjustRightInd/>
                        <w:spacing w:before="11" w:line="195" w:lineRule="exact"/>
                        <w:textAlignment w:val="baseline"/>
                        <w:rPr>
                          <w:rFonts w:ascii="Arial" w:hAnsi="Arial"/>
                          <w:sz w:val="18"/>
                        </w:rPr>
                      </w:pPr>
                      <w:r>
                        <w:rPr>
                          <w:rFonts w:ascii="Arial" w:hAnsi="Arial"/>
                          <w:sz w:val="18"/>
                        </w:rPr>
                        <w:t>1</w:t>
                      </w:r>
                    </w:p>
                  </w:txbxContent>
                </v:textbox>
                <w10:wrap type="square" anchorx="page" anchory="page"/>
              </v:shape>
            </w:pict>
          </mc:Fallback>
        </mc:AlternateContent>
      </w:r>
      <w:r>
        <w:rPr>
          <w:rFonts w:ascii="Arial" w:hAnsi="Arial"/>
          <w:sz w:val="21"/>
        </w:rPr>
        <w:t>Conduct that may result in financial gain must have consequences reflective of that gain, such that t</w:t>
      </w:r>
      <w:r>
        <w:rPr>
          <w:rFonts w:ascii="Arial" w:hAnsi="Arial"/>
          <w:sz w:val="21"/>
        </w:rPr>
        <w:t>he penalty is not merely a cost of doing business. The ability to penalise a corporation up to three times the value of the benefit, or 10% of its annual turnover, for this type of conduct is essential to achieving specific and general deterrence.</w:t>
      </w:r>
    </w:p>
    <w:p w:rsidR="00000000" w:rsidRDefault="006C6D45">
      <w:pPr>
        <w:widowControl/>
        <w:rPr>
          <w:sz w:val="24"/>
        </w:rPr>
        <w:sectPr w:rsidR="00000000">
          <w:pgSz w:w="12240" w:h="15840"/>
          <w:pgMar w:top="1380" w:right="1868" w:bottom="977" w:left="1797" w:header="720" w:footer="720" w:gutter="0"/>
          <w:cols w:space="720"/>
          <w:noEndnote/>
        </w:sectPr>
      </w:pPr>
    </w:p>
    <w:p w:rsidR="00000000" w:rsidRDefault="006C6D45">
      <w:pPr>
        <w:kinsoku w:val="0"/>
        <w:overflowPunct w:val="0"/>
        <w:autoSpaceDE/>
        <w:autoSpaceDN/>
        <w:adjustRightInd/>
        <w:spacing w:before="21" w:line="238" w:lineRule="exact"/>
        <w:textAlignment w:val="baseline"/>
        <w:rPr>
          <w:rFonts w:ascii="Arial" w:hAnsi="Arial"/>
          <w:i/>
          <w:spacing w:val="-3"/>
          <w:sz w:val="21"/>
        </w:rPr>
      </w:pPr>
      <w:r>
        <w:rPr>
          <w:rFonts w:ascii="Arial" w:hAnsi="Arial"/>
          <w:i/>
          <w:spacing w:val="-3"/>
          <w:sz w:val="21"/>
        </w:rPr>
        <w:lastRenderedPageBreak/>
        <w:t>Tier 2</w:t>
      </w:r>
    </w:p>
    <w:p w:rsidR="00000000" w:rsidRDefault="006C6D45">
      <w:pPr>
        <w:kinsoku w:val="0"/>
        <w:overflowPunct w:val="0"/>
        <w:autoSpaceDE/>
        <w:autoSpaceDN/>
        <w:adjustRightInd/>
        <w:spacing w:before="194" w:line="234" w:lineRule="exact"/>
        <w:textAlignment w:val="baseline"/>
        <w:rPr>
          <w:rFonts w:ascii="Arial" w:hAnsi="Arial"/>
          <w:spacing w:val="-2"/>
          <w:sz w:val="21"/>
          <w:u w:val="single"/>
        </w:rPr>
      </w:pPr>
      <w:r>
        <w:rPr>
          <w:rFonts w:ascii="Arial" w:hAnsi="Arial"/>
          <w:spacing w:val="-2"/>
          <w:sz w:val="21"/>
          <w:u w:val="single"/>
        </w:rPr>
        <w:t>Consumer Harm Type 2</w:t>
      </w:r>
    </w:p>
    <w:p w:rsidR="00000000" w:rsidRDefault="006C6D45">
      <w:pPr>
        <w:kinsoku w:val="0"/>
        <w:overflowPunct w:val="0"/>
        <w:autoSpaceDE/>
        <w:autoSpaceDN/>
        <w:adjustRightInd/>
        <w:spacing w:before="196" w:line="235" w:lineRule="exact"/>
        <w:ind w:right="360"/>
        <w:textAlignment w:val="baseline"/>
        <w:rPr>
          <w:rFonts w:ascii="Arial" w:hAnsi="Arial"/>
          <w:spacing w:val="-2"/>
          <w:sz w:val="21"/>
        </w:rPr>
      </w:pPr>
      <w:r>
        <w:rPr>
          <w:rFonts w:ascii="Arial" w:hAnsi="Arial"/>
          <w:spacing w:val="-2"/>
          <w:sz w:val="21"/>
        </w:rPr>
        <w:t xml:space="preserve">Conduct that adversely affects consumers, but that is likely to be less serious than having detrimental effects on supply or health, is placed within Tier 2. The AER is mindful of the likely harm caused by each </w:t>
      </w:r>
      <w:r>
        <w:rPr>
          <w:rFonts w:ascii="Arial" w:hAnsi="Arial"/>
          <w:spacing w:val="-2"/>
          <w:sz w:val="21"/>
        </w:rPr>
        <w:t>provision in apportioning the appropriate maximum penalty.</w:t>
      </w:r>
    </w:p>
    <w:p w:rsidR="00000000" w:rsidRDefault="006C6D45">
      <w:pPr>
        <w:kinsoku w:val="0"/>
        <w:overflowPunct w:val="0"/>
        <w:autoSpaceDE/>
        <w:autoSpaceDN/>
        <w:adjustRightInd/>
        <w:spacing w:before="190" w:line="234" w:lineRule="exact"/>
        <w:textAlignment w:val="baseline"/>
        <w:rPr>
          <w:rFonts w:ascii="Arial" w:hAnsi="Arial"/>
          <w:spacing w:val="-2"/>
          <w:sz w:val="21"/>
          <w:u w:val="single"/>
        </w:rPr>
      </w:pPr>
      <w:r>
        <w:rPr>
          <w:rFonts w:ascii="Arial" w:hAnsi="Arial"/>
          <w:spacing w:val="-2"/>
          <w:sz w:val="21"/>
          <w:u w:val="single"/>
        </w:rPr>
        <w:t>Market Administration</w:t>
      </w:r>
    </w:p>
    <w:p w:rsidR="00000000" w:rsidRDefault="006C6D45">
      <w:pPr>
        <w:kinsoku w:val="0"/>
        <w:overflowPunct w:val="0"/>
        <w:autoSpaceDE/>
        <w:autoSpaceDN/>
        <w:adjustRightInd/>
        <w:spacing w:before="194" w:line="237" w:lineRule="exact"/>
        <w:ind w:right="360"/>
        <w:textAlignment w:val="baseline"/>
        <w:rPr>
          <w:rFonts w:ascii="Arial" w:hAnsi="Arial"/>
          <w:sz w:val="21"/>
        </w:rPr>
      </w:pPr>
      <w:r>
        <w:rPr>
          <w:rFonts w:ascii="Arial" w:hAnsi="Arial"/>
          <w:sz w:val="21"/>
        </w:rPr>
        <w:t>This conduct relates to the keeping of information that may be necessary for regulators to access from time to time, but is less fundamental to decisions affecting the securit</w:t>
      </w:r>
      <w:r>
        <w:rPr>
          <w:rFonts w:ascii="Arial" w:hAnsi="Arial"/>
          <w:sz w:val="21"/>
        </w:rPr>
        <w:t>y of the system and supply.</w:t>
      </w:r>
    </w:p>
    <w:p w:rsidR="00000000" w:rsidRDefault="006C6D45">
      <w:pPr>
        <w:kinsoku w:val="0"/>
        <w:overflowPunct w:val="0"/>
        <w:autoSpaceDE/>
        <w:autoSpaceDN/>
        <w:adjustRightInd/>
        <w:spacing w:before="186" w:line="234" w:lineRule="exact"/>
        <w:textAlignment w:val="baseline"/>
        <w:rPr>
          <w:rFonts w:ascii="Arial" w:hAnsi="Arial"/>
          <w:spacing w:val="-1"/>
          <w:sz w:val="21"/>
          <w:u w:val="single"/>
        </w:rPr>
      </w:pPr>
      <w:r>
        <w:rPr>
          <w:rFonts w:ascii="Arial" w:hAnsi="Arial"/>
          <w:spacing w:val="-1"/>
          <w:sz w:val="21"/>
          <w:u w:val="single"/>
        </w:rPr>
        <w:t>Inappropriate Market Participant Behaviour</w:t>
      </w:r>
    </w:p>
    <w:p w:rsidR="00000000" w:rsidRDefault="006C6D45">
      <w:pPr>
        <w:kinsoku w:val="0"/>
        <w:overflowPunct w:val="0"/>
        <w:autoSpaceDE/>
        <w:autoSpaceDN/>
        <w:adjustRightInd/>
        <w:spacing w:before="193" w:line="238" w:lineRule="exact"/>
        <w:textAlignment w:val="baseline"/>
        <w:rPr>
          <w:rFonts w:ascii="Arial" w:hAnsi="Arial"/>
          <w:sz w:val="21"/>
        </w:rPr>
      </w:pPr>
      <w:r>
        <w:rPr>
          <w:rFonts w:ascii="Arial" w:hAnsi="Arial"/>
          <w:sz w:val="21"/>
        </w:rPr>
        <w:t xml:space="preserve">This conduct relates to the provision of information to regulators that is of a more routine nature than the specific requests referred to under </w:t>
      </w:r>
      <w:r>
        <w:rPr>
          <w:rFonts w:ascii="Arial" w:hAnsi="Arial"/>
          <w:sz w:val="21"/>
        </w:rPr>
        <w:t>‘</w:t>
      </w:r>
      <w:r>
        <w:rPr>
          <w:rFonts w:ascii="Arial" w:hAnsi="Arial"/>
          <w:sz w:val="21"/>
        </w:rPr>
        <w:t>unacceptable market par</w:t>
      </w:r>
      <w:r>
        <w:rPr>
          <w:rFonts w:ascii="Arial" w:hAnsi="Arial"/>
          <w:sz w:val="21"/>
        </w:rPr>
        <w:t>ticipant behaviour</w:t>
      </w:r>
      <w:r>
        <w:rPr>
          <w:rFonts w:ascii="Arial" w:hAnsi="Arial"/>
          <w:sz w:val="21"/>
        </w:rPr>
        <w:t>’</w:t>
      </w:r>
      <w:r>
        <w:rPr>
          <w:rFonts w:ascii="Arial" w:hAnsi="Arial"/>
          <w:sz w:val="21"/>
        </w:rPr>
        <w:t>. The importance of this type of information is reflected in the maximum penalty for Tier 2 breaches.</w:t>
      </w:r>
    </w:p>
    <w:p w:rsidR="00000000" w:rsidRDefault="006C6D45">
      <w:pPr>
        <w:kinsoku w:val="0"/>
        <w:overflowPunct w:val="0"/>
        <w:autoSpaceDE/>
        <w:autoSpaceDN/>
        <w:adjustRightInd/>
        <w:spacing w:before="186" w:line="238" w:lineRule="exact"/>
        <w:textAlignment w:val="baseline"/>
        <w:rPr>
          <w:rFonts w:ascii="Arial" w:hAnsi="Arial"/>
          <w:i/>
          <w:spacing w:val="15"/>
          <w:sz w:val="21"/>
        </w:rPr>
      </w:pPr>
      <w:r>
        <w:rPr>
          <w:rFonts w:ascii="Arial" w:hAnsi="Arial"/>
          <w:i/>
          <w:spacing w:val="15"/>
          <w:sz w:val="21"/>
        </w:rPr>
        <w:t>Tier 3</w:t>
      </w:r>
    </w:p>
    <w:p w:rsidR="00000000" w:rsidRDefault="006C6D45">
      <w:pPr>
        <w:kinsoku w:val="0"/>
        <w:overflowPunct w:val="0"/>
        <w:autoSpaceDE/>
        <w:autoSpaceDN/>
        <w:adjustRightInd/>
        <w:spacing w:before="197" w:line="236" w:lineRule="exact"/>
        <w:ind w:right="144"/>
        <w:textAlignment w:val="baseline"/>
        <w:rPr>
          <w:rFonts w:ascii="Arial" w:hAnsi="Arial"/>
          <w:sz w:val="21"/>
        </w:rPr>
      </w:pPr>
      <w:r>
        <w:rPr>
          <w:rFonts w:ascii="Arial" w:hAnsi="Arial"/>
          <w:sz w:val="21"/>
        </w:rPr>
        <w:t>In classifying the civil penalty provisions, the AER took a top-down approach in accordance with the method proposed by the Deci</w:t>
      </w:r>
      <w:r>
        <w:rPr>
          <w:rFonts w:ascii="Arial" w:hAnsi="Arial"/>
          <w:sz w:val="21"/>
        </w:rPr>
        <w:t>sion Matrix. Provisions that did not fall within the concepts set out in Tier 1 or 2 will not be specified as such in the Regulations, and will remain at the Tier 3 level of penalty. These provisions are largely administrative.</w:t>
      </w:r>
    </w:p>
    <w:p w:rsidR="00000000" w:rsidRDefault="006C6D45">
      <w:pPr>
        <w:kinsoku w:val="0"/>
        <w:overflowPunct w:val="0"/>
        <w:autoSpaceDE/>
        <w:autoSpaceDN/>
        <w:adjustRightInd/>
        <w:spacing w:before="190" w:line="240" w:lineRule="exact"/>
        <w:textAlignment w:val="baseline"/>
        <w:rPr>
          <w:rFonts w:ascii="Arial" w:hAnsi="Arial"/>
          <w:b/>
          <w:spacing w:val="-1"/>
          <w:sz w:val="21"/>
        </w:rPr>
      </w:pPr>
      <w:r>
        <w:rPr>
          <w:rFonts w:ascii="Arial" w:hAnsi="Arial"/>
          <w:b/>
          <w:spacing w:val="-1"/>
          <w:sz w:val="21"/>
        </w:rPr>
        <w:t>Retail Electricity Pricing Inquiry (REPI)</w:t>
      </w:r>
    </w:p>
    <w:p w:rsidR="00000000" w:rsidRDefault="006C6D45">
      <w:pPr>
        <w:kinsoku w:val="0"/>
        <w:overflowPunct w:val="0"/>
        <w:autoSpaceDE/>
        <w:autoSpaceDN/>
        <w:adjustRightInd/>
        <w:spacing w:before="186" w:line="238" w:lineRule="exact"/>
        <w:ind w:right="432"/>
        <w:textAlignment w:val="baseline"/>
        <w:rPr>
          <w:rFonts w:ascii="Arial" w:hAnsi="Arial"/>
          <w:sz w:val="21"/>
        </w:rPr>
      </w:pPr>
      <w:r>
        <w:rPr>
          <w:rFonts w:ascii="Arial" w:hAnsi="Arial"/>
          <w:sz w:val="21"/>
        </w:rPr>
        <w:t>The AER also wishes to highlight that the proposed classification gives effect to recommendation 42 of the Australian Competition and Consumer Commission (ACCC)</w:t>
      </w:r>
      <w:r>
        <w:rPr>
          <w:rFonts w:ascii="Arial" w:hAnsi="Arial"/>
          <w:sz w:val="21"/>
        </w:rPr>
        <w:t>’</w:t>
      </w:r>
      <w:r>
        <w:rPr>
          <w:rFonts w:ascii="Arial" w:hAnsi="Arial"/>
          <w:sz w:val="21"/>
        </w:rPr>
        <w:t>s REPI final report in 2018.</w:t>
      </w:r>
    </w:p>
    <w:p w:rsidR="00000000" w:rsidRDefault="006C6D45">
      <w:pPr>
        <w:kinsoku w:val="0"/>
        <w:overflowPunct w:val="0"/>
        <w:autoSpaceDE/>
        <w:autoSpaceDN/>
        <w:adjustRightInd/>
        <w:spacing w:before="187" w:line="235" w:lineRule="exact"/>
        <w:ind w:right="144"/>
        <w:textAlignment w:val="baseline"/>
        <w:rPr>
          <w:rFonts w:ascii="Arial" w:hAnsi="Arial"/>
          <w:sz w:val="21"/>
        </w:rPr>
      </w:pPr>
      <w:r>
        <w:rPr>
          <w:rFonts w:ascii="Arial" w:hAnsi="Arial"/>
          <w:sz w:val="21"/>
        </w:rPr>
        <w:t xml:space="preserve">Recommendation 42 noted </w:t>
      </w:r>
      <w:r>
        <w:rPr>
          <w:rFonts w:ascii="Arial" w:hAnsi="Arial"/>
          <w:sz w:val="21"/>
        </w:rPr>
        <w:t>that certain civil penalty provisions across the NEL, NER, NERL and NERR attract the highest category of penalties. These provisions relate to:</w:t>
      </w:r>
    </w:p>
    <w:p w:rsidR="00000000" w:rsidRDefault="006C6D45">
      <w:pPr>
        <w:numPr>
          <w:ilvl w:val="0"/>
          <w:numId w:val="1"/>
        </w:numPr>
        <w:kinsoku w:val="0"/>
        <w:overflowPunct w:val="0"/>
        <w:autoSpaceDE/>
        <w:autoSpaceDN/>
        <w:adjustRightInd/>
        <w:spacing w:before="112" w:line="258" w:lineRule="exact"/>
        <w:textAlignment w:val="baseline"/>
        <w:rPr>
          <w:rFonts w:ascii="Arial" w:hAnsi="Arial"/>
          <w:sz w:val="21"/>
        </w:rPr>
      </w:pPr>
      <w:r>
        <w:rPr>
          <w:rFonts w:ascii="Arial" w:hAnsi="Arial"/>
          <w:sz w:val="21"/>
        </w:rPr>
        <w:t>information required for projected assessment of system adequacy</w:t>
      </w:r>
    </w:p>
    <w:p w:rsidR="00000000" w:rsidRDefault="006C6D45">
      <w:pPr>
        <w:numPr>
          <w:ilvl w:val="0"/>
          <w:numId w:val="1"/>
        </w:numPr>
        <w:kinsoku w:val="0"/>
        <w:overflowPunct w:val="0"/>
        <w:autoSpaceDE/>
        <w:autoSpaceDN/>
        <w:adjustRightInd/>
        <w:spacing w:before="130" w:line="235" w:lineRule="exact"/>
        <w:ind w:right="288"/>
        <w:textAlignment w:val="baseline"/>
        <w:rPr>
          <w:rFonts w:ascii="Arial" w:hAnsi="Arial"/>
          <w:sz w:val="21"/>
        </w:rPr>
      </w:pPr>
      <w:r>
        <w:rPr>
          <w:rFonts w:ascii="Arial" w:hAnsi="Arial"/>
          <w:sz w:val="21"/>
        </w:rPr>
        <w:t>limitations on generators</w:t>
      </w:r>
      <w:r>
        <w:rPr>
          <w:rFonts w:ascii="Arial" w:hAnsi="Arial"/>
          <w:sz w:val="21"/>
        </w:rPr>
        <w:t>’</w:t>
      </w:r>
      <w:r>
        <w:rPr>
          <w:rFonts w:ascii="Arial" w:hAnsi="Arial"/>
          <w:sz w:val="21"/>
        </w:rPr>
        <w:t xml:space="preserve"> technical parame</w:t>
      </w:r>
      <w:r>
        <w:rPr>
          <w:rFonts w:ascii="Arial" w:hAnsi="Arial"/>
          <w:sz w:val="21"/>
        </w:rPr>
        <w:t>ters</w:t>
      </w:r>
      <w:r>
        <w:rPr>
          <w:rFonts w:ascii="Arial" w:hAnsi="Arial"/>
          <w:sz w:val="21"/>
        </w:rPr>
        <w:t>—</w:t>
      </w:r>
      <w:r>
        <w:rPr>
          <w:rFonts w:ascii="Arial" w:hAnsi="Arial"/>
          <w:sz w:val="21"/>
        </w:rPr>
        <w:t>requirements only apply in certain circumstances</w:t>
      </w:r>
    </w:p>
    <w:p w:rsidR="00000000" w:rsidRDefault="006C6D45">
      <w:pPr>
        <w:numPr>
          <w:ilvl w:val="0"/>
          <w:numId w:val="1"/>
        </w:numPr>
        <w:kinsoku w:val="0"/>
        <w:overflowPunct w:val="0"/>
        <w:autoSpaceDE/>
        <w:autoSpaceDN/>
        <w:adjustRightInd/>
        <w:spacing w:before="138" w:line="231" w:lineRule="exact"/>
        <w:textAlignment w:val="baseline"/>
        <w:rPr>
          <w:rFonts w:ascii="Arial" w:hAnsi="Arial"/>
          <w:sz w:val="21"/>
        </w:rPr>
      </w:pPr>
      <w:r>
        <w:rPr>
          <w:rFonts w:ascii="Arial" w:hAnsi="Arial"/>
          <w:sz w:val="21"/>
        </w:rPr>
        <w:t>key requirements that generators must meet, regardless of the circumstances of their plant</w:t>
      </w:r>
    </w:p>
    <w:p w:rsidR="00000000" w:rsidRDefault="006C6D45">
      <w:pPr>
        <w:numPr>
          <w:ilvl w:val="0"/>
          <w:numId w:val="1"/>
        </w:numPr>
        <w:kinsoku w:val="0"/>
        <w:overflowPunct w:val="0"/>
        <w:autoSpaceDE/>
        <w:autoSpaceDN/>
        <w:adjustRightInd/>
        <w:spacing w:before="133" w:line="236" w:lineRule="exact"/>
        <w:ind w:right="1224"/>
        <w:textAlignment w:val="baseline"/>
        <w:rPr>
          <w:rFonts w:ascii="Arial" w:hAnsi="Arial"/>
          <w:sz w:val="21"/>
        </w:rPr>
      </w:pPr>
      <w:r>
        <w:rPr>
          <w:rFonts w:ascii="Arial" w:hAnsi="Arial"/>
          <w:sz w:val="21"/>
        </w:rPr>
        <w:t>the requirement to advise AEMO if a situation changes, and keep AEMO continuously informed</w:t>
      </w:r>
    </w:p>
    <w:p w:rsidR="00000000" w:rsidRDefault="006C6D45">
      <w:pPr>
        <w:numPr>
          <w:ilvl w:val="0"/>
          <w:numId w:val="1"/>
        </w:numPr>
        <w:kinsoku w:val="0"/>
        <w:overflowPunct w:val="0"/>
        <w:autoSpaceDE/>
        <w:autoSpaceDN/>
        <w:adjustRightInd/>
        <w:spacing w:before="111" w:line="258" w:lineRule="exact"/>
        <w:textAlignment w:val="baseline"/>
        <w:rPr>
          <w:rFonts w:ascii="Arial" w:hAnsi="Arial"/>
          <w:spacing w:val="-1"/>
          <w:sz w:val="21"/>
        </w:rPr>
      </w:pPr>
      <w:r>
        <w:rPr>
          <w:rFonts w:ascii="Arial" w:hAnsi="Arial"/>
          <w:spacing w:val="-1"/>
          <w:sz w:val="21"/>
        </w:rPr>
        <w:t>obligations with res</w:t>
      </w:r>
      <w:r>
        <w:rPr>
          <w:rFonts w:ascii="Arial" w:hAnsi="Arial"/>
          <w:spacing w:val="-1"/>
          <w:sz w:val="21"/>
        </w:rPr>
        <w:t>pect to life support customers</w:t>
      </w:r>
    </w:p>
    <w:p w:rsidR="00000000" w:rsidRDefault="006C6D45">
      <w:pPr>
        <w:numPr>
          <w:ilvl w:val="0"/>
          <w:numId w:val="1"/>
        </w:numPr>
        <w:kinsoku w:val="0"/>
        <w:overflowPunct w:val="0"/>
        <w:autoSpaceDE/>
        <w:autoSpaceDN/>
        <w:adjustRightInd/>
        <w:spacing w:before="102" w:line="258" w:lineRule="exact"/>
        <w:textAlignment w:val="baseline"/>
        <w:rPr>
          <w:rFonts w:ascii="Arial" w:hAnsi="Arial"/>
          <w:sz w:val="21"/>
        </w:rPr>
      </w:pPr>
      <w:r>
        <w:rPr>
          <w:rFonts w:ascii="Arial" w:hAnsi="Arial"/>
          <w:sz w:val="21"/>
        </w:rPr>
        <w:t>wrongful disconnection by a retailer or network service provider</w:t>
      </w:r>
    </w:p>
    <w:p w:rsidR="00000000" w:rsidRDefault="006C6D45">
      <w:pPr>
        <w:numPr>
          <w:ilvl w:val="0"/>
          <w:numId w:val="1"/>
        </w:numPr>
        <w:kinsoku w:val="0"/>
        <w:overflowPunct w:val="0"/>
        <w:autoSpaceDE/>
        <w:autoSpaceDN/>
        <w:adjustRightInd/>
        <w:spacing w:before="107" w:line="258" w:lineRule="exact"/>
        <w:textAlignment w:val="baseline"/>
        <w:rPr>
          <w:rFonts w:ascii="Arial" w:hAnsi="Arial"/>
          <w:sz w:val="21"/>
        </w:rPr>
      </w:pPr>
      <w:r>
        <w:rPr>
          <w:rFonts w:ascii="Arial" w:hAnsi="Arial"/>
          <w:sz w:val="21"/>
        </w:rPr>
        <w:t>requirement to implement hardship policy</w:t>
      </w:r>
    </w:p>
    <w:p w:rsidR="00000000" w:rsidRDefault="006C6D45">
      <w:pPr>
        <w:numPr>
          <w:ilvl w:val="0"/>
          <w:numId w:val="1"/>
        </w:numPr>
        <w:kinsoku w:val="0"/>
        <w:overflowPunct w:val="0"/>
        <w:autoSpaceDE/>
        <w:autoSpaceDN/>
        <w:adjustRightInd/>
        <w:spacing w:before="107" w:after="1624" w:line="258" w:lineRule="exact"/>
        <w:textAlignment w:val="baseline"/>
        <w:rPr>
          <w:rFonts w:ascii="Arial" w:hAnsi="Arial"/>
          <w:spacing w:val="-1"/>
          <w:sz w:val="21"/>
        </w:rPr>
      </w:pPr>
      <w:r>
        <w:rPr>
          <w:rFonts w:ascii="Arial" w:hAnsi="Arial"/>
          <w:spacing w:val="-1"/>
          <w:sz w:val="21"/>
        </w:rPr>
        <w:t>explicit informed consent requirements for certain transactions</w:t>
      </w:r>
    </w:p>
    <w:p w:rsidR="00000000" w:rsidRDefault="006C6D45">
      <w:pPr>
        <w:widowControl/>
        <w:rPr>
          <w:sz w:val="24"/>
        </w:rPr>
        <w:sectPr w:rsidR="00000000">
          <w:pgSz w:w="12240" w:h="15840"/>
          <w:pgMar w:top="1180" w:right="1842" w:bottom="764" w:left="1823" w:header="720" w:footer="720" w:gutter="0"/>
          <w:cols w:space="720"/>
          <w:noEndnote/>
        </w:sectPr>
      </w:pPr>
    </w:p>
    <w:p w:rsidR="00000000" w:rsidRDefault="006C6D45">
      <w:pPr>
        <w:kinsoku w:val="0"/>
        <w:overflowPunct w:val="0"/>
        <w:autoSpaceDE/>
        <w:autoSpaceDN/>
        <w:adjustRightInd/>
        <w:spacing w:before="3" w:line="193" w:lineRule="exact"/>
        <w:jc w:val="right"/>
        <w:textAlignment w:val="baseline"/>
        <w:rPr>
          <w:rFonts w:ascii="Arial" w:hAnsi="Arial"/>
          <w:sz w:val="17"/>
        </w:rPr>
      </w:pPr>
      <w:r>
        <w:rPr>
          <w:rFonts w:ascii="Arial" w:hAnsi="Arial"/>
          <w:sz w:val="17"/>
        </w:rPr>
        <w:t>2</w:t>
      </w:r>
    </w:p>
    <w:p w:rsidR="00000000" w:rsidRDefault="006C6D45">
      <w:pPr>
        <w:widowControl/>
        <w:rPr>
          <w:sz w:val="24"/>
        </w:rPr>
        <w:sectPr w:rsidR="00000000">
          <w:type w:val="continuous"/>
          <w:pgSz w:w="12240" w:h="15840"/>
          <w:pgMar w:top="1180" w:right="1836" w:bottom="764" w:left="10204" w:header="720" w:footer="720" w:gutter="0"/>
          <w:cols w:space="720"/>
          <w:noEndnote/>
        </w:sectPr>
      </w:pPr>
    </w:p>
    <w:p w:rsidR="00000000" w:rsidRDefault="006C6D45">
      <w:pPr>
        <w:kinsoku w:val="0"/>
        <w:overflowPunct w:val="0"/>
        <w:autoSpaceDE/>
        <w:autoSpaceDN/>
        <w:adjustRightInd/>
        <w:spacing w:before="21" w:line="239" w:lineRule="exact"/>
        <w:ind w:left="216" w:right="216"/>
        <w:textAlignment w:val="baseline"/>
        <w:rPr>
          <w:rFonts w:ascii="Arial" w:hAnsi="Arial"/>
          <w:spacing w:val="-4"/>
          <w:sz w:val="21"/>
        </w:rPr>
      </w:pPr>
      <w:r>
        <w:rPr>
          <w:rFonts w:ascii="Arial" w:hAnsi="Arial"/>
          <w:spacing w:val="-4"/>
          <w:sz w:val="21"/>
        </w:rPr>
        <w:lastRenderedPageBreak/>
        <w:t>The full list of those provisions can be found in the COAG Energy Council</w:t>
      </w:r>
      <w:r>
        <w:rPr>
          <w:rFonts w:ascii="Arial" w:hAnsi="Arial"/>
          <w:spacing w:val="-4"/>
          <w:sz w:val="21"/>
        </w:rPr>
        <w:t>’</w:t>
      </w:r>
      <w:r>
        <w:rPr>
          <w:rFonts w:ascii="Arial" w:hAnsi="Arial"/>
          <w:spacing w:val="-4"/>
          <w:sz w:val="21"/>
        </w:rPr>
        <w:t xml:space="preserve">s </w:t>
      </w:r>
      <w:r>
        <w:rPr>
          <w:rFonts w:ascii="Arial" w:hAnsi="Arial"/>
          <w:b/>
          <w:i/>
          <w:spacing w:val="-4"/>
          <w:sz w:val="21"/>
        </w:rPr>
        <w:t xml:space="preserve">AER Powers and Civil Penalty Regime Consultation Paper </w:t>
      </w:r>
      <w:r>
        <w:rPr>
          <w:rFonts w:ascii="Arial" w:hAnsi="Arial"/>
          <w:spacing w:val="-4"/>
          <w:sz w:val="21"/>
        </w:rPr>
        <w:t>—</w:t>
      </w:r>
      <w:r>
        <w:rPr>
          <w:rFonts w:ascii="Arial" w:hAnsi="Arial"/>
          <w:spacing w:val="-4"/>
          <w:sz w:val="21"/>
        </w:rPr>
        <w:t xml:space="preserve"> Appendix A</w:t>
      </w:r>
      <w:r>
        <w:rPr>
          <w:rFonts w:ascii="Arial" w:hAnsi="Arial"/>
          <w:spacing w:val="-4"/>
          <w:sz w:val="21"/>
          <w:vertAlign w:val="superscript"/>
        </w:rPr>
        <w:t>1</w:t>
      </w:r>
      <w:r>
        <w:rPr>
          <w:rFonts w:ascii="Arial" w:hAnsi="Arial"/>
          <w:spacing w:val="-4"/>
          <w:sz w:val="21"/>
        </w:rPr>
        <w:t>, and are referenced in the REPI final report.</w:t>
      </w:r>
    </w:p>
    <w:p w:rsidR="00000000" w:rsidRDefault="006C6D45">
      <w:pPr>
        <w:kinsoku w:val="0"/>
        <w:overflowPunct w:val="0"/>
        <w:autoSpaceDE/>
        <w:autoSpaceDN/>
        <w:adjustRightInd/>
        <w:spacing w:before="190" w:line="239" w:lineRule="exact"/>
        <w:ind w:left="216"/>
        <w:textAlignment w:val="baseline"/>
        <w:rPr>
          <w:rFonts w:ascii="Arial" w:hAnsi="Arial"/>
          <w:b/>
          <w:spacing w:val="-2"/>
          <w:sz w:val="21"/>
        </w:rPr>
      </w:pPr>
      <w:r>
        <w:rPr>
          <w:rFonts w:ascii="Arial" w:hAnsi="Arial"/>
          <w:b/>
          <w:spacing w:val="-2"/>
          <w:sz w:val="21"/>
        </w:rPr>
        <w:t>Gas Inquiry</w:t>
      </w:r>
    </w:p>
    <w:p w:rsidR="00000000" w:rsidRDefault="006C6D45">
      <w:pPr>
        <w:kinsoku w:val="0"/>
        <w:overflowPunct w:val="0"/>
        <w:autoSpaceDE/>
        <w:autoSpaceDN/>
        <w:adjustRightInd/>
        <w:spacing w:before="180" w:after="9880" w:line="239" w:lineRule="exact"/>
        <w:ind w:left="216" w:right="216"/>
        <w:textAlignment w:val="baseline"/>
        <w:rPr>
          <w:rFonts w:ascii="Arial" w:hAnsi="Arial"/>
          <w:sz w:val="21"/>
        </w:rPr>
      </w:pPr>
      <w:r>
        <w:rPr>
          <w:rFonts w:ascii="Arial" w:hAnsi="Arial"/>
          <w:sz w:val="21"/>
        </w:rPr>
        <w:t>A recommendation of the ACCC</w:t>
      </w:r>
      <w:r>
        <w:rPr>
          <w:rFonts w:ascii="Arial" w:hAnsi="Arial"/>
          <w:sz w:val="21"/>
        </w:rPr>
        <w:t>’</w:t>
      </w:r>
      <w:r>
        <w:rPr>
          <w:rFonts w:ascii="Arial" w:hAnsi="Arial"/>
          <w:sz w:val="21"/>
        </w:rPr>
        <w:t>s Gas Inquiry in 2018 wa</w:t>
      </w:r>
      <w:r>
        <w:rPr>
          <w:rFonts w:ascii="Arial" w:hAnsi="Arial"/>
          <w:sz w:val="21"/>
        </w:rPr>
        <w:t>s also reflected in the proposed classification of provisions relating to the transparency of Bulletin Board information to be supplied to AEMO.</w:t>
      </w:r>
      <w:r>
        <w:rPr>
          <w:rFonts w:ascii="Arial" w:hAnsi="Arial"/>
          <w:sz w:val="21"/>
          <w:vertAlign w:val="superscript"/>
        </w:rPr>
        <w:t>2</w:t>
      </w:r>
      <w:r>
        <w:rPr>
          <w:rFonts w:ascii="Arial" w:hAnsi="Arial"/>
          <w:sz w:val="21"/>
        </w:rPr>
        <w:t xml:space="preserve"> Provisions relating to the Bulletin Board reporting obligations were categorised in Tier 1 or 2 accordingly.</w:t>
      </w:r>
    </w:p>
    <w:p w:rsidR="00000000" w:rsidRDefault="006C6D45">
      <w:pPr>
        <w:widowControl/>
        <w:rPr>
          <w:sz w:val="24"/>
        </w:rPr>
        <w:sectPr w:rsidR="00000000">
          <w:pgSz w:w="12240" w:h="15840"/>
          <w:pgMar w:top="1180" w:right="2015" w:bottom="764" w:left="1650" w:header="720" w:footer="720" w:gutter="0"/>
          <w:cols w:space="720"/>
          <w:noEndnote/>
        </w:sectPr>
      </w:pPr>
    </w:p>
    <w:p w:rsidR="00000000" w:rsidRDefault="006C6D45">
      <w:pPr>
        <w:kinsoku w:val="0"/>
        <w:overflowPunct w:val="0"/>
        <w:autoSpaceDE/>
        <w:autoSpaceDN/>
        <w:adjustRightInd/>
        <w:spacing w:before="167" w:line="174" w:lineRule="exact"/>
        <w:ind w:left="360" w:right="144" w:hanging="360"/>
        <w:jc w:val="both"/>
        <w:textAlignment w:val="baseline"/>
        <w:rPr>
          <w:rFonts w:ascii="Arial" w:hAnsi="Arial"/>
          <w:sz w:val="15"/>
        </w:rPr>
      </w:pPr>
      <w:r>
        <w:rPr>
          <w:noProof/>
          <w:lang w:val="en-AU"/>
        </w:rPr>
        <mc:AlternateContent>
          <mc:Choice Requires="wps">
            <w:drawing>
              <wp:anchor distT="0" distB="0" distL="0" distR="0" simplePos="0" relativeHeight="251659264" behindDoc="0" locked="0" layoutInCell="0" allowOverlap="1">
                <wp:simplePos x="0" y="0"/>
                <wp:positionH relativeFrom="page">
                  <wp:posOffset>1159510</wp:posOffset>
                </wp:positionH>
                <wp:positionV relativeFrom="page">
                  <wp:posOffset>8497570</wp:posOffset>
                </wp:positionV>
                <wp:extent cx="1751965" cy="0"/>
                <wp:effectExtent l="0" t="0" r="0" b="0"/>
                <wp:wrapSquare wrapText="bothSides"/>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196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A3BE6" id="Line 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91.3pt,669.1pt" to="229.25pt,6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rbzEQ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" o:allowincell="f" strokeweight=".7pt">
                <w10:wrap type="square" anchorx="page" anchory="page"/>
              </v:line>
            </w:pict>
          </mc:Fallback>
        </mc:AlternateContent>
      </w:r>
      <w:r>
        <w:rPr>
          <w:rFonts w:ascii="Arial" w:hAnsi="Arial"/>
          <w:sz w:val="10"/>
          <w:vertAlign w:val="superscript"/>
        </w:rPr>
        <w:t>1</w:t>
      </w:r>
      <w:r>
        <w:rPr>
          <w:rFonts w:ascii="Arial" w:hAnsi="Arial"/>
          <w:color w:val="0000FF"/>
          <w:sz w:val="15"/>
          <w:u w:val="single"/>
        </w:rPr>
        <w:t xml:space="preserve"> </w:t>
      </w:r>
      <w:hyperlink r:id="rId10" w:history="1">
        <w:r>
          <w:rPr>
            <w:rFonts w:ascii="Arial" w:hAnsi="Arial"/>
            <w:color w:val="0000FF"/>
            <w:sz w:val="15"/>
            <w:u w:val="single"/>
          </w:rPr>
          <w:t>http://www.coagenergycouncil.gov.au/publications/energy-market-reform-bulletin-no44-aer-powers-and-civil-penalty-regime</w:t>
        </w:r>
      </w:hyperlink>
      <w:r>
        <w:rPr>
          <w:rFonts w:ascii="Arial" w:hAnsi="Arial"/>
          <w:color w:val="0000FF"/>
          <w:sz w:val="15"/>
          <w:u w:val="single"/>
        </w:rPr>
        <w:t>-consultation</w:t>
      </w:r>
      <w:r>
        <w:rPr>
          <w:rFonts w:ascii="Arial" w:hAnsi="Arial"/>
          <w:sz w:val="15"/>
        </w:rPr>
        <w:t xml:space="preserve"> </w:t>
      </w:r>
    </w:p>
    <w:p w:rsidR="00000000" w:rsidRDefault="006C6D45">
      <w:pPr>
        <w:kinsoku w:val="0"/>
        <w:overflowPunct w:val="0"/>
        <w:autoSpaceDE/>
        <w:autoSpaceDN/>
        <w:adjustRightInd/>
        <w:spacing w:before="56" w:line="173" w:lineRule="exact"/>
        <w:jc w:val="both"/>
        <w:textAlignment w:val="baseline"/>
        <w:rPr>
          <w:rFonts w:ascii="Arial" w:hAnsi="Arial"/>
          <w:sz w:val="15"/>
        </w:rPr>
      </w:pPr>
      <w:r>
        <w:rPr>
          <w:rFonts w:ascii="Arial" w:hAnsi="Arial"/>
          <w:sz w:val="10"/>
          <w:vertAlign w:val="superscript"/>
        </w:rPr>
        <w:t>2</w:t>
      </w:r>
      <w:r>
        <w:rPr>
          <w:rFonts w:ascii="Arial" w:hAnsi="Arial"/>
          <w:sz w:val="15"/>
        </w:rPr>
        <w:t xml:space="preserve"> ACCC and Gas Market Reform Group Joint Recommendations </w:t>
      </w:r>
      <w:r>
        <w:rPr>
          <w:rFonts w:ascii="Arial" w:hAnsi="Arial"/>
          <w:sz w:val="15"/>
        </w:rPr>
        <w:t>–</w:t>
      </w:r>
      <w:r>
        <w:rPr>
          <w:rFonts w:ascii="Arial" w:hAnsi="Arial"/>
          <w:sz w:val="15"/>
        </w:rPr>
        <w:t xml:space="preserve"> Measures to improve the transparency of the gas market </w:t>
      </w:r>
      <w:r>
        <w:rPr>
          <w:rFonts w:ascii="Arial" w:hAnsi="Arial"/>
          <w:sz w:val="15"/>
        </w:rPr>
        <w:t>–</w:t>
      </w:r>
    </w:p>
    <w:p w:rsidR="00000000" w:rsidRDefault="006C6D45">
      <w:pPr>
        <w:kinsoku w:val="0"/>
        <w:overflowPunct w:val="0"/>
        <w:autoSpaceDE/>
        <w:autoSpaceDN/>
        <w:adjustRightInd/>
        <w:spacing w:before="1" w:after="180" w:line="173" w:lineRule="exact"/>
        <w:jc w:val="center"/>
        <w:textAlignment w:val="baseline"/>
        <w:rPr>
          <w:rFonts w:ascii="Arial" w:hAnsi="Arial"/>
          <w:sz w:val="15"/>
        </w:rPr>
      </w:pPr>
      <w:r>
        <w:rPr>
          <w:rFonts w:ascii="Arial" w:hAnsi="Arial"/>
          <w:sz w:val="15"/>
        </w:rPr>
        <w:t xml:space="preserve">2018 - p8 </w:t>
      </w:r>
      <w:hyperlink r:id="rId11" w:history="1">
        <w:r>
          <w:rPr>
            <w:rFonts w:ascii="Arial" w:hAnsi="Arial"/>
            <w:color w:val="0000FF"/>
            <w:sz w:val="15"/>
            <w:u w:val="single"/>
          </w:rPr>
          <w:t>http://www.coagenergycouncil.gov.au/publications/measures-improve-transparency-gas-market-consultation</w:t>
        </w:r>
      </w:hyperlink>
    </w:p>
    <w:p w:rsidR="00000000" w:rsidRDefault="006C6D45">
      <w:pPr>
        <w:kinsoku w:val="0"/>
        <w:overflowPunct w:val="0"/>
        <w:autoSpaceDE/>
        <w:autoSpaceDN/>
        <w:adjustRightInd/>
        <w:spacing w:before="3" w:line="193" w:lineRule="exact"/>
        <w:jc w:val="right"/>
        <w:textAlignment w:val="baseline"/>
        <w:rPr>
          <w:rFonts w:ascii="Arial" w:hAnsi="Arial"/>
          <w:sz w:val="17"/>
        </w:rPr>
      </w:pPr>
      <w:r>
        <w:rPr>
          <w:rFonts w:ascii="Arial" w:hAnsi="Arial"/>
          <w:sz w:val="17"/>
        </w:rPr>
        <w:t>3</w:t>
      </w:r>
    </w:p>
    <w:sectPr w:rsidR="00000000">
      <w:type w:val="continuous"/>
      <w:pgSz w:w="12240" w:h="15840"/>
      <w:pgMar w:top="1180" w:right="1839" w:bottom="764" w:left="182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A918E"/>
    <w:multiLevelType w:val="singleLevel"/>
    <w:tmpl w:val="146D0D88"/>
    <w:lvl w:ilvl="0">
      <w:numFmt w:val="bullet"/>
      <w:lvlText w:val="·"/>
      <w:lvlJc w:val="left"/>
      <w:pPr>
        <w:tabs>
          <w:tab w:val="num" w:pos="720"/>
        </w:tabs>
        <w:ind w:left="720" w:hanging="360"/>
      </w:pPr>
      <w:rPr>
        <w:rFonts w:ascii="Symbol" w:hAnsi="Symbol"/>
        <w:snapToGrid/>
        <w:sz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D45"/>
    <w:rsid w:val="006C6D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A6C72561-4229-4C36-ADB1-48DA318B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4"/>
      <w:lang w:val="en-US"/>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libby.darwin@aer.gov.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PTSecretariat@industry.gov.a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er.gov.au" TargetMode="External"/><Relationship Id="rId11" Type="http://schemas.openxmlformats.org/officeDocument/2006/relationships/hyperlink" Target="http://www.coagenergycouncil.gov.au/publications/measures-improve-transparency-gas-market-consultation" TargetMode="External"/><Relationship Id="rId5" Type="http://schemas.openxmlformats.org/officeDocument/2006/relationships/image" Target="media/image1.jpeg"/><Relationship Id="rId10" Type="http://schemas.openxmlformats.org/officeDocument/2006/relationships/hyperlink" Target="http://www.coagenergycouncil.gov.au/publications/energy-market-reform-bulletin-no44-aer-powers-and-civil-penalty-regime"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Tom</dc:creator>
  <cp:keywords/>
  <dc:description/>
  <cp:lastModifiedBy>Hirscher, Andrew</cp:lastModifiedBy>
  <cp:revision>2</cp:revision>
  <dcterms:created xsi:type="dcterms:W3CDTF">2020-08-13T01:53:00Z</dcterms:created>
  <dcterms:modified xsi:type="dcterms:W3CDTF">2020-08-13T01:53:00Z</dcterms:modified>
</cp:coreProperties>
</file>