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8EE" w:rsidRDefault="002D0ADC">
      <w:pPr>
        <w:spacing w:before="16" w:after="765"/>
        <w:ind w:right="130"/>
        <w:textAlignment w:val="baseline"/>
      </w:pPr>
      <w:bookmarkStart w:id="0" w:name="_GoBack"/>
      <w:bookmarkEnd w:id="0"/>
      <w:r>
        <w:rPr>
          <w:noProof/>
          <w:lang w:val="en-AU" w:eastAsia="en-AU"/>
        </w:rPr>
        <w:drawing>
          <wp:inline distT="0" distB="0" distL="0" distR="0">
            <wp:extent cx="2889250" cy="58801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5"/>
                    <a:stretch>
                      <a:fillRect/>
                    </a:stretch>
                  </pic:blipFill>
                  <pic:spPr>
                    <a:xfrm>
                      <a:off x="0" y="0"/>
                      <a:ext cx="2889250" cy="588010"/>
                    </a:xfrm>
                    <a:prstGeom prst="rect">
                      <a:avLst/>
                    </a:prstGeom>
                  </pic:spPr>
                </pic:pic>
              </a:graphicData>
            </a:graphic>
          </wp:inline>
        </w:drawing>
      </w:r>
    </w:p>
    <w:p w:rsidR="006558EE" w:rsidRDefault="006558EE">
      <w:pPr>
        <w:spacing w:before="16" w:after="765"/>
        <w:sectPr w:rsidR="006558EE">
          <w:pgSz w:w="11909" w:h="16838"/>
          <w:pgMar w:top="560" w:right="624" w:bottom="242" w:left="6605" w:header="720" w:footer="720" w:gutter="0"/>
          <w:cols w:space="720"/>
        </w:sectPr>
      </w:pPr>
    </w:p>
    <w:p w:rsidR="006558EE" w:rsidRDefault="002D0ADC">
      <w:pPr>
        <w:spacing w:before="23" w:line="216" w:lineRule="exact"/>
        <w:ind w:left="864"/>
        <w:textAlignment w:val="baseline"/>
        <w:rPr>
          <w:rFonts w:ascii="Calibri" w:eastAsia="Calibri" w:hAnsi="Calibri"/>
          <w:color w:val="000000"/>
          <w:sz w:val="21"/>
        </w:rPr>
      </w:pPr>
      <w:r>
        <w:rPr>
          <w:rFonts w:ascii="Calibri" w:eastAsia="Calibri" w:hAnsi="Calibri"/>
          <w:color w:val="000000"/>
          <w:sz w:val="21"/>
        </w:rPr>
        <w:t>10 August 2020</w:t>
      </w:r>
    </w:p>
    <w:p w:rsidR="006558EE" w:rsidRDefault="002D0ADC">
      <w:pPr>
        <w:spacing w:before="418" w:line="215" w:lineRule="exact"/>
        <w:ind w:left="864"/>
        <w:textAlignment w:val="baseline"/>
        <w:rPr>
          <w:rFonts w:ascii="Calibri" w:eastAsia="Calibri" w:hAnsi="Calibri"/>
          <w:color w:val="000000"/>
          <w:sz w:val="21"/>
        </w:rPr>
      </w:pPr>
      <w:r>
        <w:rPr>
          <w:rFonts w:ascii="Calibri" w:eastAsia="Calibri" w:hAnsi="Calibri"/>
          <w:color w:val="000000"/>
          <w:sz w:val="21"/>
        </w:rPr>
        <w:t>COAG Energy Council</w:t>
      </w:r>
    </w:p>
    <w:p w:rsidR="006558EE" w:rsidRDefault="002D0ADC">
      <w:pPr>
        <w:spacing w:before="39" w:line="216" w:lineRule="exact"/>
        <w:ind w:left="864"/>
        <w:textAlignment w:val="baseline"/>
        <w:rPr>
          <w:rFonts w:ascii="Calibri" w:eastAsia="Calibri" w:hAnsi="Calibri"/>
          <w:color w:val="000000"/>
          <w:sz w:val="21"/>
        </w:rPr>
      </w:pPr>
      <w:r>
        <w:rPr>
          <w:rFonts w:ascii="Calibri" w:eastAsia="Calibri" w:hAnsi="Calibri"/>
          <w:color w:val="000000"/>
          <w:sz w:val="21"/>
        </w:rPr>
        <w:t>Governance Project Team Secretariat</w:t>
      </w:r>
    </w:p>
    <w:p w:rsidR="006558EE" w:rsidRDefault="002D0ADC">
      <w:pPr>
        <w:spacing w:before="159" w:line="215" w:lineRule="exact"/>
        <w:ind w:left="864"/>
        <w:textAlignment w:val="baseline"/>
        <w:rPr>
          <w:rFonts w:ascii="Calibri" w:eastAsia="Calibri" w:hAnsi="Calibri"/>
          <w:color w:val="000000"/>
          <w:sz w:val="21"/>
        </w:rPr>
      </w:pPr>
      <w:r>
        <w:rPr>
          <w:rFonts w:ascii="Calibri" w:eastAsia="Calibri" w:hAnsi="Calibri"/>
          <w:color w:val="000000"/>
          <w:sz w:val="21"/>
        </w:rPr>
        <w:t xml:space="preserve">Submitted via </w:t>
      </w:r>
      <w:hyperlink r:id="rId6">
        <w:r>
          <w:rPr>
            <w:rFonts w:ascii="Calibri" w:eastAsia="Calibri" w:hAnsi="Calibri"/>
            <w:color w:val="0000FF"/>
            <w:sz w:val="21"/>
            <w:u w:val="single"/>
          </w:rPr>
          <w:t>email: GPTSecretariat@industry.gov.au</w:t>
        </w:r>
      </w:hyperlink>
      <w:r>
        <w:rPr>
          <w:rFonts w:ascii="Calibri" w:eastAsia="Calibri" w:hAnsi="Calibri"/>
          <w:color w:val="000000"/>
          <w:sz w:val="21"/>
        </w:rPr>
        <w:t xml:space="preserve"> </w:t>
      </w:r>
    </w:p>
    <w:p w:rsidR="006558EE" w:rsidRDefault="002D0ADC">
      <w:pPr>
        <w:spacing w:before="418" w:line="216" w:lineRule="exact"/>
        <w:ind w:left="864"/>
        <w:textAlignment w:val="baseline"/>
        <w:rPr>
          <w:rFonts w:ascii="Calibri" w:eastAsia="Calibri" w:hAnsi="Calibri"/>
          <w:color w:val="000000"/>
          <w:sz w:val="21"/>
        </w:rPr>
      </w:pPr>
      <w:r>
        <w:rPr>
          <w:rFonts w:ascii="Calibri" w:eastAsia="Calibri" w:hAnsi="Calibri"/>
          <w:color w:val="000000"/>
          <w:sz w:val="21"/>
        </w:rPr>
        <w:t>Dear Governance Project Team</w:t>
      </w:r>
    </w:p>
    <w:p w:rsidR="006558EE" w:rsidRDefault="002D0ADC">
      <w:pPr>
        <w:spacing w:before="297" w:line="216" w:lineRule="exact"/>
        <w:ind w:left="864"/>
        <w:textAlignment w:val="baseline"/>
        <w:rPr>
          <w:rFonts w:ascii="Calibri" w:eastAsia="Calibri" w:hAnsi="Calibri"/>
          <w:b/>
          <w:color w:val="000000"/>
          <w:spacing w:val="-4"/>
        </w:rPr>
      </w:pPr>
      <w:r>
        <w:rPr>
          <w:rFonts w:ascii="Calibri" w:eastAsia="Calibri" w:hAnsi="Calibri"/>
          <w:b/>
          <w:color w:val="000000"/>
          <w:spacing w:val="-4"/>
        </w:rPr>
        <w:t>Re: Reform of the Australian Energy Regulator Civil Penalty Regime</w:t>
      </w:r>
    </w:p>
    <w:p w:rsidR="006558EE" w:rsidRDefault="002D0ADC">
      <w:pPr>
        <w:spacing w:before="116" w:line="259" w:lineRule="exact"/>
        <w:ind w:left="864" w:right="864"/>
        <w:textAlignment w:val="baseline"/>
        <w:rPr>
          <w:rFonts w:ascii="Calibri" w:eastAsia="Calibri" w:hAnsi="Calibri"/>
          <w:color w:val="000000"/>
          <w:sz w:val="21"/>
        </w:rPr>
      </w:pPr>
      <w:r>
        <w:rPr>
          <w:rFonts w:ascii="Calibri" w:eastAsia="Calibri" w:hAnsi="Calibri"/>
          <w:color w:val="000000"/>
          <w:sz w:val="21"/>
        </w:rPr>
        <w:t>CitiPower, Powercor and United Energy appreciate the opportunity to comment on the draft Concepts Table and Decision Matrix and proposed classification of civil penalties published by the C</w:t>
      </w:r>
      <w:r>
        <w:rPr>
          <w:rFonts w:ascii="Calibri" w:eastAsia="Calibri" w:hAnsi="Calibri"/>
          <w:color w:val="000000"/>
          <w:sz w:val="21"/>
        </w:rPr>
        <w:t>ouncil of Australian Governments (COAG) Energy Council on 13 July 2020.</w:t>
      </w:r>
    </w:p>
    <w:p w:rsidR="006558EE" w:rsidRDefault="002D0ADC">
      <w:pPr>
        <w:spacing w:before="196" w:line="257" w:lineRule="exact"/>
        <w:ind w:left="864" w:right="936"/>
        <w:textAlignment w:val="baseline"/>
        <w:rPr>
          <w:rFonts w:ascii="Calibri" w:eastAsia="Calibri" w:hAnsi="Calibri"/>
          <w:color w:val="000000"/>
          <w:sz w:val="21"/>
        </w:rPr>
      </w:pPr>
      <w:r>
        <w:rPr>
          <w:rFonts w:ascii="Calibri" w:eastAsia="Calibri" w:hAnsi="Calibri"/>
          <w:color w:val="000000"/>
          <w:sz w:val="21"/>
        </w:rPr>
        <w:t>Under the National Electricity Law (NEL) and National Electricity Rules (NER), a large number of provisions applying to Victorian electricity distributors are currently civil penalty p</w:t>
      </w:r>
      <w:r>
        <w:rPr>
          <w:rFonts w:ascii="Calibri" w:eastAsia="Calibri" w:hAnsi="Calibri"/>
          <w:color w:val="000000"/>
          <w:sz w:val="21"/>
        </w:rPr>
        <w:t>rovisions, and the way in which these provisions are classified following the reforms to the civil penalty regime will have a significant bearing on the enforcement regime applying to the businesses.</w:t>
      </w:r>
    </w:p>
    <w:p w:rsidR="006558EE" w:rsidRDefault="002D0ADC">
      <w:pPr>
        <w:spacing w:before="203" w:line="256" w:lineRule="exact"/>
        <w:ind w:left="864" w:right="864"/>
        <w:textAlignment w:val="baseline"/>
        <w:rPr>
          <w:rFonts w:ascii="Calibri" w:eastAsia="Calibri" w:hAnsi="Calibri"/>
          <w:color w:val="000000"/>
          <w:sz w:val="21"/>
        </w:rPr>
      </w:pPr>
      <w:r>
        <w:rPr>
          <w:rFonts w:ascii="Calibri" w:eastAsia="Calibri" w:hAnsi="Calibri"/>
          <w:color w:val="000000"/>
          <w:sz w:val="21"/>
        </w:rPr>
        <w:t>We have significant concerns with the COAG Energy Counci</w:t>
      </w:r>
      <w:r>
        <w:rPr>
          <w:rFonts w:ascii="Calibri" w:eastAsia="Calibri" w:hAnsi="Calibri"/>
          <w:color w:val="000000"/>
          <w:sz w:val="21"/>
        </w:rPr>
        <w:t>l’s proposed approach to classifying civil penalties into the three penalty tiers following the amendments to the NEL. In particular, the nature of civil penalty provisions in the NEL and NER varies considerably in terms of the seriousness and potential co</w:t>
      </w:r>
      <w:r>
        <w:rPr>
          <w:rFonts w:ascii="Calibri" w:eastAsia="Calibri" w:hAnsi="Calibri"/>
          <w:color w:val="000000"/>
          <w:sz w:val="21"/>
        </w:rPr>
        <w:t>nsequences of breaching them, as well as the level of specificity and precision with which the relevant obligations are set out. We consider that the proposed approach fails to adequately take this into account, contrary to both accepted principles relevan</w:t>
      </w:r>
      <w:r>
        <w:rPr>
          <w:rFonts w:ascii="Calibri" w:eastAsia="Calibri" w:hAnsi="Calibri"/>
          <w:color w:val="000000"/>
          <w:sz w:val="21"/>
        </w:rPr>
        <w:t>t to developing an enforcement regime and prior views set out by the COAG Energy Council Standing Committee of Officials (SCO), resulting in a disproportionate application of civil penalties to distributors under the NEL and NER.</w:t>
      </w:r>
    </w:p>
    <w:p w:rsidR="006558EE" w:rsidRDefault="002D0ADC">
      <w:pPr>
        <w:spacing w:before="192" w:line="259" w:lineRule="exact"/>
        <w:ind w:left="864" w:right="1152"/>
        <w:textAlignment w:val="baseline"/>
        <w:rPr>
          <w:rFonts w:ascii="Calibri" w:eastAsia="Calibri" w:hAnsi="Calibri"/>
          <w:color w:val="000000"/>
          <w:sz w:val="21"/>
        </w:rPr>
      </w:pPr>
      <w:r>
        <w:rPr>
          <w:rFonts w:ascii="Calibri" w:eastAsia="Calibri" w:hAnsi="Calibri"/>
          <w:color w:val="000000"/>
          <w:sz w:val="21"/>
        </w:rPr>
        <w:t>We consider that only a small number of the civil penalty provisions in the NEL and NER currently applicable to us warrant a Tier 1 classification, with the most being more appropriately classified as Tier 2 or 3.</w:t>
      </w:r>
    </w:p>
    <w:p w:rsidR="006558EE" w:rsidRDefault="002D0ADC">
      <w:pPr>
        <w:spacing w:before="236" w:line="216" w:lineRule="exact"/>
        <w:ind w:left="864"/>
        <w:textAlignment w:val="baseline"/>
        <w:rPr>
          <w:rFonts w:ascii="Calibri" w:eastAsia="Calibri" w:hAnsi="Calibri"/>
          <w:b/>
          <w:color w:val="000000"/>
          <w:spacing w:val="-4"/>
        </w:rPr>
      </w:pPr>
      <w:r>
        <w:rPr>
          <w:rFonts w:ascii="Calibri" w:eastAsia="Calibri" w:hAnsi="Calibri"/>
          <w:b/>
          <w:color w:val="000000"/>
          <w:spacing w:val="-4"/>
        </w:rPr>
        <w:t>Principles for determining maximum civil p</w:t>
      </w:r>
      <w:r>
        <w:rPr>
          <w:rFonts w:ascii="Calibri" w:eastAsia="Calibri" w:hAnsi="Calibri"/>
          <w:b/>
          <w:color w:val="000000"/>
          <w:spacing w:val="-4"/>
        </w:rPr>
        <w:t>enalty amounts</w:t>
      </w:r>
    </w:p>
    <w:p w:rsidR="006558EE" w:rsidRDefault="002D0ADC">
      <w:pPr>
        <w:spacing w:before="123" w:line="256" w:lineRule="exact"/>
        <w:ind w:left="864" w:right="864"/>
        <w:textAlignment w:val="baseline"/>
        <w:rPr>
          <w:rFonts w:ascii="Calibri" w:eastAsia="Calibri" w:hAnsi="Calibri"/>
          <w:color w:val="000000"/>
          <w:sz w:val="21"/>
        </w:rPr>
      </w:pPr>
      <w:r>
        <w:rPr>
          <w:rFonts w:ascii="Calibri" w:eastAsia="Calibri" w:hAnsi="Calibri"/>
          <w:color w:val="000000"/>
          <w:sz w:val="21"/>
        </w:rPr>
        <w:t>The principles relevant to developing an enforcement regime are summarised in the Guide to Framing Commonwealth Offences, Infringement Notices and Enforcement Powers, September 2013 developed by the Criminal Justice Division of the Attorney-</w:t>
      </w:r>
      <w:r>
        <w:rPr>
          <w:rFonts w:ascii="Calibri" w:eastAsia="Calibri" w:hAnsi="Calibri"/>
          <w:color w:val="000000"/>
          <w:sz w:val="21"/>
        </w:rPr>
        <w:t>General’s Department (Enforcement Guide). The Enforcement Guide states (at p. 36):</w:t>
      </w:r>
    </w:p>
    <w:p w:rsidR="006558EE" w:rsidRDefault="002D0ADC">
      <w:pPr>
        <w:spacing w:before="203" w:line="256" w:lineRule="exact"/>
        <w:ind w:left="1584" w:right="1224"/>
        <w:textAlignment w:val="baseline"/>
        <w:rPr>
          <w:rFonts w:ascii="Calibri" w:eastAsia="Calibri" w:hAnsi="Calibri"/>
          <w:i/>
          <w:color w:val="000000"/>
          <w:sz w:val="21"/>
        </w:rPr>
      </w:pPr>
      <w:r>
        <w:rPr>
          <w:rFonts w:ascii="Calibri" w:eastAsia="Calibri" w:hAnsi="Calibri"/>
          <w:i/>
          <w:color w:val="000000"/>
          <w:sz w:val="21"/>
        </w:rPr>
        <w:t>A maximum penalty should aim to provide an effective deterrent to the commission of the offence, and should reflect the seriousness of the offence within the relevant legisl</w:t>
      </w:r>
      <w:r>
        <w:rPr>
          <w:rFonts w:ascii="Calibri" w:eastAsia="Calibri" w:hAnsi="Calibri"/>
          <w:i/>
          <w:color w:val="000000"/>
          <w:sz w:val="21"/>
        </w:rPr>
        <w:t>ative scheme. A higher maximum penalty will be justified where there are strong incentives to commit the offence, or where the consequences of the commission of the offence are particularly dangerous or damaging.</w:t>
      </w:r>
    </w:p>
    <w:p w:rsidR="006558EE" w:rsidRDefault="002D0ADC">
      <w:pPr>
        <w:spacing w:before="164" w:line="216" w:lineRule="exact"/>
        <w:ind w:left="864"/>
        <w:textAlignment w:val="baseline"/>
        <w:rPr>
          <w:rFonts w:ascii="Calibri" w:eastAsia="Calibri" w:hAnsi="Calibri"/>
          <w:color w:val="000000"/>
          <w:sz w:val="21"/>
        </w:rPr>
      </w:pPr>
      <w:r>
        <w:rPr>
          <w:rFonts w:ascii="Calibri" w:eastAsia="Calibri" w:hAnsi="Calibri"/>
          <w:color w:val="000000"/>
          <w:sz w:val="21"/>
        </w:rPr>
        <w:t>This is the approach accepted by the SCO in</w:t>
      </w:r>
      <w:r>
        <w:rPr>
          <w:rFonts w:ascii="Calibri" w:eastAsia="Calibri" w:hAnsi="Calibri"/>
          <w:color w:val="000000"/>
          <w:sz w:val="21"/>
        </w:rPr>
        <w:t xml:space="preserve"> its 2018 consultation paper on the civil penalty regime:</w:t>
      </w:r>
    </w:p>
    <w:p w:rsidR="006558EE" w:rsidRDefault="002D0ADC">
      <w:pPr>
        <w:spacing w:before="196" w:line="256" w:lineRule="exact"/>
        <w:ind w:left="1584" w:right="864"/>
        <w:textAlignment w:val="baseline"/>
        <w:rPr>
          <w:rFonts w:ascii="Calibri" w:eastAsia="Calibri" w:hAnsi="Calibri"/>
          <w:i/>
          <w:color w:val="000000"/>
          <w:sz w:val="21"/>
        </w:rPr>
      </w:pPr>
      <w:r>
        <w:rPr>
          <w:rFonts w:ascii="Calibri" w:eastAsia="Calibri" w:hAnsi="Calibri"/>
          <w:i/>
          <w:color w:val="000000"/>
          <w:sz w:val="21"/>
        </w:rPr>
        <w:t>To warrant a higher civil penalty amount for breaches of some provisions, the consequences of a breach should be quantitatively or qualitatively more serious than a breach of provisions attracting a lower penalty.</w:t>
      </w:r>
    </w:p>
    <w:p w:rsidR="006558EE" w:rsidRDefault="002D0ADC">
      <w:pPr>
        <w:spacing w:before="164" w:after="263" w:line="216" w:lineRule="exact"/>
        <w:ind w:left="864"/>
        <w:textAlignment w:val="baseline"/>
        <w:rPr>
          <w:rFonts w:ascii="Calibri" w:eastAsia="Calibri" w:hAnsi="Calibri"/>
          <w:color w:val="000000"/>
          <w:sz w:val="21"/>
        </w:rPr>
      </w:pPr>
      <w:r>
        <w:rPr>
          <w:rFonts w:ascii="Calibri" w:eastAsia="Calibri" w:hAnsi="Calibri"/>
          <w:color w:val="000000"/>
          <w:sz w:val="21"/>
        </w:rPr>
        <w:t>The Enforcement Guide also provides (p. 38</w:t>
      </w:r>
      <w:r>
        <w:rPr>
          <w:rFonts w:ascii="Calibri" w:eastAsia="Calibri" w:hAnsi="Calibri"/>
          <w:color w:val="000000"/>
          <w:sz w:val="21"/>
        </w:rPr>
        <w:t>, footnotes excluded):</w:t>
      </w:r>
    </w:p>
    <w:p w:rsidR="006558EE" w:rsidRDefault="002D0ADC">
      <w:pPr>
        <w:tabs>
          <w:tab w:val="left" w:pos="2448"/>
          <w:tab w:val="left" w:pos="5256"/>
          <w:tab w:val="left" w:pos="7992"/>
        </w:tabs>
        <w:spacing w:before="183" w:line="146" w:lineRule="exact"/>
        <w:textAlignment w:val="baseline"/>
        <w:rPr>
          <w:rFonts w:ascii="Calibri" w:eastAsia="Calibri" w:hAnsi="Calibri"/>
          <w:color w:val="001F5F"/>
          <w:sz w:val="14"/>
        </w:rPr>
      </w:pPr>
      <w:r>
        <w:rPr>
          <w:noProof/>
          <w:lang w:val="en-AU" w:eastAsia="en-AU"/>
        </w:rPr>
        <mc:AlternateContent>
          <mc:Choice Requires="wps">
            <w:drawing>
              <wp:anchor distT="0" distB="0" distL="114300" distR="114300" simplePos="0" relativeHeight="251658752" behindDoc="0" locked="0" layoutInCell="1" allowOverlap="1">
                <wp:simplePos x="0" y="0"/>
                <wp:positionH relativeFrom="page">
                  <wp:posOffset>445135</wp:posOffset>
                </wp:positionH>
                <wp:positionV relativeFrom="page">
                  <wp:posOffset>9744710</wp:posOffset>
                </wp:positionV>
                <wp:extent cx="6655435" cy="0"/>
                <wp:effectExtent l="0" t="0" r="0" b="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55435" cy="0"/>
                        </a:xfrm>
                        <a:prstGeom prst="line">
                          <a:avLst/>
                        </a:prstGeom>
                        <a:noFill/>
                        <a:ln w="15240">
                          <a:solidFill>
                            <a:srgbClr val="00205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AC7012" id="Line 8"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05pt,767.3pt" to="559.1pt,7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" strokecolor="#00205b" strokeweight="1.2pt">
                <w10:wrap anchorx="page" anchory="page"/>
              </v:line>
            </w:pict>
          </mc:Fallback>
        </mc:AlternateContent>
      </w:r>
      <w:r>
        <w:rPr>
          <w:rFonts w:ascii="Calibri" w:eastAsia="Calibri" w:hAnsi="Calibri"/>
          <w:color w:val="001F5F"/>
          <w:sz w:val="14"/>
        </w:rPr>
        <w:t>40 Market Street</w:t>
      </w:r>
      <w:r>
        <w:rPr>
          <w:rFonts w:ascii="Calibri" w:eastAsia="Calibri" w:hAnsi="Calibri"/>
          <w:color w:val="001F5F"/>
          <w:sz w:val="14"/>
        </w:rPr>
        <w:tab/>
      </w:r>
      <w:r>
        <w:rPr>
          <w:rFonts w:ascii="Calibri" w:eastAsia="Calibri" w:hAnsi="Calibri"/>
          <w:b/>
          <w:color w:val="001F5F"/>
          <w:sz w:val="14"/>
        </w:rPr>
        <w:t>CitiPower Pty Ltd</w:t>
      </w:r>
      <w:r>
        <w:rPr>
          <w:rFonts w:ascii="Calibri" w:eastAsia="Calibri" w:hAnsi="Calibri"/>
          <w:b/>
          <w:color w:val="001F5F"/>
          <w:sz w:val="14"/>
        </w:rPr>
        <w:tab/>
        <w:t>Powercor Australia Ltd</w:t>
      </w:r>
      <w:r>
        <w:rPr>
          <w:rFonts w:ascii="Calibri" w:eastAsia="Calibri" w:hAnsi="Calibri"/>
          <w:b/>
          <w:color w:val="001F5F"/>
          <w:sz w:val="14"/>
        </w:rPr>
        <w:tab/>
        <w:t>United Energy Distribution Pty Ltd</w:t>
      </w:r>
    </w:p>
    <w:p w:rsidR="006558EE" w:rsidRDefault="002D0ADC">
      <w:pPr>
        <w:tabs>
          <w:tab w:val="left" w:pos="2448"/>
          <w:tab w:val="left" w:pos="5256"/>
          <w:tab w:val="left" w:pos="7992"/>
        </w:tabs>
        <w:spacing w:before="26" w:line="142" w:lineRule="exact"/>
        <w:textAlignment w:val="baseline"/>
        <w:rPr>
          <w:rFonts w:ascii="Calibri" w:eastAsia="Calibri" w:hAnsi="Calibri"/>
          <w:color w:val="001F5F"/>
          <w:sz w:val="14"/>
        </w:rPr>
      </w:pPr>
      <w:r>
        <w:rPr>
          <w:rFonts w:ascii="Calibri" w:eastAsia="Calibri" w:hAnsi="Calibri"/>
          <w:color w:val="001F5F"/>
          <w:sz w:val="14"/>
        </w:rPr>
        <w:t>Melbourne VIC Australia</w:t>
      </w:r>
      <w:r>
        <w:rPr>
          <w:rFonts w:ascii="Calibri" w:eastAsia="Calibri" w:hAnsi="Calibri"/>
          <w:color w:val="001F5F"/>
          <w:sz w:val="14"/>
        </w:rPr>
        <w:tab/>
        <w:t>ABN 76 064 651 056</w:t>
      </w:r>
      <w:r>
        <w:rPr>
          <w:rFonts w:ascii="Calibri" w:eastAsia="Calibri" w:hAnsi="Calibri"/>
          <w:color w:val="001F5F"/>
          <w:sz w:val="14"/>
        </w:rPr>
        <w:tab/>
        <w:t>ABN 89 064 651 109</w:t>
      </w:r>
      <w:r>
        <w:rPr>
          <w:rFonts w:ascii="Calibri" w:eastAsia="Calibri" w:hAnsi="Calibri"/>
          <w:color w:val="001F5F"/>
          <w:sz w:val="14"/>
        </w:rPr>
        <w:tab/>
        <w:t>ABN 70 064 651 029</w:t>
      </w:r>
    </w:p>
    <w:p w:rsidR="006558EE" w:rsidRDefault="002D0ADC">
      <w:pPr>
        <w:tabs>
          <w:tab w:val="left" w:pos="2448"/>
          <w:tab w:val="left" w:pos="5256"/>
          <w:tab w:val="left" w:pos="7992"/>
        </w:tabs>
        <w:spacing w:before="31" w:line="147" w:lineRule="exact"/>
        <w:textAlignment w:val="baseline"/>
        <w:rPr>
          <w:rFonts w:ascii="Calibri" w:eastAsia="Calibri" w:hAnsi="Calibri"/>
          <w:color w:val="001F5F"/>
          <w:sz w:val="14"/>
        </w:rPr>
      </w:pPr>
      <w:r>
        <w:rPr>
          <w:rFonts w:ascii="Calibri" w:eastAsia="Calibri" w:hAnsi="Calibri"/>
          <w:color w:val="001F5F"/>
          <w:sz w:val="14"/>
        </w:rPr>
        <w:t>T (03) 9683 4444</w:t>
      </w:r>
      <w:r>
        <w:rPr>
          <w:rFonts w:ascii="Calibri" w:eastAsia="Calibri" w:hAnsi="Calibri"/>
          <w:color w:val="001F5F"/>
          <w:sz w:val="14"/>
        </w:rPr>
        <w:tab/>
        <w:t>General Enquiries 1300 301 101</w:t>
      </w:r>
      <w:r>
        <w:rPr>
          <w:rFonts w:ascii="Calibri" w:eastAsia="Calibri" w:hAnsi="Calibri"/>
          <w:color w:val="001F5F"/>
          <w:sz w:val="14"/>
        </w:rPr>
        <w:tab/>
        <w:t>General En</w:t>
      </w:r>
      <w:r>
        <w:rPr>
          <w:rFonts w:ascii="Calibri" w:eastAsia="Calibri" w:hAnsi="Calibri"/>
          <w:color w:val="001F5F"/>
          <w:sz w:val="14"/>
        </w:rPr>
        <w:t>quiries 13 22 06</w:t>
      </w:r>
      <w:r>
        <w:rPr>
          <w:rFonts w:ascii="Calibri" w:eastAsia="Calibri" w:hAnsi="Calibri"/>
          <w:color w:val="001F5F"/>
          <w:sz w:val="14"/>
        </w:rPr>
        <w:tab/>
        <w:t>General Enquiries 13 22 09</w:t>
      </w:r>
    </w:p>
    <w:p w:rsidR="006558EE" w:rsidRDefault="002D0ADC">
      <w:pPr>
        <w:tabs>
          <w:tab w:val="left" w:pos="2448"/>
          <w:tab w:val="left" w:pos="5256"/>
          <w:tab w:val="left" w:pos="7992"/>
        </w:tabs>
        <w:spacing w:before="21" w:line="147" w:lineRule="exact"/>
        <w:textAlignment w:val="baseline"/>
        <w:rPr>
          <w:rFonts w:ascii="Calibri" w:eastAsia="Calibri" w:hAnsi="Calibri"/>
          <w:color w:val="001F5F"/>
          <w:sz w:val="14"/>
        </w:rPr>
      </w:pPr>
      <w:r>
        <w:rPr>
          <w:rFonts w:ascii="Calibri" w:eastAsia="Calibri" w:hAnsi="Calibri"/>
          <w:color w:val="001F5F"/>
          <w:sz w:val="14"/>
        </w:rPr>
        <w:t>F (03) 9683 4499</w:t>
      </w:r>
      <w:r>
        <w:rPr>
          <w:rFonts w:ascii="Calibri" w:eastAsia="Calibri" w:hAnsi="Calibri"/>
          <w:color w:val="001F5F"/>
          <w:sz w:val="14"/>
        </w:rPr>
        <w:tab/>
      </w:r>
      <w:hyperlink r:id="rId7">
        <w:r>
          <w:rPr>
            <w:rFonts w:ascii="Calibri" w:eastAsia="Calibri" w:hAnsi="Calibri"/>
            <w:color w:val="0000FF"/>
            <w:sz w:val="14"/>
            <w:u w:val="single"/>
          </w:rPr>
          <w:t>www.citipower.com.au</w:t>
        </w:r>
      </w:hyperlink>
      <w:r>
        <w:rPr>
          <w:rFonts w:ascii="Calibri" w:eastAsia="Calibri" w:hAnsi="Calibri"/>
          <w:color w:val="001F5F"/>
          <w:sz w:val="14"/>
        </w:rPr>
        <w:t xml:space="preserve"> 9</w:t>
      </w:r>
      <w:r>
        <w:rPr>
          <w:rFonts w:ascii="Calibri" w:eastAsia="Calibri" w:hAnsi="Calibri"/>
          <w:color w:val="001F5F"/>
          <w:sz w:val="14"/>
        </w:rPr>
        <w:tab/>
      </w:r>
      <w:hyperlink r:id="rId8">
        <w:r>
          <w:rPr>
            <w:rFonts w:ascii="Calibri" w:eastAsia="Calibri" w:hAnsi="Calibri"/>
            <w:color w:val="0000FF"/>
            <w:sz w:val="14"/>
            <w:u w:val="single"/>
          </w:rPr>
          <w:t>www.powercor.com.au</w:t>
        </w:r>
      </w:hyperlink>
      <w:r>
        <w:rPr>
          <w:rFonts w:ascii="Calibri" w:eastAsia="Calibri" w:hAnsi="Calibri"/>
          <w:color w:val="001F5F"/>
          <w:sz w:val="14"/>
        </w:rPr>
        <w:tab/>
      </w:r>
      <w:hyperlink r:id="rId9">
        <w:r>
          <w:rPr>
            <w:rFonts w:ascii="Calibri" w:eastAsia="Calibri" w:hAnsi="Calibri"/>
            <w:color w:val="0000FF"/>
            <w:sz w:val="14"/>
            <w:u w:val="single"/>
          </w:rPr>
          <w:t>www.ue.com.au</w:t>
        </w:r>
      </w:hyperlink>
      <w:r>
        <w:rPr>
          <w:rFonts w:ascii="Calibri" w:eastAsia="Calibri" w:hAnsi="Calibri"/>
          <w:color w:val="001F5F"/>
          <w:sz w:val="14"/>
        </w:rPr>
        <w:t xml:space="preserve"> </w:t>
      </w:r>
    </w:p>
    <w:p w:rsidR="006558EE" w:rsidRDefault="006558EE">
      <w:pPr>
        <w:sectPr w:rsidR="006558EE">
          <w:type w:val="continuous"/>
          <w:pgSz w:w="11909" w:h="16838"/>
          <w:pgMar w:top="560" w:right="728" w:bottom="242" w:left="701" w:header="720" w:footer="720" w:gutter="0"/>
          <w:cols w:space="720"/>
        </w:sectPr>
      </w:pPr>
    </w:p>
    <w:p w:rsidR="006558EE" w:rsidRDefault="002D0ADC">
      <w:pPr>
        <w:spacing w:before="13" w:line="255" w:lineRule="exact"/>
        <w:ind w:left="720" w:right="432"/>
        <w:textAlignment w:val="baseline"/>
        <w:rPr>
          <w:rFonts w:ascii="Calibri" w:eastAsia="Calibri" w:hAnsi="Calibri"/>
          <w:i/>
          <w:color w:val="000000"/>
          <w:sz w:val="21"/>
        </w:rPr>
      </w:pPr>
      <w:r>
        <w:rPr>
          <w:rFonts w:ascii="Calibri" w:eastAsia="Calibri" w:hAnsi="Calibri"/>
          <w:i/>
          <w:color w:val="000000"/>
          <w:sz w:val="21"/>
        </w:rPr>
        <w:lastRenderedPageBreak/>
        <w:t>General penalty provisions should be avoided. For example, a provision stating that ‘a contravention of this Part is punishable by a fine of 50 penalty units’ would generally be unacceptable. These provisions make it more difficult for the</w:t>
      </w:r>
      <w:r>
        <w:rPr>
          <w:rFonts w:ascii="Calibri" w:eastAsia="Calibri" w:hAnsi="Calibri"/>
          <w:i/>
          <w:color w:val="000000"/>
          <w:sz w:val="21"/>
        </w:rPr>
        <w:t xml:space="preserve"> reader to identify the relevant penalty and may make it difficult to convey the relative seriousness of the particular contravention.</w:t>
      </w:r>
    </w:p>
    <w:p w:rsidR="006558EE" w:rsidRDefault="002D0ADC">
      <w:pPr>
        <w:spacing w:before="122" w:line="258" w:lineRule="exact"/>
        <w:ind w:right="216"/>
        <w:textAlignment w:val="baseline"/>
        <w:rPr>
          <w:rFonts w:ascii="Calibri" w:eastAsia="Calibri" w:hAnsi="Calibri"/>
          <w:color w:val="000000"/>
          <w:spacing w:val="-1"/>
          <w:sz w:val="21"/>
        </w:rPr>
      </w:pPr>
      <w:r>
        <w:rPr>
          <w:rFonts w:ascii="Calibri" w:eastAsia="Calibri" w:hAnsi="Calibri"/>
          <w:color w:val="000000"/>
          <w:spacing w:val="-1"/>
          <w:sz w:val="21"/>
        </w:rPr>
        <w:t>As discussed below, these principles are not reflected in the draft Concepts Table and Decision Matrix or the proposed cl</w:t>
      </w:r>
      <w:r>
        <w:rPr>
          <w:rFonts w:ascii="Calibri" w:eastAsia="Calibri" w:hAnsi="Calibri"/>
          <w:color w:val="000000"/>
          <w:spacing w:val="-1"/>
          <w:sz w:val="21"/>
        </w:rPr>
        <w:t>assification of civil penalty provisions published by the COAG Energy Council.</w:t>
      </w:r>
    </w:p>
    <w:p w:rsidR="006558EE" w:rsidRDefault="002D0ADC">
      <w:pPr>
        <w:spacing w:before="235" w:line="217" w:lineRule="exact"/>
        <w:ind w:right="36"/>
        <w:textAlignment w:val="baseline"/>
        <w:rPr>
          <w:rFonts w:ascii="Calibri" w:eastAsia="Calibri" w:hAnsi="Calibri"/>
          <w:b/>
          <w:color w:val="000000"/>
          <w:spacing w:val="-4"/>
        </w:rPr>
      </w:pPr>
      <w:r>
        <w:rPr>
          <w:rFonts w:ascii="Calibri" w:eastAsia="Calibri" w:hAnsi="Calibri"/>
          <w:b/>
          <w:color w:val="000000"/>
          <w:spacing w:val="-4"/>
        </w:rPr>
        <w:t>Draft Concepts Table</w:t>
      </w:r>
    </w:p>
    <w:p w:rsidR="006558EE" w:rsidRDefault="002D0ADC">
      <w:pPr>
        <w:spacing w:before="122" w:line="258" w:lineRule="exact"/>
        <w:ind w:right="648"/>
        <w:textAlignment w:val="baseline"/>
        <w:rPr>
          <w:rFonts w:ascii="Calibri" w:eastAsia="Calibri" w:hAnsi="Calibri"/>
          <w:color w:val="000000"/>
          <w:sz w:val="21"/>
        </w:rPr>
      </w:pPr>
      <w:r>
        <w:rPr>
          <w:rFonts w:ascii="Calibri" w:eastAsia="Calibri" w:hAnsi="Calibri"/>
          <w:color w:val="000000"/>
          <w:sz w:val="21"/>
        </w:rPr>
        <w:t>There are a number of ways in which the draft Concepts Table could be clarified and improved to better reflect the NEL and NER, and the policy objectives of</w:t>
      </w:r>
      <w:r>
        <w:rPr>
          <w:rFonts w:ascii="Calibri" w:eastAsia="Calibri" w:hAnsi="Calibri"/>
          <w:color w:val="000000"/>
          <w:sz w:val="21"/>
        </w:rPr>
        <w:t xml:space="preserve"> the civil penalty regime.</w:t>
      </w:r>
    </w:p>
    <w:p w:rsidR="006558EE" w:rsidRDefault="002D0ADC">
      <w:pPr>
        <w:spacing w:before="188" w:after="192" w:line="258" w:lineRule="exact"/>
        <w:ind w:right="216"/>
        <w:textAlignment w:val="baseline"/>
        <w:rPr>
          <w:rFonts w:ascii="Calibri" w:eastAsia="Calibri" w:hAnsi="Calibri"/>
          <w:color w:val="000000"/>
          <w:sz w:val="21"/>
        </w:rPr>
      </w:pPr>
      <w:r>
        <w:rPr>
          <w:rFonts w:ascii="Calibri" w:eastAsia="Calibri" w:hAnsi="Calibri"/>
          <w:color w:val="000000"/>
          <w:sz w:val="21"/>
        </w:rPr>
        <w:t>First, there should be more express links to the seriousness of breach drawn in each of the ‘concepts’, with only the most serious breaches (i.e. those with significant consequences) being classified as Tier 1, and some considera</w:t>
      </w:r>
      <w:r>
        <w:rPr>
          <w:rFonts w:ascii="Calibri" w:eastAsia="Calibri" w:hAnsi="Calibri"/>
          <w:color w:val="000000"/>
          <w:sz w:val="21"/>
        </w:rPr>
        <w:t>tion given to the incentives to breach. Some specific instances where these issues arise in the Concepts Table are outlined in the table below, together with some examples of disproportionate maximum penalties being applied as a consequence.</w:t>
      </w:r>
    </w:p>
    <w:tbl>
      <w:tblPr>
        <w:tblW w:w="0" w:type="auto"/>
        <w:tblInd w:w="14" w:type="dxa"/>
        <w:tblLayout w:type="fixed"/>
        <w:tblCellMar>
          <w:left w:w="0" w:type="dxa"/>
          <w:right w:w="0" w:type="dxa"/>
        </w:tblCellMar>
        <w:tblLook w:val="0000" w:firstRow="0" w:lastRow="0" w:firstColumn="0" w:lastColumn="0" w:noHBand="0" w:noVBand="0"/>
      </w:tblPr>
      <w:tblGrid>
        <w:gridCol w:w="1109"/>
        <w:gridCol w:w="3869"/>
        <w:gridCol w:w="3931"/>
      </w:tblGrid>
      <w:tr w:rsidR="006558EE">
        <w:tblPrEx>
          <w:tblCellMar>
            <w:top w:w="0" w:type="dxa"/>
            <w:bottom w:w="0" w:type="dxa"/>
          </w:tblCellMar>
        </w:tblPrEx>
        <w:trPr>
          <w:trHeight w:hRule="exact" w:val="552"/>
        </w:trPr>
        <w:tc>
          <w:tcPr>
            <w:tcW w:w="1109" w:type="dxa"/>
            <w:tcBorders>
              <w:top w:val="single" w:sz="5" w:space="0" w:color="000000"/>
              <w:left w:val="single" w:sz="5" w:space="0" w:color="000000"/>
              <w:bottom w:val="single" w:sz="5" w:space="0" w:color="000000"/>
              <w:right w:val="single" w:sz="5" w:space="0" w:color="000000"/>
            </w:tcBorders>
          </w:tcPr>
          <w:p w:rsidR="006558EE" w:rsidRDefault="002D0ADC">
            <w:pPr>
              <w:spacing w:before="84" w:after="246" w:line="208" w:lineRule="exact"/>
              <w:ind w:left="115"/>
              <w:textAlignment w:val="baseline"/>
              <w:rPr>
                <w:rFonts w:eastAsia="Times New Roman"/>
                <w:b/>
                <w:color w:val="000000"/>
                <w:sz w:val="18"/>
              </w:rPr>
            </w:pPr>
            <w:r>
              <w:rPr>
                <w:rFonts w:eastAsia="Times New Roman"/>
                <w:b/>
                <w:color w:val="000000"/>
                <w:sz w:val="18"/>
              </w:rPr>
              <w:t>Concept</w:t>
            </w:r>
          </w:p>
        </w:tc>
        <w:tc>
          <w:tcPr>
            <w:tcW w:w="3869" w:type="dxa"/>
            <w:tcBorders>
              <w:top w:val="single" w:sz="5" w:space="0" w:color="000000"/>
              <w:left w:val="single" w:sz="5" w:space="0" w:color="000000"/>
              <w:bottom w:val="single" w:sz="5" w:space="0" w:color="000000"/>
              <w:right w:val="single" w:sz="5" w:space="0" w:color="000000"/>
            </w:tcBorders>
          </w:tcPr>
          <w:p w:rsidR="006558EE" w:rsidRDefault="002D0ADC">
            <w:pPr>
              <w:spacing w:before="84" w:after="246" w:line="208" w:lineRule="exact"/>
              <w:ind w:left="106"/>
              <w:textAlignment w:val="baseline"/>
              <w:rPr>
                <w:rFonts w:eastAsia="Times New Roman"/>
                <w:b/>
                <w:color w:val="000000"/>
                <w:sz w:val="18"/>
              </w:rPr>
            </w:pPr>
            <w:r>
              <w:rPr>
                <w:rFonts w:eastAsia="Times New Roman"/>
                <w:b/>
                <w:color w:val="000000"/>
                <w:sz w:val="18"/>
              </w:rPr>
              <w:t>Concern</w:t>
            </w:r>
          </w:p>
        </w:tc>
        <w:tc>
          <w:tcPr>
            <w:tcW w:w="3931" w:type="dxa"/>
            <w:tcBorders>
              <w:top w:val="single" w:sz="5" w:space="0" w:color="000000"/>
              <w:left w:val="single" w:sz="5" w:space="0" w:color="000000"/>
              <w:bottom w:val="single" w:sz="5" w:space="0" w:color="000000"/>
              <w:right w:val="single" w:sz="5" w:space="0" w:color="000000"/>
            </w:tcBorders>
          </w:tcPr>
          <w:p w:rsidR="006558EE" w:rsidRDefault="002D0ADC">
            <w:pPr>
              <w:spacing w:before="80" w:after="34" w:line="212" w:lineRule="exact"/>
              <w:ind w:left="108" w:right="864"/>
              <w:textAlignment w:val="baseline"/>
              <w:rPr>
                <w:rFonts w:eastAsia="Times New Roman"/>
                <w:b/>
                <w:color w:val="000000"/>
                <w:sz w:val="18"/>
              </w:rPr>
            </w:pPr>
            <w:r>
              <w:rPr>
                <w:rFonts w:eastAsia="Times New Roman"/>
                <w:b/>
                <w:color w:val="000000"/>
                <w:sz w:val="18"/>
              </w:rPr>
              <w:t>Examples of resulting issues with draft classifications</w:t>
            </w:r>
          </w:p>
        </w:tc>
      </w:tr>
      <w:tr w:rsidR="006558EE">
        <w:tblPrEx>
          <w:tblCellMar>
            <w:top w:w="0" w:type="dxa"/>
            <w:bottom w:w="0" w:type="dxa"/>
          </w:tblCellMar>
        </w:tblPrEx>
        <w:trPr>
          <w:trHeight w:hRule="exact" w:val="269"/>
        </w:trPr>
        <w:tc>
          <w:tcPr>
            <w:tcW w:w="1109"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3" w:line="196" w:lineRule="exact"/>
              <w:ind w:left="115"/>
              <w:textAlignment w:val="baseline"/>
              <w:rPr>
                <w:rFonts w:eastAsia="Times New Roman"/>
                <w:color w:val="000000"/>
                <w:sz w:val="18"/>
              </w:rPr>
            </w:pPr>
            <w:r>
              <w:rPr>
                <w:rFonts w:eastAsia="Times New Roman"/>
                <w:color w:val="000000"/>
                <w:sz w:val="18"/>
              </w:rPr>
              <w:t>Consumer</w:t>
            </w:r>
          </w:p>
        </w:tc>
        <w:tc>
          <w:tcPr>
            <w:tcW w:w="3869"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3" w:line="196" w:lineRule="exact"/>
              <w:ind w:left="106"/>
              <w:textAlignment w:val="baseline"/>
              <w:rPr>
                <w:rFonts w:eastAsia="Times New Roman"/>
                <w:color w:val="000000"/>
                <w:sz w:val="18"/>
              </w:rPr>
            </w:pPr>
            <w:r>
              <w:rPr>
                <w:rFonts w:eastAsia="Times New Roman"/>
                <w:color w:val="000000"/>
                <w:sz w:val="18"/>
              </w:rPr>
              <w:t>This concept is intended to capture the ‘most</w:t>
            </w:r>
          </w:p>
        </w:tc>
        <w:tc>
          <w:tcPr>
            <w:tcW w:w="3931"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3" w:line="196" w:lineRule="exact"/>
              <w:ind w:left="101"/>
              <w:textAlignment w:val="baseline"/>
              <w:rPr>
                <w:rFonts w:eastAsia="Times New Roman"/>
                <w:color w:val="000000"/>
                <w:sz w:val="18"/>
              </w:rPr>
            </w:pPr>
            <w:r>
              <w:rPr>
                <w:rFonts w:eastAsia="Times New Roman"/>
                <w:color w:val="000000"/>
                <w:sz w:val="18"/>
              </w:rPr>
              <w:t>Many of the obligations on distributors (as</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15"/>
              <w:textAlignment w:val="baseline"/>
              <w:rPr>
                <w:rFonts w:eastAsia="Times New Roman"/>
                <w:color w:val="000000"/>
                <w:sz w:val="18"/>
              </w:rPr>
            </w:pPr>
            <w:r>
              <w:rPr>
                <w:rFonts w:eastAsia="Times New Roman"/>
                <w:color w:val="000000"/>
                <w:sz w:val="18"/>
              </w:rPr>
              <w:t>Harm (Type</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6"/>
              <w:textAlignment w:val="baseline"/>
              <w:rPr>
                <w:rFonts w:eastAsia="Times New Roman"/>
                <w:color w:val="000000"/>
                <w:sz w:val="18"/>
              </w:rPr>
            </w:pPr>
            <w:r>
              <w:rPr>
                <w:rFonts w:eastAsia="Times New Roman"/>
                <w:color w:val="000000"/>
                <w:sz w:val="18"/>
              </w:rPr>
              <w:t>severe’ types of consumer harm. However, the</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1"/>
              <w:textAlignment w:val="baseline"/>
              <w:rPr>
                <w:rFonts w:eastAsia="Times New Roman"/>
                <w:color w:val="000000"/>
                <w:sz w:val="18"/>
              </w:rPr>
            </w:pPr>
            <w:r>
              <w:rPr>
                <w:rFonts w:eastAsia="Times New Roman"/>
                <w:color w:val="000000"/>
                <w:sz w:val="18"/>
              </w:rPr>
              <w:t>‘Metering Coordinators’) under Chapter 7 and the</w:t>
            </w:r>
          </w:p>
        </w:tc>
      </w:tr>
      <w:tr w:rsidR="006558EE">
        <w:tblPrEx>
          <w:tblCellMar>
            <w:top w:w="0" w:type="dxa"/>
            <w:bottom w:w="0" w:type="dxa"/>
          </w:tblCellMar>
        </w:tblPrEx>
        <w:trPr>
          <w:trHeight w:hRule="exact" w:val="207"/>
        </w:trPr>
        <w:tc>
          <w:tcPr>
            <w:tcW w:w="1109" w:type="dxa"/>
            <w:tcBorders>
              <w:top w:val="none" w:sz="0" w:space="0" w:color="020000"/>
              <w:left w:val="single" w:sz="5" w:space="0" w:color="000000"/>
              <w:bottom w:val="none" w:sz="0" w:space="0" w:color="020000"/>
              <w:right w:val="single" w:sz="5" w:space="0" w:color="000000"/>
            </w:tcBorders>
            <w:vAlign w:val="center"/>
          </w:tcPr>
          <w:p w:rsidR="006558EE" w:rsidRDefault="002D0ADC">
            <w:pPr>
              <w:numPr>
                <w:ilvl w:val="0"/>
                <w:numId w:val="1"/>
              </w:numPr>
              <w:tabs>
                <w:tab w:val="clear" w:pos="72"/>
                <w:tab w:val="left" w:pos="216"/>
              </w:tabs>
              <w:spacing w:line="201" w:lineRule="exact"/>
              <w:ind w:left="144"/>
              <w:textAlignment w:val="baseline"/>
              <w:rPr>
                <w:rFonts w:eastAsia="Times New Roman"/>
                <w:color w:val="000000"/>
                <w:sz w:val="18"/>
              </w:rPr>
            </w:pPr>
            <w:r>
              <w:rPr>
                <w:rFonts w:eastAsia="Times New Roman"/>
                <w:color w:val="000000"/>
                <w:sz w:val="18"/>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1" w:lineRule="exact"/>
              <w:ind w:left="106"/>
              <w:textAlignment w:val="baseline"/>
              <w:rPr>
                <w:rFonts w:eastAsia="Times New Roman"/>
                <w:color w:val="000000"/>
                <w:sz w:val="18"/>
              </w:rPr>
            </w:pPr>
            <w:r>
              <w:rPr>
                <w:rFonts w:eastAsia="Times New Roman"/>
                <w:color w:val="000000"/>
                <w:sz w:val="18"/>
              </w:rPr>
              <w:t>consequences of ‘reduction in consumers’</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1" w:lineRule="exact"/>
              <w:ind w:left="101"/>
              <w:textAlignment w:val="baseline"/>
              <w:rPr>
                <w:rFonts w:eastAsia="Times New Roman"/>
                <w:color w:val="000000"/>
                <w:sz w:val="18"/>
              </w:rPr>
            </w:pPr>
            <w:r>
              <w:rPr>
                <w:rFonts w:eastAsia="Times New Roman"/>
                <w:color w:val="000000"/>
                <w:sz w:val="18"/>
              </w:rPr>
              <w:t>transitional provisions in Chapter 11 related to</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06"/>
              <w:textAlignment w:val="baseline"/>
              <w:rPr>
                <w:rFonts w:eastAsia="Times New Roman"/>
                <w:color w:val="000000"/>
                <w:sz w:val="18"/>
              </w:rPr>
            </w:pPr>
            <w:r>
              <w:rPr>
                <w:rFonts w:eastAsia="Times New Roman"/>
                <w:color w:val="000000"/>
                <w:sz w:val="18"/>
              </w:rPr>
              <w:t>fundamental right to access’ and ‘financial harm</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01"/>
              <w:textAlignment w:val="baseline"/>
              <w:rPr>
                <w:rFonts w:eastAsia="Times New Roman"/>
                <w:color w:val="000000"/>
                <w:sz w:val="18"/>
              </w:rPr>
            </w:pPr>
            <w:r>
              <w:rPr>
                <w:rFonts w:eastAsia="Times New Roman"/>
                <w:color w:val="000000"/>
                <w:sz w:val="18"/>
              </w:rPr>
              <w:t>metering are classified as Tier 1 on the basis</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6"/>
              <w:textAlignment w:val="baseline"/>
              <w:rPr>
                <w:rFonts w:eastAsia="Times New Roman"/>
                <w:color w:val="000000"/>
                <w:sz w:val="18"/>
              </w:rPr>
            </w:pPr>
            <w:r>
              <w:rPr>
                <w:rFonts w:eastAsia="Times New Roman"/>
                <w:color w:val="000000"/>
                <w:sz w:val="18"/>
              </w:rPr>
              <w:t>or economic loss’, which are provided as</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1"/>
              <w:textAlignment w:val="baseline"/>
              <w:rPr>
                <w:rFonts w:eastAsia="Times New Roman"/>
                <w:color w:val="000000"/>
                <w:sz w:val="18"/>
              </w:rPr>
            </w:pPr>
            <w:r>
              <w:rPr>
                <w:rFonts w:eastAsia="Times New Roman"/>
                <w:color w:val="000000"/>
                <w:sz w:val="18"/>
              </w:rPr>
              <w:t>breach would cause financial harm or economic</w:t>
            </w:r>
          </w:p>
        </w:tc>
      </w:tr>
      <w:tr w:rsidR="006558EE">
        <w:tblPrEx>
          <w:tblCellMar>
            <w:top w:w="0" w:type="dxa"/>
            <w:bottom w:w="0" w:type="dxa"/>
          </w:tblCellMar>
        </w:tblPrEx>
        <w:trPr>
          <w:trHeight w:hRule="exact" w:val="212"/>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06"/>
              <w:textAlignment w:val="baseline"/>
              <w:rPr>
                <w:rFonts w:eastAsia="Times New Roman"/>
                <w:color w:val="000000"/>
                <w:sz w:val="18"/>
              </w:rPr>
            </w:pPr>
            <w:r>
              <w:rPr>
                <w:rFonts w:eastAsia="Times New Roman"/>
                <w:color w:val="000000"/>
                <w:sz w:val="18"/>
              </w:rPr>
              <w:t>examples of Consumer Harm (Type 1), do not</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01"/>
              <w:textAlignment w:val="baseline"/>
              <w:rPr>
                <w:rFonts w:eastAsia="Times New Roman"/>
                <w:color w:val="000000"/>
                <w:sz w:val="18"/>
              </w:rPr>
            </w:pPr>
            <w:r>
              <w:rPr>
                <w:rFonts w:eastAsia="Times New Roman"/>
                <w:color w:val="000000"/>
                <w:sz w:val="18"/>
              </w:rPr>
              <w:t>loss. However, the financial harm or economic loss</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6"/>
              <w:textAlignment w:val="baseline"/>
              <w:rPr>
                <w:rFonts w:eastAsia="Times New Roman"/>
                <w:color w:val="000000"/>
                <w:sz w:val="18"/>
              </w:rPr>
            </w:pPr>
            <w:r>
              <w:rPr>
                <w:rFonts w:eastAsia="Times New Roman"/>
                <w:color w:val="000000"/>
                <w:sz w:val="18"/>
              </w:rPr>
              <w:t>have a link to the severity of consequence that</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1"/>
              <w:textAlignment w:val="baseline"/>
              <w:rPr>
                <w:rFonts w:eastAsia="Times New Roman"/>
                <w:color w:val="000000"/>
                <w:sz w:val="18"/>
              </w:rPr>
            </w:pPr>
            <w:r>
              <w:rPr>
                <w:rFonts w:eastAsia="Times New Roman"/>
                <w:color w:val="000000"/>
                <w:sz w:val="18"/>
              </w:rPr>
              <w:t>that might arise cannot be said to be serious or</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2" w:lineRule="exact"/>
              <w:ind w:left="106"/>
              <w:textAlignment w:val="baseline"/>
              <w:rPr>
                <w:rFonts w:eastAsia="Times New Roman"/>
                <w:color w:val="000000"/>
                <w:sz w:val="18"/>
              </w:rPr>
            </w:pPr>
            <w:r>
              <w:rPr>
                <w:rFonts w:eastAsia="Times New Roman"/>
                <w:color w:val="000000"/>
                <w:sz w:val="18"/>
              </w:rPr>
              <w:t>should be required for a Tier 1 classification.</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2" w:lineRule="exact"/>
              <w:ind w:left="101"/>
              <w:textAlignment w:val="baseline"/>
              <w:rPr>
                <w:rFonts w:eastAsia="Times New Roman"/>
                <w:color w:val="000000"/>
                <w:sz w:val="18"/>
              </w:rPr>
            </w:pPr>
            <w:r>
              <w:rPr>
                <w:rFonts w:eastAsia="Times New Roman"/>
                <w:color w:val="000000"/>
                <w:sz w:val="18"/>
              </w:rPr>
              <w:t>significant and we therefore consider the</w:t>
            </w:r>
          </w:p>
        </w:tc>
      </w:tr>
      <w:tr w:rsidR="006558EE">
        <w:tblPrEx>
          <w:tblCellMar>
            <w:top w:w="0" w:type="dxa"/>
            <w:bottom w:w="0" w:type="dxa"/>
          </w:tblCellMar>
        </w:tblPrEx>
        <w:trPr>
          <w:trHeight w:hRule="exact" w:val="45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tcPr>
          <w:p w:rsidR="006558EE" w:rsidRDefault="002D0ADC">
            <w:pPr>
              <w:spacing w:after="17" w:line="206" w:lineRule="exact"/>
              <w:ind w:left="108" w:right="216"/>
              <w:textAlignment w:val="baseline"/>
              <w:rPr>
                <w:rFonts w:eastAsia="Times New Roman"/>
                <w:color w:val="000000"/>
                <w:sz w:val="18"/>
              </w:rPr>
            </w:pPr>
            <w:r>
              <w:rPr>
                <w:rFonts w:eastAsia="Times New Roman"/>
                <w:color w:val="000000"/>
                <w:sz w:val="18"/>
              </w:rPr>
              <w:t>They should be amended to capture, for example, a ‘significant’ reduction in consumers’</w:t>
            </w:r>
          </w:p>
        </w:tc>
        <w:tc>
          <w:tcPr>
            <w:tcW w:w="3931" w:type="dxa"/>
            <w:tcBorders>
              <w:top w:val="none" w:sz="0" w:space="0" w:color="020000"/>
              <w:left w:val="single" w:sz="5" w:space="0" w:color="000000"/>
              <w:bottom w:val="none" w:sz="0" w:space="0" w:color="020000"/>
              <w:right w:val="single" w:sz="5" w:space="0" w:color="000000"/>
            </w:tcBorders>
          </w:tcPr>
          <w:p w:rsidR="006558EE" w:rsidRDefault="002D0ADC">
            <w:pPr>
              <w:spacing w:line="221" w:lineRule="exact"/>
              <w:ind w:left="108" w:right="396"/>
              <w:textAlignment w:val="baseline"/>
              <w:rPr>
                <w:rFonts w:eastAsia="Times New Roman"/>
                <w:color w:val="000000"/>
                <w:spacing w:val="-2"/>
                <w:sz w:val="18"/>
              </w:rPr>
            </w:pPr>
            <w:r>
              <w:rPr>
                <w:rFonts w:eastAsia="Times New Roman"/>
                <w:color w:val="000000"/>
                <w:spacing w:val="-2"/>
                <w:sz w:val="18"/>
              </w:rPr>
              <w:t>provisions should be classified as Tier 2 or 3. This is consistent with the views of the SCO set</w:t>
            </w:r>
          </w:p>
        </w:tc>
      </w:tr>
      <w:tr w:rsidR="006558EE">
        <w:tblPrEx>
          <w:tblCellMar>
            <w:top w:w="0" w:type="dxa"/>
            <w:bottom w:w="0" w:type="dxa"/>
          </w:tblCellMar>
        </w:tblPrEx>
        <w:trPr>
          <w:trHeight w:hRule="exact" w:val="21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after="26" w:line="176" w:lineRule="exact"/>
              <w:ind w:left="106"/>
              <w:textAlignment w:val="baseline"/>
              <w:rPr>
                <w:rFonts w:eastAsia="Times New Roman"/>
                <w:color w:val="000000"/>
                <w:sz w:val="18"/>
              </w:rPr>
            </w:pPr>
            <w:r>
              <w:rPr>
                <w:rFonts w:eastAsia="Times New Roman"/>
                <w:color w:val="000000"/>
                <w:sz w:val="18"/>
              </w:rPr>
              <w:t>fundamental right to access and ‘serious’ or</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1"/>
              <w:textAlignment w:val="baseline"/>
              <w:rPr>
                <w:rFonts w:eastAsia="Times New Roman"/>
                <w:color w:val="000000"/>
                <w:sz w:val="18"/>
              </w:rPr>
            </w:pPr>
            <w:r>
              <w:rPr>
                <w:rFonts w:eastAsia="Times New Roman"/>
                <w:color w:val="000000"/>
                <w:sz w:val="18"/>
              </w:rPr>
              <w:t>out in its consultation on the civil penalty regime</w:t>
            </w:r>
          </w:p>
        </w:tc>
      </w:tr>
      <w:tr w:rsidR="006558EE">
        <w:tblPrEx>
          <w:tblCellMar>
            <w:top w:w="0" w:type="dxa"/>
            <w:bottom w:w="0" w:type="dxa"/>
          </w:tblCellMar>
        </w:tblPrEx>
        <w:trPr>
          <w:trHeight w:hRule="exact" w:val="951"/>
        </w:trPr>
        <w:tc>
          <w:tcPr>
            <w:tcW w:w="1109" w:type="dxa"/>
            <w:tcBorders>
              <w:top w:val="none" w:sz="0" w:space="0" w:color="020000"/>
              <w:left w:val="single" w:sz="5" w:space="0" w:color="000000"/>
              <w:bottom w:val="single" w:sz="5" w:space="0" w:color="00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single" w:sz="5" w:space="0" w:color="000000"/>
              <w:right w:val="single" w:sz="5" w:space="0" w:color="000000"/>
            </w:tcBorders>
          </w:tcPr>
          <w:p w:rsidR="006558EE" w:rsidRDefault="002D0ADC">
            <w:pPr>
              <w:spacing w:after="770" w:line="166" w:lineRule="exact"/>
              <w:ind w:left="106"/>
              <w:textAlignment w:val="baseline"/>
              <w:rPr>
                <w:rFonts w:eastAsia="Times New Roman"/>
                <w:color w:val="000000"/>
                <w:sz w:val="18"/>
              </w:rPr>
            </w:pPr>
            <w:r>
              <w:rPr>
                <w:rFonts w:eastAsia="Times New Roman"/>
                <w:color w:val="000000"/>
                <w:sz w:val="18"/>
              </w:rPr>
              <w:t>‘significant’ financial harm or economic loss.</w:t>
            </w:r>
          </w:p>
        </w:tc>
        <w:tc>
          <w:tcPr>
            <w:tcW w:w="3931" w:type="dxa"/>
            <w:tcBorders>
              <w:top w:val="none" w:sz="0" w:space="0" w:color="020000"/>
              <w:left w:val="single" w:sz="5" w:space="0" w:color="000000"/>
              <w:bottom w:val="single" w:sz="5" w:space="0" w:color="000000"/>
              <w:right w:val="single" w:sz="5" w:space="0" w:color="000000"/>
            </w:tcBorders>
          </w:tcPr>
          <w:p w:rsidR="006558EE" w:rsidRDefault="002D0ADC">
            <w:pPr>
              <w:spacing w:before="48" w:after="40" w:line="212" w:lineRule="exact"/>
              <w:ind w:left="108" w:right="180"/>
              <w:textAlignment w:val="baseline"/>
              <w:rPr>
                <w:rFonts w:eastAsia="Times New Roman"/>
                <w:color w:val="000000"/>
                <w:sz w:val="18"/>
              </w:rPr>
            </w:pPr>
            <w:r>
              <w:rPr>
                <w:rFonts w:eastAsia="Times New Roman"/>
                <w:color w:val="000000"/>
                <w:sz w:val="18"/>
              </w:rPr>
              <w:t>in June 2018,</w:t>
            </w:r>
            <w:r>
              <w:rPr>
                <w:rFonts w:eastAsia="Times New Roman"/>
                <w:color w:val="000000"/>
                <w:sz w:val="18"/>
                <w:vertAlign w:val="superscript"/>
              </w:rPr>
              <w:t>1</w:t>
            </w:r>
            <w:r>
              <w:rPr>
                <w:rFonts w:eastAsia="Times New Roman"/>
                <w:color w:val="000000"/>
                <w:sz w:val="18"/>
              </w:rPr>
              <w:t xml:space="preserve"> where these provisions were not identified as provisions to which it may be appropriate to apply the highest maximum penalty amount.</w:t>
            </w:r>
          </w:p>
        </w:tc>
      </w:tr>
      <w:tr w:rsidR="006558EE">
        <w:tblPrEx>
          <w:tblCellMar>
            <w:top w:w="0" w:type="dxa"/>
            <w:bottom w:w="0" w:type="dxa"/>
          </w:tblCellMar>
        </w:tblPrEx>
        <w:trPr>
          <w:trHeight w:hRule="exact" w:val="269"/>
        </w:trPr>
        <w:tc>
          <w:tcPr>
            <w:tcW w:w="1109"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3" w:line="196" w:lineRule="exact"/>
              <w:ind w:left="115"/>
              <w:textAlignment w:val="baseline"/>
              <w:rPr>
                <w:rFonts w:eastAsia="Times New Roman"/>
                <w:color w:val="000000"/>
                <w:sz w:val="18"/>
              </w:rPr>
            </w:pPr>
            <w:r>
              <w:rPr>
                <w:rFonts w:eastAsia="Times New Roman"/>
                <w:color w:val="000000"/>
                <w:sz w:val="18"/>
              </w:rPr>
              <w:t>Consumer</w:t>
            </w:r>
          </w:p>
        </w:tc>
        <w:tc>
          <w:tcPr>
            <w:tcW w:w="3869"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3" w:line="196" w:lineRule="exact"/>
              <w:ind w:left="106"/>
              <w:textAlignment w:val="baseline"/>
              <w:rPr>
                <w:rFonts w:eastAsia="Times New Roman"/>
                <w:color w:val="000000"/>
                <w:sz w:val="18"/>
              </w:rPr>
            </w:pPr>
            <w:r>
              <w:rPr>
                <w:rFonts w:eastAsia="Times New Roman"/>
                <w:color w:val="000000"/>
                <w:sz w:val="18"/>
              </w:rPr>
              <w:t>The draft Concepts Table indicates that Consumer</w:t>
            </w:r>
          </w:p>
        </w:tc>
        <w:tc>
          <w:tcPr>
            <w:tcW w:w="3931"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3" w:line="196" w:lineRule="exact"/>
              <w:ind w:left="101"/>
              <w:textAlignment w:val="baseline"/>
              <w:rPr>
                <w:rFonts w:eastAsia="Times New Roman"/>
                <w:color w:val="000000"/>
                <w:sz w:val="18"/>
              </w:rPr>
            </w:pPr>
            <w:r>
              <w:rPr>
                <w:rFonts w:eastAsia="Times New Roman"/>
                <w:color w:val="000000"/>
                <w:sz w:val="18"/>
              </w:rPr>
              <w:t>These issues do not raise any particular issues f</w:t>
            </w:r>
            <w:r>
              <w:rPr>
                <w:rFonts w:eastAsia="Times New Roman"/>
                <w:color w:val="000000"/>
                <w:sz w:val="18"/>
              </w:rPr>
              <w:t>or</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15"/>
              <w:textAlignment w:val="baseline"/>
              <w:rPr>
                <w:rFonts w:eastAsia="Times New Roman"/>
                <w:color w:val="000000"/>
                <w:sz w:val="18"/>
              </w:rPr>
            </w:pPr>
            <w:r>
              <w:rPr>
                <w:rFonts w:eastAsia="Times New Roman"/>
                <w:color w:val="000000"/>
                <w:sz w:val="18"/>
              </w:rPr>
              <w:t>Harm (Type</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6"/>
              <w:textAlignment w:val="baseline"/>
              <w:rPr>
                <w:rFonts w:eastAsia="Times New Roman"/>
                <w:color w:val="000000"/>
                <w:sz w:val="18"/>
              </w:rPr>
            </w:pPr>
            <w:r>
              <w:rPr>
                <w:rFonts w:eastAsia="Times New Roman"/>
                <w:color w:val="000000"/>
                <w:sz w:val="18"/>
              </w:rPr>
              <w:t>Harm (Type 2) will capture all provisions where</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2" w:lineRule="exact"/>
              <w:ind w:left="101"/>
              <w:textAlignment w:val="baseline"/>
              <w:rPr>
                <w:rFonts w:eastAsia="Times New Roman"/>
                <w:color w:val="000000"/>
                <w:sz w:val="18"/>
              </w:rPr>
            </w:pPr>
            <w:r>
              <w:rPr>
                <w:rFonts w:eastAsia="Times New Roman"/>
                <w:color w:val="000000"/>
                <w:sz w:val="18"/>
              </w:rPr>
              <w:t>distributors under the provisions of the NEL/NER</w:t>
            </w:r>
          </w:p>
        </w:tc>
      </w:tr>
      <w:tr w:rsidR="006558EE">
        <w:tblPrEx>
          <w:tblCellMar>
            <w:top w:w="0" w:type="dxa"/>
            <w:bottom w:w="0" w:type="dxa"/>
          </w:tblCellMar>
        </w:tblPrEx>
        <w:trPr>
          <w:trHeight w:hRule="exact" w:val="211"/>
        </w:trPr>
        <w:tc>
          <w:tcPr>
            <w:tcW w:w="1109" w:type="dxa"/>
            <w:tcBorders>
              <w:top w:val="none" w:sz="0" w:space="0" w:color="020000"/>
              <w:left w:val="single" w:sz="5" w:space="0" w:color="000000"/>
              <w:bottom w:val="none" w:sz="0" w:space="0" w:color="020000"/>
              <w:right w:val="single" w:sz="5" w:space="0" w:color="000000"/>
            </w:tcBorders>
            <w:vAlign w:val="center"/>
          </w:tcPr>
          <w:p w:rsidR="006558EE" w:rsidRDefault="002D0ADC">
            <w:pPr>
              <w:numPr>
                <w:ilvl w:val="0"/>
                <w:numId w:val="1"/>
              </w:numPr>
              <w:tabs>
                <w:tab w:val="clear" w:pos="72"/>
                <w:tab w:val="left" w:pos="216"/>
              </w:tabs>
              <w:spacing w:line="197" w:lineRule="exact"/>
              <w:ind w:left="144"/>
              <w:textAlignment w:val="baseline"/>
              <w:rPr>
                <w:rFonts w:eastAsia="Times New Roman"/>
                <w:color w:val="000000"/>
                <w:sz w:val="18"/>
              </w:rPr>
            </w:pPr>
            <w:r>
              <w:rPr>
                <w:rFonts w:eastAsia="Times New Roman"/>
                <w:color w:val="000000"/>
                <w:sz w:val="18"/>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7" w:lineRule="exact"/>
              <w:ind w:left="106"/>
              <w:textAlignment w:val="baseline"/>
              <w:rPr>
                <w:rFonts w:eastAsia="Times New Roman"/>
                <w:color w:val="000000"/>
                <w:sz w:val="18"/>
              </w:rPr>
            </w:pPr>
            <w:r>
              <w:rPr>
                <w:rFonts w:eastAsia="Times New Roman"/>
                <w:color w:val="000000"/>
                <w:sz w:val="18"/>
              </w:rPr>
              <w:t>breach may cause harm to consumers, other than</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7" w:lineRule="exact"/>
              <w:ind w:left="101"/>
              <w:textAlignment w:val="baseline"/>
              <w:rPr>
                <w:rFonts w:eastAsia="Times New Roman"/>
                <w:color w:val="000000"/>
                <w:sz w:val="18"/>
              </w:rPr>
            </w:pPr>
            <w:r>
              <w:rPr>
                <w:rFonts w:eastAsia="Times New Roman"/>
                <w:color w:val="000000"/>
                <w:sz w:val="18"/>
              </w:rPr>
              <w:t>that are currently prescribed as civil penalty</w:t>
            </w:r>
          </w:p>
        </w:tc>
      </w:tr>
      <w:tr w:rsidR="006558EE">
        <w:tblPrEx>
          <w:tblCellMar>
            <w:top w:w="0" w:type="dxa"/>
            <w:bottom w:w="0" w:type="dxa"/>
          </w:tblCellMar>
        </w:tblPrEx>
        <w:trPr>
          <w:trHeight w:hRule="exact" w:val="21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9" w:lineRule="exact"/>
              <w:ind w:left="106"/>
              <w:textAlignment w:val="baseline"/>
              <w:rPr>
                <w:rFonts w:eastAsia="Times New Roman"/>
                <w:color w:val="000000"/>
                <w:sz w:val="18"/>
              </w:rPr>
            </w:pPr>
            <w:r>
              <w:rPr>
                <w:rFonts w:eastAsia="Times New Roman"/>
                <w:color w:val="000000"/>
                <w:sz w:val="18"/>
              </w:rPr>
              <w:t>those provisions considered to be Consumer Harm</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9" w:lineRule="exact"/>
              <w:ind w:left="101"/>
              <w:textAlignment w:val="baseline"/>
              <w:rPr>
                <w:rFonts w:eastAsia="Times New Roman"/>
                <w:color w:val="000000"/>
                <w:sz w:val="18"/>
              </w:rPr>
            </w:pPr>
            <w:r>
              <w:rPr>
                <w:rFonts w:eastAsia="Times New Roman"/>
                <w:color w:val="000000"/>
                <w:sz w:val="18"/>
              </w:rPr>
              <w:t>provisions, but remain a concern in the event the</w:t>
            </w:r>
          </w:p>
        </w:tc>
      </w:tr>
      <w:tr w:rsidR="006558EE">
        <w:tblPrEx>
          <w:tblCellMar>
            <w:top w:w="0" w:type="dxa"/>
            <w:bottom w:w="0" w:type="dxa"/>
          </w:tblCellMar>
        </w:tblPrEx>
        <w:trPr>
          <w:trHeight w:hRule="exact" w:val="2900"/>
        </w:trPr>
        <w:tc>
          <w:tcPr>
            <w:tcW w:w="1109" w:type="dxa"/>
            <w:tcBorders>
              <w:top w:val="none" w:sz="0" w:space="0" w:color="020000"/>
              <w:left w:val="single" w:sz="5" w:space="0" w:color="000000"/>
              <w:bottom w:val="single" w:sz="5" w:space="0" w:color="00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3869" w:type="dxa"/>
            <w:tcBorders>
              <w:top w:val="none" w:sz="0" w:space="0" w:color="020000"/>
              <w:left w:val="single" w:sz="5" w:space="0" w:color="000000"/>
              <w:bottom w:val="single" w:sz="5" w:space="0" w:color="000000"/>
              <w:right w:val="single" w:sz="5" w:space="0" w:color="000000"/>
            </w:tcBorders>
          </w:tcPr>
          <w:p w:rsidR="006558EE" w:rsidRDefault="002D0ADC">
            <w:pPr>
              <w:spacing w:after="2" w:line="206" w:lineRule="exact"/>
              <w:ind w:left="108" w:right="180"/>
              <w:textAlignment w:val="baseline"/>
              <w:rPr>
                <w:rFonts w:eastAsia="Times New Roman"/>
                <w:color w:val="000000"/>
                <w:spacing w:val="-1"/>
                <w:sz w:val="18"/>
              </w:rPr>
            </w:pPr>
            <w:r>
              <w:rPr>
                <w:rFonts w:eastAsia="Times New Roman"/>
                <w:color w:val="000000"/>
                <w:spacing w:val="-1"/>
                <w:sz w:val="18"/>
              </w:rPr>
              <w:t>(Type 1). The application of a higher maximum penalty amount than that for Tier 3 should reflect that there has to be a certain level of materiality associated with the consequence of breach. For instance, the consequence of ‘consumers not being informed o</w:t>
            </w:r>
            <w:r>
              <w:rPr>
                <w:rFonts w:eastAsia="Times New Roman"/>
                <w:color w:val="000000"/>
                <w:spacing w:val="-1"/>
                <w:sz w:val="18"/>
              </w:rPr>
              <w:t>r incorrectly informed of their rights’, ‘failure to comply with pre-contractual duties’ and ‘failure to comply with requirements regarding estimation, content and issuing of bills’ may capture provisions that would more appropriately fall within Tier 3 (e</w:t>
            </w:r>
            <w:r>
              <w:rPr>
                <w:rFonts w:eastAsia="Times New Roman"/>
                <w:color w:val="000000"/>
                <w:spacing w:val="-1"/>
                <w:sz w:val="18"/>
              </w:rPr>
              <w:t>.g. because the provision relates to the giving of notices, and a breach would not result in material consumer harm and can be easily remedied). There should</w:t>
            </w:r>
          </w:p>
        </w:tc>
        <w:tc>
          <w:tcPr>
            <w:tcW w:w="3931" w:type="dxa"/>
            <w:tcBorders>
              <w:top w:val="none" w:sz="0" w:space="0" w:color="020000"/>
              <w:left w:val="single" w:sz="5" w:space="0" w:color="000000"/>
              <w:bottom w:val="single" w:sz="5" w:space="0" w:color="000000"/>
              <w:right w:val="single" w:sz="5" w:space="0" w:color="000000"/>
            </w:tcBorders>
          </w:tcPr>
          <w:p w:rsidR="006558EE" w:rsidRDefault="002D0ADC">
            <w:pPr>
              <w:spacing w:after="2695" w:line="204" w:lineRule="exact"/>
              <w:ind w:left="101"/>
              <w:textAlignment w:val="baseline"/>
              <w:rPr>
                <w:rFonts w:eastAsia="Times New Roman"/>
                <w:color w:val="000000"/>
                <w:sz w:val="18"/>
              </w:rPr>
            </w:pPr>
            <w:r>
              <w:rPr>
                <w:rFonts w:eastAsia="Times New Roman"/>
                <w:color w:val="000000"/>
                <w:sz w:val="18"/>
              </w:rPr>
              <w:t>Concepts Table is applied going forward.</w:t>
            </w:r>
          </w:p>
        </w:tc>
      </w:tr>
    </w:tbl>
    <w:p w:rsidR="006558EE" w:rsidRDefault="006558EE">
      <w:pPr>
        <w:spacing w:after="266" w:line="20" w:lineRule="exact"/>
      </w:pPr>
    </w:p>
    <w:p w:rsidR="006558EE" w:rsidRDefault="002D0ADC">
      <w:pPr>
        <w:tabs>
          <w:tab w:val="left" w:pos="720"/>
        </w:tabs>
        <w:spacing w:before="122" w:after="723" w:line="236" w:lineRule="exact"/>
        <w:ind w:right="36"/>
        <w:textAlignment w:val="baseline"/>
        <w:rPr>
          <w:rFonts w:eastAsia="Times New Roman"/>
          <w:color w:val="000000"/>
          <w:sz w:val="14"/>
        </w:rPr>
      </w:pPr>
      <w:r>
        <w:rPr>
          <w:noProof/>
          <w:lang w:val="en-AU" w:eastAsia="en-AU"/>
        </w:rPr>
        <mc:AlternateContent>
          <mc:Choice Requires="wps">
            <w:drawing>
              <wp:anchor distT="0" distB="0" distL="114300" distR="114300" simplePos="0" relativeHeight="251659776" behindDoc="0" locked="0" layoutInCell="1" allowOverlap="1">
                <wp:simplePos x="0" y="0"/>
                <wp:positionH relativeFrom="page">
                  <wp:posOffset>978535</wp:posOffset>
                </wp:positionH>
                <wp:positionV relativeFrom="page">
                  <wp:posOffset>9488170</wp:posOffset>
                </wp:positionV>
                <wp:extent cx="1844675" cy="0"/>
                <wp:effectExtent l="0" t="0" r="0" b="0"/>
                <wp:wrapNone/>
                <wp:docPr id="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4675" cy="0"/>
                        </a:xfrm>
                        <a:prstGeom prst="line">
                          <a:avLst/>
                        </a:prstGeom>
                        <a:noFill/>
                        <a:ln w="1206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A71356" id="Line 7"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7.05pt,747.1pt" to="222.3pt,7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" strokeweight=".95pt">
                <w10:wrap anchorx="page" anchory="page"/>
              </v:line>
            </w:pict>
          </mc:Fallback>
        </mc:AlternateContent>
      </w:r>
      <w:r>
        <w:rPr>
          <w:rFonts w:eastAsia="Times New Roman"/>
          <w:color w:val="000000"/>
          <w:sz w:val="14"/>
        </w:rPr>
        <w:t>1</w:t>
      </w:r>
      <w:r>
        <w:rPr>
          <w:rFonts w:eastAsia="Times New Roman"/>
          <w:color w:val="000000"/>
          <w:sz w:val="14"/>
        </w:rPr>
        <w:tab/>
      </w:r>
      <w:r>
        <w:rPr>
          <w:rFonts w:eastAsia="Times New Roman"/>
          <w:color w:val="000000"/>
          <w:sz w:val="16"/>
        </w:rPr>
        <w:t xml:space="preserve">SCO, </w:t>
      </w:r>
      <w:r>
        <w:rPr>
          <w:rFonts w:eastAsia="Times New Roman"/>
          <w:i/>
          <w:color w:val="000000"/>
          <w:sz w:val="16"/>
        </w:rPr>
        <w:t>AER Powers and Civil Penalty Regime, Consultation Paper</w:t>
      </w:r>
      <w:r>
        <w:rPr>
          <w:rFonts w:eastAsia="Times New Roman"/>
          <w:color w:val="000000"/>
          <w:sz w:val="16"/>
        </w:rPr>
        <w:t>, June 2018, Appendix A.</w:t>
      </w:r>
    </w:p>
    <w:p w:rsidR="006558EE" w:rsidRDefault="002D0ADC">
      <w:pPr>
        <w:spacing w:before="19" w:line="152" w:lineRule="exact"/>
        <w:ind w:right="36"/>
        <w:jc w:val="right"/>
        <w:textAlignment w:val="baseline"/>
        <w:rPr>
          <w:rFonts w:ascii="Calibri" w:eastAsia="Calibri" w:hAnsi="Calibri"/>
          <w:color w:val="000000"/>
          <w:sz w:val="14"/>
        </w:rPr>
      </w:pPr>
      <w:r>
        <w:rPr>
          <w:rFonts w:ascii="Calibri" w:eastAsia="Calibri" w:hAnsi="Calibri"/>
          <w:color w:val="000000"/>
          <w:sz w:val="14"/>
        </w:rPr>
        <w:t>2</w:t>
      </w:r>
    </w:p>
    <w:p w:rsidR="006558EE" w:rsidRDefault="006558EE">
      <w:pPr>
        <w:sectPr w:rsidR="006558EE">
          <w:pgSz w:w="11909" w:h="16838"/>
          <w:pgMar w:top="2240" w:right="1431" w:bottom="242" w:left="1541" w:header="720" w:footer="720" w:gutter="0"/>
          <w:cols w:space="720"/>
        </w:sectPr>
      </w:pPr>
    </w:p>
    <w:p w:rsidR="006558EE" w:rsidRDefault="006558EE">
      <w:pPr>
        <w:spacing w:before="6" w:line="20" w:lineRule="exact"/>
      </w:pPr>
    </w:p>
    <w:tbl>
      <w:tblPr>
        <w:tblW w:w="0" w:type="auto"/>
        <w:tblInd w:w="14" w:type="dxa"/>
        <w:tblLayout w:type="fixed"/>
        <w:tblCellMar>
          <w:left w:w="0" w:type="dxa"/>
          <w:right w:w="0" w:type="dxa"/>
        </w:tblCellMar>
        <w:tblLook w:val="0000" w:firstRow="0" w:lastRow="0" w:firstColumn="0" w:lastColumn="0" w:noHBand="0" w:noVBand="0"/>
      </w:tblPr>
      <w:tblGrid>
        <w:gridCol w:w="1109"/>
        <w:gridCol w:w="3869"/>
        <w:gridCol w:w="3931"/>
      </w:tblGrid>
      <w:tr w:rsidR="006558EE">
        <w:tblPrEx>
          <w:tblCellMar>
            <w:top w:w="0" w:type="dxa"/>
            <w:bottom w:w="0" w:type="dxa"/>
          </w:tblCellMar>
        </w:tblPrEx>
        <w:trPr>
          <w:trHeight w:hRule="exact" w:val="552"/>
        </w:trPr>
        <w:tc>
          <w:tcPr>
            <w:tcW w:w="1109" w:type="dxa"/>
            <w:tcBorders>
              <w:top w:val="single" w:sz="5" w:space="0" w:color="000000"/>
              <w:left w:val="single" w:sz="5" w:space="0" w:color="000000"/>
              <w:bottom w:val="single" w:sz="5" w:space="0" w:color="000000"/>
              <w:right w:val="single" w:sz="5" w:space="0" w:color="000000"/>
            </w:tcBorders>
          </w:tcPr>
          <w:p w:rsidR="006558EE" w:rsidRDefault="002D0ADC">
            <w:pPr>
              <w:spacing w:before="84" w:after="251" w:line="207" w:lineRule="exact"/>
              <w:ind w:left="115"/>
              <w:textAlignment w:val="baseline"/>
              <w:rPr>
                <w:rFonts w:eastAsia="Times New Roman"/>
                <w:b/>
                <w:color w:val="000000"/>
                <w:sz w:val="18"/>
              </w:rPr>
            </w:pPr>
            <w:r>
              <w:rPr>
                <w:rFonts w:eastAsia="Times New Roman"/>
                <w:b/>
                <w:color w:val="000000"/>
                <w:sz w:val="18"/>
              </w:rPr>
              <w:t>Concept</w:t>
            </w:r>
          </w:p>
        </w:tc>
        <w:tc>
          <w:tcPr>
            <w:tcW w:w="3869" w:type="dxa"/>
            <w:tcBorders>
              <w:top w:val="single" w:sz="5" w:space="0" w:color="000000"/>
              <w:left w:val="single" w:sz="5" w:space="0" w:color="000000"/>
              <w:bottom w:val="single" w:sz="5" w:space="0" w:color="000000"/>
              <w:right w:val="single" w:sz="5" w:space="0" w:color="000000"/>
            </w:tcBorders>
          </w:tcPr>
          <w:p w:rsidR="006558EE" w:rsidRDefault="002D0ADC">
            <w:pPr>
              <w:spacing w:before="84" w:after="251" w:line="207" w:lineRule="exact"/>
              <w:ind w:left="106"/>
              <w:textAlignment w:val="baseline"/>
              <w:rPr>
                <w:rFonts w:eastAsia="Times New Roman"/>
                <w:b/>
                <w:color w:val="000000"/>
                <w:sz w:val="18"/>
              </w:rPr>
            </w:pPr>
            <w:r>
              <w:rPr>
                <w:rFonts w:eastAsia="Times New Roman"/>
                <w:b/>
                <w:color w:val="000000"/>
                <w:sz w:val="18"/>
              </w:rPr>
              <w:t>Concern</w:t>
            </w:r>
          </w:p>
        </w:tc>
        <w:tc>
          <w:tcPr>
            <w:tcW w:w="3931" w:type="dxa"/>
            <w:tcBorders>
              <w:top w:val="single" w:sz="5" w:space="0" w:color="000000"/>
              <w:left w:val="single" w:sz="5" w:space="0" w:color="000000"/>
              <w:bottom w:val="single" w:sz="5" w:space="0" w:color="000000"/>
              <w:right w:val="single" w:sz="5" w:space="0" w:color="000000"/>
            </w:tcBorders>
          </w:tcPr>
          <w:p w:rsidR="006558EE" w:rsidRDefault="002D0ADC">
            <w:pPr>
              <w:spacing w:before="85" w:after="45" w:line="206" w:lineRule="exact"/>
              <w:ind w:left="108" w:right="864"/>
              <w:textAlignment w:val="baseline"/>
              <w:rPr>
                <w:rFonts w:eastAsia="Times New Roman"/>
                <w:b/>
                <w:color w:val="000000"/>
                <w:sz w:val="18"/>
              </w:rPr>
            </w:pPr>
            <w:r>
              <w:rPr>
                <w:rFonts w:eastAsia="Times New Roman"/>
                <w:b/>
                <w:color w:val="000000"/>
                <w:sz w:val="18"/>
              </w:rPr>
              <w:t>Examples of resulting issues with draft classifications</w:t>
            </w:r>
          </w:p>
        </w:tc>
      </w:tr>
      <w:tr w:rsidR="006558EE">
        <w:tblPrEx>
          <w:tblCellMar>
            <w:top w:w="0" w:type="dxa"/>
            <w:bottom w:w="0" w:type="dxa"/>
          </w:tblCellMar>
        </w:tblPrEx>
        <w:trPr>
          <w:trHeight w:hRule="exact" w:val="691"/>
        </w:trPr>
        <w:tc>
          <w:tcPr>
            <w:tcW w:w="1109" w:type="dxa"/>
            <w:tcBorders>
              <w:top w:val="single" w:sz="5" w:space="0" w:color="000000"/>
              <w:left w:val="single" w:sz="5" w:space="0" w:color="000000"/>
              <w:bottom w:val="single" w:sz="5" w:space="0" w:color="00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single" w:sz="5" w:space="0" w:color="000000"/>
              <w:left w:val="single" w:sz="5" w:space="0" w:color="000000"/>
              <w:bottom w:val="single" w:sz="5" w:space="0" w:color="000000"/>
              <w:right w:val="single" w:sz="5" w:space="0" w:color="000000"/>
            </w:tcBorders>
          </w:tcPr>
          <w:p w:rsidR="006558EE" w:rsidRDefault="002D0ADC">
            <w:pPr>
              <w:spacing w:after="50" w:line="206" w:lineRule="exact"/>
              <w:ind w:left="108" w:right="108"/>
              <w:textAlignment w:val="baseline"/>
              <w:rPr>
                <w:rFonts w:eastAsia="Times New Roman"/>
                <w:color w:val="000000"/>
                <w:sz w:val="18"/>
              </w:rPr>
            </w:pPr>
            <w:r>
              <w:rPr>
                <w:rFonts w:eastAsia="Times New Roman"/>
                <w:color w:val="000000"/>
                <w:sz w:val="18"/>
              </w:rPr>
              <w:t>be a threshold requirement for all Consumer Harm (Type 2) provisions that a breach would give rise to consumers suffering ‘material’ harm.</w:t>
            </w:r>
          </w:p>
        </w:tc>
        <w:tc>
          <w:tcPr>
            <w:tcW w:w="3931" w:type="dxa"/>
            <w:tcBorders>
              <w:top w:val="single" w:sz="5" w:space="0" w:color="000000"/>
              <w:left w:val="single" w:sz="5" w:space="0" w:color="000000"/>
              <w:bottom w:val="single" w:sz="5" w:space="0" w:color="00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r>
      <w:tr w:rsidR="006558EE">
        <w:tblPrEx>
          <w:tblCellMar>
            <w:top w:w="0" w:type="dxa"/>
            <w:bottom w:w="0" w:type="dxa"/>
          </w:tblCellMar>
        </w:tblPrEx>
        <w:trPr>
          <w:trHeight w:hRule="exact" w:val="274"/>
        </w:trPr>
        <w:tc>
          <w:tcPr>
            <w:tcW w:w="1109"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8" w:line="195" w:lineRule="exact"/>
              <w:ind w:left="115"/>
              <w:textAlignment w:val="baseline"/>
              <w:rPr>
                <w:rFonts w:eastAsia="Times New Roman"/>
                <w:color w:val="000000"/>
                <w:sz w:val="18"/>
              </w:rPr>
            </w:pPr>
            <w:r>
              <w:rPr>
                <w:rFonts w:eastAsia="Times New Roman"/>
                <w:color w:val="000000"/>
                <w:sz w:val="18"/>
              </w:rPr>
              <w:t>Supply</w:t>
            </w:r>
          </w:p>
        </w:tc>
        <w:tc>
          <w:tcPr>
            <w:tcW w:w="3869"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8" w:line="195" w:lineRule="exact"/>
              <w:ind w:left="106"/>
              <w:textAlignment w:val="baseline"/>
              <w:rPr>
                <w:rFonts w:eastAsia="Times New Roman"/>
                <w:color w:val="000000"/>
                <w:sz w:val="18"/>
              </w:rPr>
            </w:pPr>
            <w:r>
              <w:rPr>
                <w:rFonts w:eastAsia="Times New Roman"/>
                <w:color w:val="000000"/>
                <w:sz w:val="18"/>
              </w:rPr>
              <w:t>All civil penalty provisions relating to ‘Supply</w:t>
            </w:r>
          </w:p>
        </w:tc>
        <w:tc>
          <w:tcPr>
            <w:tcW w:w="3931" w:type="dxa"/>
            <w:tcBorders>
              <w:top w:val="single" w:sz="5" w:space="0" w:color="000000"/>
              <w:left w:val="single" w:sz="5" w:space="0" w:color="000000"/>
              <w:bottom w:val="none" w:sz="0" w:space="0" w:color="020000"/>
              <w:right w:val="single" w:sz="5" w:space="0" w:color="000000"/>
            </w:tcBorders>
            <w:vAlign w:val="center"/>
          </w:tcPr>
          <w:p w:rsidR="006558EE" w:rsidRDefault="002D0ADC">
            <w:pPr>
              <w:spacing w:before="68" w:line="195" w:lineRule="exact"/>
              <w:ind w:left="101"/>
              <w:textAlignment w:val="baseline"/>
              <w:rPr>
                <w:rFonts w:eastAsia="Times New Roman"/>
                <w:color w:val="000000"/>
                <w:sz w:val="18"/>
              </w:rPr>
            </w:pPr>
            <w:r>
              <w:rPr>
                <w:rFonts w:eastAsia="Times New Roman"/>
                <w:color w:val="000000"/>
                <w:sz w:val="18"/>
              </w:rPr>
              <w:t>Whereas the SCO identified only seven of the</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15"/>
              <w:textAlignment w:val="baseline"/>
              <w:rPr>
                <w:rFonts w:eastAsia="Times New Roman"/>
                <w:color w:val="000000"/>
                <w:sz w:val="18"/>
              </w:rPr>
            </w:pPr>
            <w:r>
              <w:rPr>
                <w:rFonts w:eastAsia="Times New Roman"/>
                <w:color w:val="000000"/>
                <w:sz w:val="18"/>
              </w:rPr>
              <w:t>Security</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06"/>
              <w:textAlignment w:val="baseline"/>
              <w:rPr>
                <w:rFonts w:eastAsia="Times New Roman"/>
                <w:color w:val="000000"/>
                <w:sz w:val="18"/>
              </w:rPr>
            </w:pPr>
            <w:r>
              <w:rPr>
                <w:rFonts w:eastAsia="Times New Roman"/>
                <w:color w:val="000000"/>
                <w:sz w:val="18"/>
              </w:rPr>
              <w:t>Security and Reliability’ have been classified as</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01"/>
              <w:textAlignment w:val="baseline"/>
              <w:rPr>
                <w:rFonts w:eastAsia="Times New Roman"/>
                <w:color w:val="000000"/>
                <w:sz w:val="18"/>
              </w:rPr>
            </w:pPr>
            <w:r>
              <w:rPr>
                <w:rFonts w:eastAsia="Times New Roman"/>
                <w:color w:val="000000"/>
                <w:sz w:val="18"/>
              </w:rPr>
              <w:t>security provisions of the NER applying to</w:t>
            </w:r>
          </w:p>
        </w:tc>
      </w:tr>
      <w:tr w:rsidR="006558EE">
        <w:tblPrEx>
          <w:tblCellMar>
            <w:top w:w="0" w:type="dxa"/>
            <w:bottom w:w="0" w:type="dxa"/>
          </w:tblCellMar>
        </w:tblPrEx>
        <w:trPr>
          <w:trHeight w:hRule="exact" w:val="202"/>
        </w:trPr>
        <w:tc>
          <w:tcPr>
            <w:tcW w:w="110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1" w:lineRule="exact"/>
              <w:ind w:left="115"/>
              <w:textAlignment w:val="baseline"/>
              <w:rPr>
                <w:rFonts w:eastAsia="Times New Roman"/>
                <w:color w:val="000000"/>
                <w:sz w:val="18"/>
              </w:rPr>
            </w:pPr>
            <w:r>
              <w:rPr>
                <w:rFonts w:eastAsia="Times New Roman"/>
                <w:color w:val="000000"/>
                <w:sz w:val="18"/>
              </w:rPr>
              <w:t>and</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1" w:lineRule="exact"/>
              <w:ind w:left="106"/>
              <w:textAlignment w:val="baseline"/>
              <w:rPr>
                <w:rFonts w:eastAsia="Times New Roman"/>
                <w:color w:val="000000"/>
                <w:sz w:val="18"/>
              </w:rPr>
            </w:pPr>
            <w:r>
              <w:rPr>
                <w:rFonts w:eastAsia="Times New Roman"/>
                <w:color w:val="000000"/>
                <w:sz w:val="18"/>
              </w:rPr>
              <w:t>Tier 1, without any recognition of the incentives</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1" w:lineRule="exact"/>
              <w:ind w:left="101"/>
              <w:textAlignment w:val="baseline"/>
              <w:rPr>
                <w:rFonts w:eastAsia="Times New Roman"/>
                <w:color w:val="000000"/>
                <w:sz w:val="18"/>
              </w:rPr>
            </w:pPr>
            <w:r>
              <w:rPr>
                <w:rFonts w:eastAsia="Times New Roman"/>
                <w:color w:val="000000"/>
                <w:sz w:val="18"/>
              </w:rPr>
              <w:t>distributors as provisions that ought to be subject</w:t>
            </w:r>
          </w:p>
        </w:tc>
      </w:tr>
      <w:tr w:rsidR="006558EE">
        <w:tblPrEx>
          <w:tblCellMar>
            <w:top w:w="0" w:type="dxa"/>
            <w:bottom w:w="0" w:type="dxa"/>
          </w:tblCellMar>
        </w:tblPrEx>
        <w:trPr>
          <w:trHeight w:hRule="exact" w:val="211"/>
        </w:trPr>
        <w:tc>
          <w:tcPr>
            <w:tcW w:w="110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15"/>
              <w:textAlignment w:val="baseline"/>
              <w:rPr>
                <w:rFonts w:eastAsia="Times New Roman"/>
                <w:color w:val="000000"/>
                <w:sz w:val="18"/>
              </w:rPr>
            </w:pPr>
            <w:r>
              <w:rPr>
                <w:rFonts w:eastAsia="Times New Roman"/>
                <w:color w:val="000000"/>
                <w:sz w:val="18"/>
              </w:rPr>
              <w:t>Reliability</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06"/>
              <w:textAlignment w:val="baseline"/>
              <w:rPr>
                <w:rFonts w:eastAsia="Times New Roman"/>
                <w:color w:val="000000"/>
                <w:sz w:val="18"/>
              </w:rPr>
            </w:pPr>
            <w:r>
              <w:rPr>
                <w:rFonts w:eastAsia="Times New Roman"/>
                <w:color w:val="000000"/>
                <w:sz w:val="18"/>
              </w:rPr>
              <w:t>to contravene the provision and the relative</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01"/>
              <w:textAlignment w:val="baseline"/>
              <w:rPr>
                <w:rFonts w:eastAsia="Times New Roman"/>
                <w:color w:val="000000"/>
                <w:sz w:val="18"/>
              </w:rPr>
            </w:pPr>
            <w:r>
              <w:rPr>
                <w:rFonts w:eastAsia="Times New Roman"/>
                <w:color w:val="000000"/>
                <w:sz w:val="18"/>
              </w:rPr>
              <w:t>to the maximum penalty (specifically, clauses</w:t>
            </w:r>
          </w:p>
        </w:tc>
      </w:tr>
      <w:tr w:rsidR="006558EE">
        <w:tblPrEx>
          <w:tblCellMar>
            <w:top w:w="0" w:type="dxa"/>
            <w:bottom w:w="0" w:type="dxa"/>
          </w:tblCellMar>
        </w:tblPrEx>
        <w:trPr>
          <w:trHeight w:hRule="exact" w:val="202"/>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1" w:lineRule="exact"/>
              <w:ind w:left="106"/>
              <w:textAlignment w:val="baseline"/>
              <w:rPr>
                <w:rFonts w:eastAsia="Times New Roman"/>
                <w:color w:val="000000"/>
                <w:sz w:val="18"/>
              </w:rPr>
            </w:pPr>
            <w:r>
              <w:rPr>
                <w:rFonts w:eastAsia="Times New Roman"/>
                <w:color w:val="000000"/>
                <w:sz w:val="18"/>
              </w:rPr>
              <w:t>significance of compliance with the obligations</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1" w:lineRule="exact"/>
              <w:ind w:left="101"/>
              <w:textAlignment w:val="baseline"/>
              <w:rPr>
                <w:rFonts w:eastAsia="Times New Roman"/>
                <w:color w:val="000000"/>
                <w:sz w:val="18"/>
              </w:rPr>
            </w:pPr>
            <w:r>
              <w:rPr>
                <w:rFonts w:eastAsia="Times New Roman"/>
                <w:color w:val="000000"/>
                <w:sz w:val="18"/>
              </w:rPr>
              <w:t>3.7.2(e), 3.7.3(g), 4.8.1, 4.8.2, 4.8.9(c), 4.8.12(d).</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06"/>
              <w:textAlignment w:val="baseline"/>
              <w:rPr>
                <w:rFonts w:eastAsia="Times New Roman"/>
                <w:color w:val="000000"/>
                <w:sz w:val="18"/>
              </w:rPr>
            </w:pPr>
            <w:r>
              <w:rPr>
                <w:rFonts w:eastAsia="Times New Roman"/>
                <w:color w:val="000000"/>
                <w:sz w:val="18"/>
              </w:rPr>
              <w:t>for the ability of AEMO to maintain system</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01"/>
              <w:textAlignment w:val="baseline"/>
              <w:rPr>
                <w:rFonts w:eastAsia="Times New Roman"/>
                <w:color w:val="000000"/>
                <w:sz w:val="18"/>
              </w:rPr>
            </w:pPr>
            <w:r>
              <w:rPr>
                <w:rFonts w:eastAsia="Times New Roman"/>
                <w:color w:val="000000"/>
                <w:sz w:val="18"/>
              </w:rPr>
              <w:t>4.8.14(b) and (d), 5.2.3(b)), the draft classification</w:t>
            </w:r>
          </w:p>
        </w:tc>
      </w:tr>
      <w:tr w:rsidR="006558EE">
        <w:tblPrEx>
          <w:tblCellMar>
            <w:top w:w="0" w:type="dxa"/>
            <w:bottom w:w="0" w:type="dxa"/>
          </w:tblCellMar>
        </w:tblPrEx>
        <w:trPr>
          <w:trHeight w:hRule="exact" w:val="211"/>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06"/>
              <w:textAlignment w:val="baseline"/>
              <w:rPr>
                <w:rFonts w:eastAsia="Times New Roman"/>
                <w:color w:val="000000"/>
                <w:sz w:val="18"/>
              </w:rPr>
            </w:pPr>
            <w:r>
              <w:rPr>
                <w:rFonts w:eastAsia="Times New Roman"/>
                <w:color w:val="000000"/>
                <w:sz w:val="18"/>
              </w:rPr>
              <w:t>security and reliability. Generators are likely to</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196" w:lineRule="exact"/>
              <w:ind w:left="101"/>
              <w:textAlignment w:val="baseline"/>
              <w:rPr>
                <w:rFonts w:eastAsia="Times New Roman"/>
                <w:color w:val="000000"/>
                <w:sz w:val="18"/>
              </w:rPr>
            </w:pPr>
            <w:r>
              <w:rPr>
                <w:rFonts w:eastAsia="Times New Roman"/>
                <w:color w:val="000000"/>
                <w:sz w:val="18"/>
              </w:rPr>
              <w:t>proposes almost 30 civil penalty provision</w:t>
            </w:r>
          </w:p>
        </w:tc>
      </w:tr>
      <w:tr w:rsidR="006558EE">
        <w:tblPrEx>
          <w:tblCellMar>
            <w:top w:w="0" w:type="dxa"/>
            <w:bottom w:w="0" w:type="dxa"/>
          </w:tblCellMar>
        </w:tblPrEx>
        <w:trPr>
          <w:trHeight w:hRule="exact" w:val="207"/>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06"/>
              <w:textAlignment w:val="baseline"/>
              <w:rPr>
                <w:rFonts w:eastAsia="Times New Roman"/>
                <w:color w:val="000000"/>
                <w:sz w:val="18"/>
              </w:rPr>
            </w:pPr>
            <w:r>
              <w:rPr>
                <w:rFonts w:eastAsia="Times New Roman"/>
                <w:color w:val="000000"/>
                <w:sz w:val="18"/>
              </w:rPr>
              <w:t>have significantly greater incentives than</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01"/>
              <w:textAlignment w:val="baseline"/>
              <w:rPr>
                <w:rFonts w:eastAsia="Times New Roman"/>
                <w:color w:val="000000"/>
                <w:sz w:val="18"/>
              </w:rPr>
            </w:pPr>
            <w:r>
              <w:rPr>
                <w:rFonts w:eastAsia="Times New Roman"/>
                <w:color w:val="000000"/>
                <w:sz w:val="18"/>
              </w:rPr>
              <w:t>applicable to us pertaining to ‘Supply Security and</w:t>
            </w:r>
          </w:p>
        </w:tc>
      </w:tr>
      <w:tr w:rsidR="006558EE">
        <w:tblPrEx>
          <w:tblCellMar>
            <w:top w:w="0" w:type="dxa"/>
            <w:bottom w:w="0" w:type="dxa"/>
          </w:tblCellMar>
        </w:tblPrEx>
        <w:trPr>
          <w:trHeight w:hRule="exact" w:val="20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0" w:lineRule="exact"/>
              <w:ind w:left="106"/>
              <w:textAlignment w:val="baseline"/>
              <w:rPr>
                <w:rFonts w:eastAsia="Times New Roman"/>
                <w:color w:val="000000"/>
                <w:sz w:val="18"/>
              </w:rPr>
            </w:pPr>
            <w:r>
              <w:rPr>
                <w:rFonts w:eastAsia="Times New Roman"/>
                <w:color w:val="000000"/>
                <w:sz w:val="18"/>
              </w:rPr>
              <w:t>distributors to contravene provisions designed to</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0" w:lineRule="exact"/>
              <w:ind w:left="101"/>
              <w:textAlignment w:val="baseline"/>
              <w:rPr>
                <w:rFonts w:eastAsia="Times New Roman"/>
                <w:color w:val="000000"/>
                <w:sz w:val="18"/>
              </w:rPr>
            </w:pPr>
            <w:r>
              <w:rPr>
                <w:rFonts w:eastAsia="Times New Roman"/>
                <w:color w:val="000000"/>
                <w:sz w:val="18"/>
              </w:rPr>
              <w:t>Reliability’ be classified as Tier 1. These</w:t>
            </w:r>
          </w:p>
        </w:tc>
      </w:tr>
      <w:tr w:rsidR="006558EE">
        <w:tblPrEx>
          <w:tblCellMar>
            <w:top w:w="0" w:type="dxa"/>
            <w:bottom w:w="0" w:type="dxa"/>
          </w:tblCellMar>
        </w:tblPrEx>
        <w:trPr>
          <w:trHeight w:hRule="exact" w:val="211"/>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06"/>
              <w:textAlignment w:val="baseline"/>
              <w:rPr>
                <w:rFonts w:eastAsia="Times New Roman"/>
                <w:color w:val="000000"/>
                <w:sz w:val="18"/>
              </w:rPr>
            </w:pPr>
            <w:r>
              <w:rPr>
                <w:rFonts w:eastAsia="Times New Roman"/>
                <w:color w:val="000000"/>
                <w:sz w:val="18"/>
              </w:rPr>
              <w:t>ensure supply security and reliability, and</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5" w:lineRule="exact"/>
              <w:ind w:left="101"/>
              <w:textAlignment w:val="baseline"/>
              <w:rPr>
                <w:rFonts w:eastAsia="Times New Roman"/>
                <w:color w:val="000000"/>
                <w:sz w:val="18"/>
              </w:rPr>
            </w:pPr>
            <w:r>
              <w:rPr>
                <w:rFonts w:eastAsia="Times New Roman"/>
                <w:color w:val="000000"/>
                <w:sz w:val="18"/>
              </w:rPr>
              <w:t>provisions should be classified as Tier 2 or 3, with</w:t>
            </w:r>
          </w:p>
        </w:tc>
      </w:tr>
      <w:tr w:rsidR="006558EE">
        <w:tblPrEx>
          <w:tblCellMar>
            <w:top w:w="0" w:type="dxa"/>
            <w:bottom w:w="0" w:type="dxa"/>
          </w:tblCellMar>
        </w:tblPrEx>
        <w:trPr>
          <w:trHeight w:hRule="exact" w:val="202"/>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1" w:lineRule="exact"/>
              <w:ind w:left="106"/>
              <w:textAlignment w:val="baseline"/>
              <w:rPr>
                <w:rFonts w:eastAsia="Times New Roman"/>
                <w:color w:val="000000"/>
                <w:sz w:val="18"/>
              </w:rPr>
            </w:pPr>
            <w:r>
              <w:rPr>
                <w:rFonts w:eastAsia="Times New Roman"/>
                <w:color w:val="000000"/>
                <w:sz w:val="18"/>
              </w:rPr>
              <w:t>compliance with these provisions by generators is</w:t>
            </w:r>
          </w:p>
        </w:tc>
        <w:tc>
          <w:tcPr>
            <w:tcW w:w="3931" w:type="dxa"/>
            <w:tcBorders>
              <w:top w:val="none" w:sz="0" w:space="0" w:color="020000"/>
              <w:left w:val="single" w:sz="5" w:space="0" w:color="000000"/>
              <w:bottom w:val="none" w:sz="0" w:space="0" w:color="020000"/>
              <w:right w:val="single" w:sz="5" w:space="0" w:color="000000"/>
            </w:tcBorders>
            <w:vAlign w:val="center"/>
          </w:tcPr>
          <w:p w:rsidR="006558EE" w:rsidRDefault="002D0ADC">
            <w:pPr>
              <w:spacing w:line="201" w:lineRule="exact"/>
              <w:ind w:left="101"/>
              <w:textAlignment w:val="baseline"/>
              <w:rPr>
                <w:rFonts w:eastAsia="Times New Roman"/>
                <w:color w:val="000000"/>
                <w:sz w:val="18"/>
              </w:rPr>
            </w:pPr>
            <w:r>
              <w:rPr>
                <w:rFonts w:eastAsia="Times New Roman"/>
                <w:color w:val="000000"/>
                <w:sz w:val="18"/>
              </w:rPr>
              <w:t>the exception only of those seven identified by</w:t>
            </w:r>
          </w:p>
        </w:tc>
      </w:tr>
      <w:tr w:rsidR="006558EE">
        <w:tblPrEx>
          <w:tblCellMar>
            <w:top w:w="0" w:type="dxa"/>
            <w:bottom w:w="0" w:type="dxa"/>
          </w:tblCellMar>
        </w:tblPrEx>
        <w:trPr>
          <w:trHeight w:hRule="exact" w:val="446"/>
        </w:trPr>
        <w:tc>
          <w:tcPr>
            <w:tcW w:w="1109" w:type="dxa"/>
            <w:tcBorders>
              <w:top w:val="none" w:sz="0" w:space="0" w:color="020000"/>
              <w:left w:val="single" w:sz="5" w:space="0" w:color="000000"/>
              <w:bottom w:val="none" w:sz="0" w:space="0" w:color="02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none" w:sz="0" w:space="0" w:color="020000"/>
              <w:right w:val="single" w:sz="5" w:space="0" w:color="000000"/>
            </w:tcBorders>
          </w:tcPr>
          <w:p w:rsidR="006558EE" w:rsidRDefault="002D0ADC">
            <w:pPr>
              <w:spacing w:after="20" w:line="206" w:lineRule="exact"/>
              <w:ind w:left="108" w:right="576"/>
              <w:textAlignment w:val="baseline"/>
              <w:rPr>
                <w:rFonts w:eastAsia="Times New Roman"/>
                <w:color w:val="000000"/>
                <w:sz w:val="18"/>
              </w:rPr>
            </w:pPr>
            <w:r>
              <w:rPr>
                <w:rFonts w:eastAsia="Times New Roman"/>
                <w:color w:val="000000"/>
                <w:sz w:val="18"/>
              </w:rPr>
              <w:t>more important for maintaining security and reliability of supply.</w:t>
            </w:r>
          </w:p>
        </w:tc>
        <w:tc>
          <w:tcPr>
            <w:tcW w:w="3931" w:type="dxa"/>
            <w:tcBorders>
              <w:top w:val="none" w:sz="0" w:space="0" w:color="020000"/>
              <w:left w:val="single" w:sz="5" w:space="0" w:color="000000"/>
              <w:bottom w:val="none" w:sz="0" w:space="0" w:color="020000"/>
              <w:right w:val="single" w:sz="5" w:space="0" w:color="000000"/>
            </w:tcBorders>
          </w:tcPr>
          <w:p w:rsidR="006558EE" w:rsidRDefault="002D0ADC">
            <w:pPr>
              <w:spacing w:after="227" w:line="206" w:lineRule="exact"/>
              <w:ind w:left="101"/>
              <w:textAlignment w:val="baseline"/>
              <w:rPr>
                <w:rFonts w:eastAsia="Times New Roman"/>
                <w:color w:val="000000"/>
                <w:sz w:val="18"/>
              </w:rPr>
            </w:pPr>
            <w:r>
              <w:rPr>
                <w:rFonts w:eastAsia="Times New Roman"/>
                <w:color w:val="000000"/>
                <w:sz w:val="18"/>
              </w:rPr>
              <w:t>SCO as warranting the maximum penalty.</w:t>
            </w:r>
          </w:p>
        </w:tc>
      </w:tr>
      <w:tr w:rsidR="006558EE">
        <w:tblPrEx>
          <w:tblCellMar>
            <w:top w:w="0" w:type="dxa"/>
            <w:bottom w:w="0" w:type="dxa"/>
          </w:tblCellMar>
        </w:tblPrEx>
        <w:trPr>
          <w:trHeight w:hRule="exact" w:val="931"/>
        </w:trPr>
        <w:tc>
          <w:tcPr>
            <w:tcW w:w="1109" w:type="dxa"/>
            <w:tcBorders>
              <w:top w:val="none" w:sz="0" w:space="0" w:color="020000"/>
              <w:left w:val="single" w:sz="5" w:space="0" w:color="000000"/>
              <w:bottom w:val="single" w:sz="5" w:space="0" w:color="00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c>
          <w:tcPr>
            <w:tcW w:w="3869" w:type="dxa"/>
            <w:tcBorders>
              <w:top w:val="none" w:sz="0" w:space="0" w:color="020000"/>
              <w:left w:val="single" w:sz="5" w:space="0" w:color="000000"/>
              <w:bottom w:val="single" w:sz="5" w:space="0" w:color="000000"/>
              <w:right w:val="single" w:sz="5" w:space="0" w:color="000000"/>
            </w:tcBorders>
          </w:tcPr>
          <w:p w:rsidR="006558EE" w:rsidRDefault="002D0ADC">
            <w:pPr>
              <w:spacing w:before="43" w:after="54" w:line="206" w:lineRule="exact"/>
              <w:ind w:left="108" w:right="180"/>
              <w:textAlignment w:val="baseline"/>
              <w:rPr>
                <w:rFonts w:eastAsia="Times New Roman"/>
                <w:color w:val="000000"/>
                <w:sz w:val="18"/>
              </w:rPr>
            </w:pPr>
            <w:r>
              <w:rPr>
                <w:rFonts w:eastAsia="Times New Roman"/>
                <w:color w:val="000000"/>
                <w:sz w:val="18"/>
              </w:rPr>
              <w:t>The Concepts Table should distinguish between the provisions with which compliance is essential to ensuring security and reliability of supply and provisions that are less important.</w:t>
            </w:r>
          </w:p>
        </w:tc>
        <w:tc>
          <w:tcPr>
            <w:tcW w:w="3931" w:type="dxa"/>
            <w:tcBorders>
              <w:top w:val="none" w:sz="0" w:space="0" w:color="020000"/>
              <w:left w:val="single" w:sz="5" w:space="0" w:color="000000"/>
              <w:bottom w:val="single" w:sz="5" w:space="0" w:color="000000"/>
              <w:right w:val="single" w:sz="5" w:space="0" w:color="000000"/>
            </w:tcBorders>
          </w:tcPr>
          <w:p w:rsidR="006558EE" w:rsidRDefault="002D0ADC">
            <w:pPr>
              <w:textAlignment w:val="baseline"/>
              <w:rPr>
                <w:rFonts w:eastAsia="Times New Roman"/>
                <w:color w:val="000000"/>
                <w:sz w:val="24"/>
              </w:rPr>
            </w:pPr>
            <w:r>
              <w:rPr>
                <w:rFonts w:eastAsia="Times New Roman"/>
                <w:color w:val="000000"/>
                <w:sz w:val="24"/>
              </w:rPr>
              <w:t xml:space="preserve"> </w:t>
            </w:r>
          </w:p>
        </w:tc>
      </w:tr>
    </w:tbl>
    <w:p w:rsidR="006558EE" w:rsidRDefault="006558EE">
      <w:pPr>
        <w:spacing w:after="334" w:line="20" w:lineRule="exact"/>
      </w:pPr>
    </w:p>
    <w:p w:rsidR="006558EE" w:rsidRDefault="002D0ADC">
      <w:pPr>
        <w:spacing w:before="6" w:line="256" w:lineRule="exact"/>
        <w:ind w:right="216"/>
        <w:textAlignment w:val="baseline"/>
        <w:rPr>
          <w:rFonts w:ascii="Calibri" w:eastAsia="Calibri" w:hAnsi="Calibri"/>
          <w:color w:val="000000"/>
          <w:sz w:val="21"/>
        </w:rPr>
      </w:pPr>
      <w:r>
        <w:rPr>
          <w:rFonts w:ascii="Calibri" w:eastAsia="Calibri" w:hAnsi="Calibri"/>
          <w:color w:val="000000"/>
          <w:sz w:val="21"/>
        </w:rPr>
        <w:t>Secondly, there should be a recognition in the Concepts Table that th</w:t>
      </w:r>
      <w:r>
        <w:rPr>
          <w:rFonts w:ascii="Calibri" w:eastAsia="Calibri" w:hAnsi="Calibri"/>
          <w:color w:val="000000"/>
          <w:sz w:val="21"/>
        </w:rPr>
        <w:t>e application of significant civil penalties to general obligations the content of which are defined by reference to instruments that are not of a legislative character should be avoided. In particular, it is not clear that it is appropriate to apply a civ</w:t>
      </w:r>
      <w:r>
        <w:rPr>
          <w:rFonts w:ascii="Calibri" w:eastAsia="Calibri" w:hAnsi="Calibri"/>
          <w:color w:val="000000"/>
          <w:sz w:val="21"/>
        </w:rPr>
        <w:t>il penalty, or at least not the highest maximum penalty, to obligations requiring compliance with a number of requirements specified in the decisions of administrative bodies such as the Australian Energy Regulator (AER) and Australian Energy Market Operat</w:t>
      </w:r>
      <w:r>
        <w:rPr>
          <w:rFonts w:ascii="Calibri" w:eastAsia="Calibri" w:hAnsi="Calibri"/>
          <w:color w:val="000000"/>
          <w:sz w:val="21"/>
        </w:rPr>
        <w:t>or (AEMO). These include, for example, the requirements to comply with: a distribution determination (NEL, s 14B); regulatory information notices and general regulatory information orders (NEL, ss 28N and 28O); Market Management Systems Access Procedures (</w:t>
      </w:r>
      <w:r>
        <w:rPr>
          <w:rFonts w:ascii="Calibri" w:eastAsia="Calibri" w:hAnsi="Calibri"/>
          <w:color w:val="000000"/>
          <w:sz w:val="21"/>
        </w:rPr>
        <w:t>NER, cl 3.19(c)); the requirements of relevant power system operating procedures (cl 4.10.2(b)); applicable regulatory instruments (NER, cl 5.2.3(f)); and the electricity distribution ring-fencing guidelines. The suite of requirements imposed on us by such</w:t>
      </w:r>
      <w:r>
        <w:rPr>
          <w:rFonts w:ascii="Calibri" w:eastAsia="Calibri" w:hAnsi="Calibri"/>
          <w:color w:val="000000"/>
          <w:sz w:val="21"/>
        </w:rPr>
        <w:t xml:space="preserve"> provisions:</w:t>
      </w:r>
    </w:p>
    <w:p w:rsidR="006558EE" w:rsidRDefault="002D0ADC">
      <w:pPr>
        <w:numPr>
          <w:ilvl w:val="0"/>
          <w:numId w:val="2"/>
        </w:numPr>
        <w:spacing w:before="213" w:line="256" w:lineRule="exact"/>
        <w:ind w:left="360" w:right="216" w:hanging="360"/>
        <w:textAlignment w:val="baseline"/>
        <w:rPr>
          <w:rFonts w:ascii="Calibri" w:eastAsia="Calibri" w:hAnsi="Calibri"/>
          <w:color w:val="000000"/>
          <w:sz w:val="21"/>
        </w:rPr>
      </w:pPr>
      <w:r>
        <w:rPr>
          <w:rFonts w:ascii="Calibri" w:eastAsia="Calibri" w:hAnsi="Calibri"/>
          <w:color w:val="000000"/>
          <w:sz w:val="21"/>
        </w:rPr>
        <w:t>Are determined by administrative bodies, and not by the legislature. This can be contrasted with the requirements in the Australian Consumer Law (ACL) (on which regime the proposed reforms, including in particular the maximum penalty for Tier 1 civil penal</w:t>
      </w:r>
      <w:r>
        <w:rPr>
          <w:rFonts w:ascii="Calibri" w:eastAsia="Calibri" w:hAnsi="Calibri"/>
          <w:color w:val="000000"/>
          <w:sz w:val="21"/>
        </w:rPr>
        <w:t>ty provisions, are based). All provisions of the ACL were passed into law by the Parliament, and not by the body responsible for administering the ACL (being the Australian Competition and Consumer Commission (ACCC)).</w:t>
      </w:r>
    </w:p>
    <w:p w:rsidR="006558EE" w:rsidRDefault="002D0ADC">
      <w:pPr>
        <w:numPr>
          <w:ilvl w:val="0"/>
          <w:numId w:val="2"/>
        </w:numPr>
        <w:spacing w:before="129" w:line="256" w:lineRule="exact"/>
        <w:ind w:left="360" w:right="360" w:hanging="360"/>
        <w:textAlignment w:val="baseline"/>
        <w:rPr>
          <w:rFonts w:ascii="Calibri" w:eastAsia="Calibri" w:hAnsi="Calibri"/>
          <w:color w:val="000000"/>
          <w:sz w:val="21"/>
        </w:rPr>
      </w:pPr>
      <w:r>
        <w:rPr>
          <w:rFonts w:ascii="Calibri" w:eastAsia="Calibri" w:hAnsi="Calibri"/>
          <w:color w:val="000000"/>
          <w:sz w:val="21"/>
        </w:rPr>
        <w:t>Are typically not prepared with the le</w:t>
      </w:r>
      <w:r>
        <w:rPr>
          <w:rFonts w:ascii="Calibri" w:eastAsia="Calibri" w:hAnsi="Calibri"/>
          <w:color w:val="000000"/>
          <w:sz w:val="21"/>
        </w:rPr>
        <w:t>vel of specificity or precision desirable for obligations to which significant civil penalties attach, resulting in uncertainty about what is legally required for compliance. For example:</w:t>
      </w:r>
    </w:p>
    <w:p w:rsidR="006558EE" w:rsidRDefault="002D0ADC">
      <w:pPr>
        <w:tabs>
          <w:tab w:val="left" w:pos="936"/>
        </w:tabs>
        <w:spacing w:before="124" w:after="1050" w:line="256" w:lineRule="exact"/>
        <w:ind w:left="936" w:right="216" w:hanging="360"/>
        <w:textAlignment w:val="baseline"/>
        <w:rPr>
          <w:rFonts w:eastAsia="Times New Roman"/>
          <w:color w:val="000000"/>
          <w:spacing w:val="-2"/>
          <w:w w:val="55"/>
          <w:sz w:val="30"/>
        </w:rPr>
      </w:pPr>
      <w:r>
        <w:rPr>
          <w:rFonts w:eastAsia="Times New Roman"/>
          <w:color w:val="000000"/>
          <w:spacing w:val="-2"/>
          <w:w w:val="55"/>
          <w:sz w:val="30"/>
        </w:rPr>
        <w:t>–</w:t>
      </w:r>
      <w:r>
        <w:rPr>
          <w:rFonts w:eastAsia="Times New Roman"/>
          <w:color w:val="000000"/>
          <w:spacing w:val="-2"/>
          <w:w w:val="55"/>
          <w:sz w:val="30"/>
        </w:rPr>
        <w:tab/>
      </w:r>
      <w:r>
        <w:rPr>
          <w:rFonts w:ascii="Calibri" w:eastAsia="Calibri" w:hAnsi="Calibri"/>
          <w:color w:val="000000"/>
          <w:spacing w:val="-2"/>
          <w:sz w:val="21"/>
        </w:rPr>
        <w:t>The obligation to comply with a distribution determination (NEL, s 14B) is proposed to be classified as Tier 1. What is required in order to achieve compliance with a distribution determination can be somewhat unclear given the way in which the AER current</w:t>
      </w:r>
      <w:r>
        <w:rPr>
          <w:rFonts w:ascii="Calibri" w:eastAsia="Calibri" w:hAnsi="Calibri"/>
          <w:color w:val="000000"/>
          <w:spacing w:val="-2"/>
          <w:sz w:val="21"/>
        </w:rPr>
        <w:t xml:space="preserve">ly presents its determinations. Specifically, the AER does not include a clear articulation, separate from the AER’s reasons for decision, of the obligations that a distribution determination imposes. Rather, each ‘determination’ includes an overview with </w:t>
      </w:r>
      <w:r>
        <w:rPr>
          <w:rFonts w:ascii="Calibri" w:eastAsia="Calibri" w:hAnsi="Calibri"/>
          <w:color w:val="000000"/>
          <w:spacing w:val="-2"/>
          <w:sz w:val="21"/>
        </w:rPr>
        <w:t>several lengthy attachments (in the last round of determinations applying to us there were 18 attachments), each of which</w:t>
      </w:r>
    </w:p>
    <w:p w:rsidR="006558EE" w:rsidRDefault="006558EE">
      <w:pPr>
        <w:spacing w:before="124" w:after="1050" w:line="256" w:lineRule="exact"/>
        <w:sectPr w:rsidR="006558EE">
          <w:pgSz w:w="11909" w:h="16838"/>
          <w:pgMar w:top="2240" w:right="1431" w:bottom="242" w:left="1541" w:header="720" w:footer="720" w:gutter="0"/>
          <w:cols w:space="720"/>
        </w:sectPr>
      </w:pPr>
    </w:p>
    <w:p w:rsidR="006558EE" w:rsidRDefault="002D0ADC">
      <w:pPr>
        <w:spacing w:before="19" w:line="152" w:lineRule="exact"/>
        <w:textAlignment w:val="baseline"/>
        <w:rPr>
          <w:rFonts w:ascii="Calibri" w:eastAsia="Calibri" w:hAnsi="Calibri"/>
          <w:color w:val="000000"/>
          <w:sz w:val="14"/>
        </w:rPr>
      </w:pPr>
      <w:r>
        <w:rPr>
          <w:rFonts w:ascii="Calibri" w:eastAsia="Calibri" w:hAnsi="Calibri"/>
          <w:color w:val="000000"/>
          <w:sz w:val="14"/>
        </w:rPr>
        <w:t>3</w:t>
      </w:r>
    </w:p>
    <w:p w:rsidR="006558EE" w:rsidRDefault="006558EE">
      <w:pPr>
        <w:sectPr w:rsidR="006558EE">
          <w:type w:val="continuous"/>
          <w:pgSz w:w="11909" w:h="16838"/>
          <w:pgMar w:top="2240" w:right="1532" w:bottom="242" w:left="10237" w:header="720" w:footer="720" w:gutter="0"/>
          <w:cols w:space="720"/>
        </w:sectPr>
      </w:pPr>
    </w:p>
    <w:p w:rsidR="006558EE" w:rsidRDefault="002D0ADC">
      <w:pPr>
        <w:spacing w:before="11" w:line="257" w:lineRule="exact"/>
        <w:ind w:left="1008" w:right="576"/>
        <w:textAlignment w:val="baseline"/>
        <w:rPr>
          <w:rFonts w:ascii="Calibri" w:eastAsia="Calibri" w:hAnsi="Calibri"/>
          <w:color w:val="000000"/>
          <w:sz w:val="21"/>
        </w:rPr>
      </w:pPr>
      <w:r>
        <w:rPr>
          <w:rFonts w:ascii="Calibri" w:eastAsia="Calibri" w:hAnsi="Calibri"/>
          <w:color w:val="000000"/>
          <w:sz w:val="21"/>
        </w:rPr>
        <w:lastRenderedPageBreak/>
        <w:t>include reasoning and conclusions, often without any clear delineation of the relevant determination t</w:t>
      </w:r>
      <w:r>
        <w:rPr>
          <w:rFonts w:ascii="Calibri" w:eastAsia="Calibri" w:hAnsi="Calibri"/>
          <w:color w:val="000000"/>
          <w:sz w:val="21"/>
        </w:rPr>
        <w:t>hat is to have legal force and effect.</w:t>
      </w:r>
    </w:p>
    <w:p w:rsidR="006558EE" w:rsidRDefault="002D0ADC">
      <w:pPr>
        <w:tabs>
          <w:tab w:val="left" w:pos="1008"/>
        </w:tabs>
        <w:spacing w:before="194" w:line="257" w:lineRule="exact"/>
        <w:ind w:left="1008" w:right="72" w:hanging="432"/>
        <w:textAlignment w:val="baseline"/>
        <w:rPr>
          <w:rFonts w:eastAsia="Times New Roman"/>
          <w:color w:val="000000"/>
          <w:spacing w:val="1"/>
          <w:w w:val="55"/>
          <w:sz w:val="30"/>
        </w:rPr>
      </w:pPr>
      <w:r>
        <w:rPr>
          <w:rFonts w:eastAsia="Times New Roman"/>
          <w:color w:val="000000"/>
          <w:spacing w:val="1"/>
          <w:w w:val="55"/>
          <w:sz w:val="30"/>
        </w:rPr>
        <w:t>–</w:t>
      </w:r>
      <w:r>
        <w:rPr>
          <w:rFonts w:eastAsia="Times New Roman"/>
          <w:color w:val="000000"/>
          <w:spacing w:val="1"/>
          <w:w w:val="55"/>
          <w:sz w:val="30"/>
        </w:rPr>
        <w:tab/>
      </w:r>
      <w:r>
        <w:rPr>
          <w:rFonts w:ascii="Calibri" w:eastAsia="Calibri" w:hAnsi="Calibri"/>
          <w:color w:val="000000"/>
          <w:spacing w:val="1"/>
          <w:sz w:val="21"/>
        </w:rPr>
        <w:t>The NER obligation requiring compliance with the electricity distribution ring-fencing guidelines prepared by the AER (NER, clause 6.17.1) is proposed to be classified as Tier 1. These guidelines are not precisely d</w:t>
      </w:r>
      <w:r>
        <w:rPr>
          <w:rFonts w:ascii="Calibri" w:eastAsia="Calibri" w:hAnsi="Calibri"/>
          <w:color w:val="000000"/>
          <w:spacing w:val="1"/>
          <w:sz w:val="21"/>
        </w:rPr>
        <w:t>rafted, which leaves open a range of possible interpretations. In initiating its current review of these guidelines, the AER has acknowledged there have been differing interpretations of the guidelines and they could be clarified.</w:t>
      </w:r>
    </w:p>
    <w:p w:rsidR="006558EE" w:rsidRDefault="002D0ADC">
      <w:pPr>
        <w:tabs>
          <w:tab w:val="left" w:pos="1008"/>
        </w:tabs>
        <w:spacing w:before="235" w:line="257" w:lineRule="exact"/>
        <w:ind w:left="576"/>
        <w:textAlignment w:val="baseline"/>
        <w:rPr>
          <w:rFonts w:eastAsia="Times New Roman"/>
          <w:color w:val="000000"/>
          <w:w w:val="55"/>
          <w:sz w:val="30"/>
        </w:rPr>
      </w:pPr>
      <w:r>
        <w:rPr>
          <w:rFonts w:eastAsia="Times New Roman"/>
          <w:color w:val="000000"/>
          <w:w w:val="55"/>
          <w:sz w:val="30"/>
        </w:rPr>
        <w:t>–</w:t>
      </w:r>
      <w:r>
        <w:rPr>
          <w:rFonts w:eastAsia="Times New Roman"/>
          <w:color w:val="000000"/>
          <w:w w:val="55"/>
          <w:sz w:val="30"/>
        </w:rPr>
        <w:tab/>
      </w:r>
      <w:r>
        <w:rPr>
          <w:rFonts w:ascii="Calibri" w:eastAsia="Calibri" w:hAnsi="Calibri"/>
          <w:color w:val="000000"/>
          <w:sz w:val="21"/>
        </w:rPr>
        <w:t>The regulatory information notices issued by the AER (compliance with which is required by</w:t>
      </w:r>
    </w:p>
    <w:p w:rsidR="006558EE" w:rsidRDefault="002D0ADC">
      <w:pPr>
        <w:spacing w:before="4" w:line="216" w:lineRule="exact"/>
        <w:ind w:left="72"/>
        <w:jc w:val="center"/>
        <w:textAlignment w:val="baseline"/>
        <w:rPr>
          <w:rFonts w:ascii="Calibri" w:eastAsia="Calibri" w:hAnsi="Calibri"/>
          <w:color w:val="000000"/>
          <w:sz w:val="21"/>
        </w:rPr>
      </w:pPr>
      <w:r>
        <w:rPr>
          <w:rFonts w:ascii="Calibri" w:eastAsia="Calibri" w:hAnsi="Calibri"/>
          <w:color w:val="000000"/>
          <w:sz w:val="21"/>
        </w:rPr>
        <w:t>NEL, s 28N) are extensive and often open to a range of plausible interpretations.</w:t>
      </w:r>
    </w:p>
    <w:p w:rsidR="006558EE" w:rsidRDefault="002D0ADC">
      <w:pPr>
        <w:spacing w:before="193" w:line="257" w:lineRule="exact"/>
        <w:ind w:left="432" w:right="72"/>
        <w:textAlignment w:val="baseline"/>
        <w:rPr>
          <w:rFonts w:ascii="Calibri" w:eastAsia="Calibri" w:hAnsi="Calibri"/>
          <w:color w:val="000000"/>
          <w:spacing w:val="-1"/>
          <w:sz w:val="21"/>
        </w:rPr>
      </w:pPr>
      <w:r>
        <w:rPr>
          <w:rFonts w:ascii="Calibri" w:eastAsia="Calibri" w:hAnsi="Calibri"/>
          <w:color w:val="000000"/>
          <w:spacing w:val="-1"/>
          <w:sz w:val="21"/>
        </w:rPr>
        <w:t>Again, this is in contrast to the requirements of the ACL, which were prepared by p</w:t>
      </w:r>
      <w:r>
        <w:rPr>
          <w:rFonts w:ascii="Calibri" w:eastAsia="Calibri" w:hAnsi="Calibri"/>
          <w:color w:val="000000"/>
          <w:spacing w:val="-1"/>
          <w:sz w:val="21"/>
        </w:rPr>
        <w:t xml:space="preserve">arliamentary counsel – that is, lawyers experienced in the preparation of exact and watertight legislation for passage by the Parliament, and subordinate legislation such as regulations and proclamations – and the penalties applicable to a corporation for </w:t>
      </w:r>
      <w:r>
        <w:rPr>
          <w:rFonts w:ascii="Calibri" w:eastAsia="Calibri" w:hAnsi="Calibri"/>
          <w:color w:val="000000"/>
          <w:spacing w:val="-1"/>
          <w:sz w:val="21"/>
        </w:rPr>
        <w:t>failure to comply with a compulsory information gathering notice issued by the ACCC under s 155 of the Competition and Consumer Act 2010 (Cth).</w:t>
      </w:r>
    </w:p>
    <w:p w:rsidR="006558EE" w:rsidRDefault="002D0ADC">
      <w:pPr>
        <w:numPr>
          <w:ilvl w:val="0"/>
          <w:numId w:val="2"/>
        </w:numPr>
        <w:tabs>
          <w:tab w:val="clear" w:pos="360"/>
          <w:tab w:val="left" w:pos="432"/>
        </w:tabs>
        <w:spacing w:before="130" w:line="257" w:lineRule="exact"/>
        <w:ind w:left="432" w:right="360" w:hanging="360"/>
        <w:textAlignment w:val="baseline"/>
        <w:rPr>
          <w:rFonts w:ascii="Calibri" w:eastAsia="Calibri" w:hAnsi="Calibri"/>
          <w:color w:val="000000"/>
          <w:sz w:val="21"/>
        </w:rPr>
      </w:pPr>
      <w:r>
        <w:rPr>
          <w:rFonts w:ascii="Calibri" w:eastAsia="Calibri" w:hAnsi="Calibri"/>
          <w:color w:val="000000"/>
          <w:sz w:val="21"/>
        </w:rPr>
        <w:t>Have the effect of applying the same maximum civil penalty to literally hundreds of obligations across dozens of</w:t>
      </w:r>
      <w:r>
        <w:rPr>
          <w:rFonts w:ascii="Calibri" w:eastAsia="Calibri" w:hAnsi="Calibri"/>
          <w:color w:val="000000"/>
          <w:sz w:val="21"/>
        </w:rPr>
        <w:t xml:space="preserve"> regulator-created rules, guidelines and determinations, many of which are administrative in nature and not appropriate to subject to a civil penalty at all (let alone the highest maximum penalty), contrary to the accepted approach to applying civil penalt</w:t>
      </w:r>
      <w:r>
        <w:rPr>
          <w:rFonts w:ascii="Calibri" w:eastAsia="Calibri" w:hAnsi="Calibri"/>
          <w:color w:val="000000"/>
          <w:sz w:val="21"/>
        </w:rPr>
        <w:t>ies as outlined in the Enforcement Guideline.</w:t>
      </w:r>
    </w:p>
    <w:p w:rsidR="006558EE" w:rsidRDefault="002D0ADC">
      <w:pPr>
        <w:spacing w:before="118" w:line="257" w:lineRule="exact"/>
        <w:ind w:left="72" w:right="288"/>
        <w:textAlignment w:val="baseline"/>
        <w:rPr>
          <w:rFonts w:ascii="Calibri" w:eastAsia="Calibri" w:hAnsi="Calibri"/>
          <w:color w:val="000000"/>
          <w:spacing w:val="-1"/>
          <w:sz w:val="21"/>
        </w:rPr>
      </w:pPr>
      <w:r>
        <w:rPr>
          <w:rFonts w:ascii="Calibri" w:eastAsia="Calibri" w:hAnsi="Calibri"/>
          <w:color w:val="000000"/>
          <w:spacing w:val="-1"/>
          <w:sz w:val="21"/>
        </w:rPr>
        <w:t>It is also relevant to note that the provisions requiring compliance with a set of requirements determined by the AER, results in the body responsible for enforcement of breaches of the requirement and the issuance of infringement notices (i.e. the AER), a</w:t>
      </w:r>
      <w:r>
        <w:rPr>
          <w:rFonts w:ascii="Calibri" w:eastAsia="Calibri" w:hAnsi="Calibri"/>
          <w:color w:val="000000"/>
          <w:spacing w:val="-1"/>
          <w:sz w:val="21"/>
        </w:rPr>
        <w:t>lso specifying the requirement. In moving to a national framework for the regulation of electricity and gas, the relevant State and Territory and Commonwealth governments agreed the institutional framework would include:</w:t>
      </w:r>
    </w:p>
    <w:p w:rsidR="006558EE" w:rsidRDefault="002D0ADC">
      <w:pPr>
        <w:numPr>
          <w:ilvl w:val="0"/>
          <w:numId w:val="2"/>
        </w:numPr>
        <w:tabs>
          <w:tab w:val="clear" w:pos="360"/>
          <w:tab w:val="left" w:pos="432"/>
        </w:tabs>
        <w:spacing w:before="239" w:line="226" w:lineRule="exact"/>
        <w:ind w:left="432" w:hanging="360"/>
        <w:textAlignment w:val="baseline"/>
        <w:rPr>
          <w:rFonts w:ascii="Calibri" w:eastAsia="Calibri" w:hAnsi="Calibri"/>
          <w:color w:val="000000"/>
          <w:sz w:val="21"/>
        </w:rPr>
      </w:pPr>
      <w:r>
        <w:rPr>
          <w:rFonts w:ascii="Calibri" w:eastAsia="Calibri" w:hAnsi="Calibri"/>
          <w:color w:val="000000"/>
          <w:sz w:val="21"/>
        </w:rPr>
        <w:t>the Australian Energy Market Commis</w:t>
      </w:r>
      <w:r>
        <w:rPr>
          <w:rFonts w:ascii="Calibri" w:eastAsia="Calibri" w:hAnsi="Calibri"/>
          <w:color w:val="000000"/>
          <w:sz w:val="21"/>
        </w:rPr>
        <w:t>sion (AEMC) as the body responsible for rule-making; and</w:t>
      </w:r>
    </w:p>
    <w:p w:rsidR="006558EE" w:rsidRDefault="002D0ADC">
      <w:pPr>
        <w:numPr>
          <w:ilvl w:val="0"/>
          <w:numId w:val="2"/>
        </w:numPr>
        <w:tabs>
          <w:tab w:val="clear" w:pos="360"/>
          <w:tab w:val="left" w:pos="432"/>
        </w:tabs>
        <w:spacing w:before="163" w:line="226" w:lineRule="exact"/>
        <w:ind w:left="432" w:hanging="360"/>
        <w:textAlignment w:val="baseline"/>
        <w:rPr>
          <w:rFonts w:ascii="Calibri" w:eastAsia="Calibri" w:hAnsi="Calibri"/>
          <w:color w:val="000000"/>
          <w:sz w:val="21"/>
        </w:rPr>
      </w:pPr>
      <w:r>
        <w:rPr>
          <w:rFonts w:ascii="Calibri" w:eastAsia="Calibri" w:hAnsi="Calibri"/>
          <w:color w:val="000000"/>
          <w:sz w:val="21"/>
        </w:rPr>
        <w:t>the AER as the body responsible for regulation and compliance with the rules.</w:t>
      </w:r>
    </w:p>
    <w:p w:rsidR="006558EE" w:rsidRDefault="002D0ADC">
      <w:pPr>
        <w:spacing w:before="117" w:line="257" w:lineRule="exact"/>
        <w:ind w:left="72" w:right="72"/>
        <w:textAlignment w:val="baseline"/>
        <w:rPr>
          <w:rFonts w:ascii="Calibri" w:eastAsia="Calibri" w:hAnsi="Calibri"/>
          <w:color w:val="000000"/>
          <w:sz w:val="21"/>
        </w:rPr>
      </w:pPr>
      <w:r>
        <w:rPr>
          <w:rFonts w:ascii="Calibri" w:eastAsia="Calibri" w:hAnsi="Calibri"/>
          <w:color w:val="000000"/>
          <w:sz w:val="21"/>
        </w:rPr>
        <w:t>This separation of functions is consistent with the approach taken to law enforcement more generally. For example, in the</w:t>
      </w:r>
      <w:r>
        <w:rPr>
          <w:rFonts w:ascii="Calibri" w:eastAsia="Calibri" w:hAnsi="Calibri"/>
          <w:color w:val="000000"/>
          <w:sz w:val="21"/>
        </w:rPr>
        <w:t xml:space="preserve"> case of the ACL, the Parliament has made the ACL, and the ACCC is the body responsible for enforcing it; the ACCC has no ability to define the obligations. In these circumstances, it is highly inappropriate to classify provisions that require distributors</w:t>
      </w:r>
      <w:r>
        <w:rPr>
          <w:rFonts w:ascii="Calibri" w:eastAsia="Calibri" w:hAnsi="Calibri"/>
          <w:color w:val="000000"/>
          <w:sz w:val="21"/>
        </w:rPr>
        <w:t xml:space="preserve"> to comply with requirements specified by the AER as Tier 1 civil penalty provisions.</w:t>
      </w:r>
    </w:p>
    <w:p w:rsidR="006558EE" w:rsidRDefault="002D0ADC">
      <w:pPr>
        <w:spacing w:before="200" w:line="257" w:lineRule="exact"/>
        <w:ind w:left="72" w:right="72"/>
        <w:textAlignment w:val="baseline"/>
        <w:rPr>
          <w:rFonts w:ascii="Calibri" w:eastAsia="Calibri" w:hAnsi="Calibri"/>
          <w:color w:val="000000"/>
          <w:sz w:val="21"/>
        </w:rPr>
      </w:pPr>
      <w:r>
        <w:rPr>
          <w:rFonts w:ascii="Calibri" w:eastAsia="Calibri" w:hAnsi="Calibri"/>
          <w:color w:val="000000"/>
          <w:sz w:val="21"/>
        </w:rPr>
        <w:t>Thirdly, the Concepts Table seeks to apply the national electricity objective (NEO) in a manner that is difficult to reconcile with the text of the NEO and its interpreta</w:t>
      </w:r>
      <w:r>
        <w:rPr>
          <w:rFonts w:ascii="Calibri" w:eastAsia="Calibri" w:hAnsi="Calibri"/>
          <w:color w:val="000000"/>
          <w:sz w:val="21"/>
        </w:rPr>
        <w:t xml:space="preserve">tion by the Australian Competition Tribunal and the Federal Court. The Contents Table makes a number of references to ‘national energy objectives’ in the plural and to what it identifies as the ‘five’ aspects of the consumer interests referred to in these </w:t>
      </w:r>
      <w:r>
        <w:rPr>
          <w:rFonts w:ascii="Calibri" w:eastAsia="Calibri" w:hAnsi="Calibri"/>
          <w:color w:val="000000"/>
          <w:sz w:val="21"/>
        </w:rPr>
        <w:t>‘objectives’ , as though each of these aspects of consumer interests referred to in the NEO operate as discrete and separate objectives of the NEL and NER.</w:t>
      </w:r>
    </w:p>
    <w:p w:rsidR="006558EE" w:rsidRDefault="002D0ADC">
      <w:pPr>
        <w:spacing w:before="194" w:line="257" w:lineRule="exact"/>
        <w:ind w:left="72" w:right="720"/>
        <w:textAlignment w:val="baseline"/>
        <w:rPr>
          <w:rFonts w:ascii="Calibri" w:eastAsia="Calibri" w:hAnsi="Calibri"/>
          <w:color w:val="000000"/>
          <w:sz w:val="21"/>
        </w:rPr>
      </w:pPr>
      <w:r>
        <w:rPr>
          <w:rFonts w:ascii="Calibri" w:eastAsia="Calibri" w:hAnsi="Calibri"/>
          <w:color w:val="000000"/>
          <w:sz w:val="21"/>
        </w:rPr>
        <w:t>This is confusing in circumstances where there is single overarching NEO (being to promote the effic</w:t>
      </w:r>
      <w:r>
        <w:rPr>
          <w:rFonts w:ascii="Calibri" w:eastAsia="Calibri" w:hAnsi="Calibri"/>
          <w:color w:val="000000"/>
          <w:sz w:val="21"/>
        </w:rPr>
        <w:t>ient investment in, and efficient operation and use of, electricity services for the long term interests of consumers of electricity).</w:t>
      </w:r>
    </w:p>
    <w:p w:rsidR="006558EE" w:rsidRDefault="002D0ADC">
      <w:pPr>
        <w:spacing w:before="245" w:line="216" w:lineRule="exact"/>
        <w:ind w:left="72"/>
        <w:textAlignment w:val="baseline"/>
        <w:rPr>
          <w:rFonts w:ascii="Calibri" w:eastAsia="Calibri" w:hAnsi="Calibri"/>
          <w:color w:val="000000"/>
          <w:sz w:val="21"/>
        </w:rPr>
      </w:pPr>
      <w:r>
        <w:rPr>
          <w:noProof/>
          <w:lang w:val="en-AU" w:eastAsia="en-AU"/>
        </w:rPr>
        <mc:AlternateContent>
          <mc:Choice Requires="wps">
            <w:drawing>
              <wp:anchor distT="0" distB="0" distL="0" distR="0" simplePos="0" relativeHeight="251654656" behindDoc="1" locked="0" layoutInCell="1" allowOverlap="1">
                <wp:simplePos x="0" y="0"/>
                <wp:positionH relativeFrom="page">
                  <wp:posOffset>6491605</wp:posOffset>
                </wp:positionH>
                <wp:positionV relativeFrom="page">
                  <wp:posOffset>10168890</wp:posOffset>
                </wp:positionV>
                <wp:extent cx="111125" cy="108585"/>
                <wp:effectExtent l="0" t="0" r="0" b="0"/>
                <wp:wrapSquare wrapText="bothSides"/>
                <wp:docPr id="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12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8EE" w:rsidRDefault="002D0ADC">
                            <w:pPr>
                              <w:spacing w:before="19" w:line="138" w:lineRule="exact"/>
                              <w:textAlignment w:val="baseline"/>
                              <w:rPr>
                                <w:rFonts w:ascii="Calibri" w:eastAsia="Calibri" w:hAnsi="Calibri"/>
                                <w:color w:val="000000"/>
                                <w:sz w:val="14"/>
                              </w:rPr>
                            </w:pPr>
                            <w:r>
                              <w:rPr>
                                <w:rFonts w:ascii="Calibri" w:eastAsia="Calibri" w:hAnsi="Calibri"/>
                                <w:color w:val="000000"/>
                                <w:sz w:val="14"/>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left:0;text-align:left;margin-left:511.15pt;margin-top:800.7pt;width:8.75pt;height:8.5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" filled="f" stroked="f">
                <v:textbox inset="0,0,0,0">
                  <w:txbxContent>
                    <w:p w:rsidR="006558EE" w:rsidRDefault="002D0ADC">
                      <w:pPr>
                        <w:spacing w:before="19" w:line="138" w:lineRule="exact"/>
                        <w:textAlignment w:val="baseline"/>
                        <w:rPr>
                          <w:rFonts w:ascii="Calibri" w:eastAsia="Calibri" w:hAnsi="Calibri"/>
                          <w:color w:val="000000"/>
                          <w:sz w:val="14"/>
                        </w:rPr>
                      </w:pPr>
                      <w:r>
                        <w:rPr>
                          <w:rFonts w:ascii="Calibri" w:eastAsia="Calibri" w:hAnsi="Calibri"/>
                          <w:color w:val="000000"/>
                          <w:sz w:val="14"/>
                        </w:rPr>
                        <w:t>4</w:t>
                      </w:r>
                    </w:p>
                  </w:txbxContent>
                </v:textbox>
                <w10:wrap type="square" anchorx="page" anchory="page"/>
              </v:shape>
            </w:pict>
          </mc:Fallback>
        </mc:AlternateContent>
      </w:r>
      <w:r>
        <w:rPr>
          <w:rFonts w:ascii="Calibri" w:eastAsia="Calibri" w:hAnsi="Calibri"/>
          <w:color w:val="000000"/>
          <w:sz w:val="21"/>
        </w:rPr>
        <w:t>It is also contrary to the proper interpretation of the NEO.</w:t>
      </w:r>
    </w:p>
    <w:p w:rsidR="006558EE" w:rsidRDefault="006558EE">
      <w:pPr>
        <w:sectPr w:rsidR="006558EE">
          <w:pgSz w:w="11909" w:h="16838"/>
          <w:pgMar w:top="2240" w:right="1491" w:bottom="428" w:left="1481" w:header="720" w:footer="720" w:gutter="0"/>
          <w:cols w:space="720"/>
        </w:sectPr>
      </w:pPr>
    </w:p>
    <w:p w:rsidR="006558EE" w:rsidRDefault="002D0ADC">
      <w:pPr>
        <w:spacing w:before="4" w:line="257" w:lineRule="exact"/>
        <w:ind w:left="72" w:right="144"/>
        <w:textAlignment w:val="baseline"/>
        <w:rPr>
          <w:rFonts w:ascii="Calibri" w:eastAsia="Calibri" w:hAnsi="Calibri"/>
          <w:color w:val="000000"/>
          <w:spacing w:val="1"/>
          <w:sz w:val="21"/>
        </w:rPr>
      </w:pPr>
      <w:r>
        <w:rPr>
          <w:rFonts w:ascii="Calibri" w:eastAsia="Calibri" w:hAnsi="Calibri"/>
          <w:color w:val="000000"/>
          <w:spacing w:val="1"/>
          <w:sz w:val="21"/>
        </w:rPr>
        <w:lastRenderedPageBreak/>
        <w:t>The Australian Competition Tribunal has concluded that, while the ultimate objective of the NEO is the long term interests of consumers in the identified aspects, the legislative premise is that these interests are served through regulation that promotes e</w:t>
      </w:r>
      <w:r>
        <w:rPr>
          <w:rFonts w:ascii="Calibri" w:eastAsia="Calibri" w:hAnsi="Calibri"/>
          <w:color w:val="000000"/>
          <w:spacing w:val="1"/>
          <w:sz w:val="21"/>
        </w:rPr>
        <w:t>conomic efficiency. The Tribunal has relevantly stated:</w:t>
      </w:r>
    </w:p>
    <w:p w:rsidR="006558EE" w:rsidRDefault="002D0ADC">
      <w:pPr>
        <w:spacing w:before="206" w:line="256" w:lineRule="exact"/>
        <w:ind w:left="792" w:right="144"/>
        <w:textAlignment w:val="baseline"/>
        <w:rPr>
          <w:rFonts w:ascii="Calibri" w:eastAsia="Calibri" w:hAnsi="Calibri"/>
          <w:i/>
          <w:color w:val="000000"/>
          <w:sz w:val="21"/>
        </w:rPr>
      </w:pPr>
      <w:r>
        <w:rPr>
          <w:rFonts w:ascii="Calibri" w:eastAsia="Calibri" w:hAnsi="Calibri"/>
          <w:i/>
          <w:color w:val="000000"/>
          <w:sz w:val="21"/>
        </w:rPr>
        <w:t>The ultimate objective reflected in the NEO and NGO is to direct the manner in which the national electricity market and the national natural gas market are regulated, that is, in the long term intere</w:t>
      </w:r>
      <w:r>
        <w:rPr>
          <w:rFonts w:ascii="Calibri" w:eastAsia="Calibri" w:hAnsi="Calibri"/>
          <w:i/>
          <w:color w:val="000000"/>
          <w:sz w:val="21"/>
        </w:rPr>
        <w:t xml:space="preserve">sts of consumers of electricity and natural gas respectively with respect to the matters specified. The provisions proceed on the legislative premise that their long term interests are served through the promotion of efficient investment in, and efficient </w:t>
      </w:r>
      <w:r>
        <w:rPr>
          <w:rFonts w:ascii="Calibri" w:eastAsia="Calibri" w:hAnsi="Calibri"/>
          <w:i/>
          <w:color w:val="000000"/>
          <w:sz w:val="21"/>
        </w:rPr>
        <w:t>operation and use of, electricity and natural gas services. This promotion is to be done “for” the long term interests of consumers. It does not involve a balance as between efficient investment, operation and use on the one hand and the long term interest</w:t>
      </w:r>
      <w:r>
        <w:rPr>
          <w:rFonts w:ascii="Calibri" w:eastAsia="Calibri" w:hAnsi="Calibri"/>
          <w:i/>
          <w:color w:val="000000"/>
          <w:sz w:val="21"/>
        </w:rPr>
        <w:t xml:space="preserve"> of consumers on the other. Rather, the necessary legislative premise is that the long term interests of consumers will be served by regulation that advances economic efficiency.</w:t>
      </w:r>
    </w:p>
    <w:p w:rsidR="006558EE" w:rsidRDefault="002D0ADC">
      <w:pPr>
        <w:spacing w:before="117" w:line="257" w:lineRule="exact"/>
        <w:ind w:left="72" w:right="360"/>
        <w:textAlignment w:val="baseline"/>
        <w:rPr>
          <w:rFonts w:ascii="Calibri" w:eastAsia="Calibri" w:hAnsi="Calibri"/>
          <w:color w:val="000000"/>
          <w:sz w:val="21"/>
        </w:rPr>
      </w:pPr>
      <w:r>
        <w:rPr>
          <w:rFonts w:ascii="Calibri" w:eastAsia="Calibri" w:hAnsi="Calibri"/>
          <w:color w:val="000000"/>
          <w:sz w:val="21"/>
        </w:rPr>
        <w:t>This construction is confirmed by the extrinsic material and has been affirme</w:t>
      </w:r>
      <w:r>
        <w:rPr>
          <w:rFonts w:ascii="Calibri" w:eastAsia="Calibri" w:hAnsi="Calibri"/>
          <w:color w:val="000000"/>
          <w:sz w:val="21"/>
        </w:rPr>
        <w:t>d by the Federal Court, which observed that ‘[t]he statutory phrase “for the long term interests of consumers” was a purposive expression; it qualified the preceding purpose of promoting efficiency’.</w:t>
      </w:r>
    </w:p>
    <w:p w:rsidR="006558EE" w:rsidRDefault="002D0ADC">
      <w:pPr>
        <w:spacing w:before="202" w:line="257" w:lineRule="exact"/>
        <w:ind w:left="72" w:right="144"/>
        <w:textAlignment w:val="baseline"/>
        <w:rPr>
          <w:rFonts w:ascii="Calibri" w:eastAsia="Calibri" w:hAnsi="Calibri"/>
          <w:color w:val="000000"/>
          <w:sz w:val="21"/>
        </w:rPr>
      </w:pPr>
      <w:r>
        <w:rPr>
          <w:rFonts w:ascii="Calibri" w:eastAsia="Calibri" w:hAnsi="Calibri"/>
          <w:color w:val="000000"/>
          <w:sz w:val="21"/>
        </w:rPr>
        <w:t>The NEO does not, therefore, encompass the pursuit of th</w:t>
      </w:r>
      <w:r>
        <w:rPr>
          <w:rFonts w:ascii="Calibri" w:eastAsia="Calibri" w:hAnsi="Calibri"/>
          <w:color w:val="000000"/>
          <w:sz w:val="21"/>
        </w:rPr>
        <w:t>e long terms interests of consumers or any of the identified aspects thereof otherwise than by means of the promotion of economic efficiency.</w:t>
      </w:r>
    </w:p>
    <w:p w:rsidR="006558EE" w:rsidRDefault="002D0ADC">
      <w:pPr>
        <w:spacing w:before="195" w:line="257" w:lineRule="exact"/>
        <w:ind w:left="72" w:right="144"/>
        <w:textAlignment w:val="baseline"/>
        <w:rPr>
          <w:rFonts w:ascii="Calibri" w:eastAsia="Calibri" w:hAnsi="Calibri"/>
          <w:color w:val="000000"/>
          <w:spacing w:val="-1"/>
          <w:sz w:val="21"/>
        </w:rPr>
      </w:pPr>
      <w:r>
        <w:rPr>
          <w:rFonts w:ascii="Calibri" w:eastAsia="Calibri" w:hAnsi="Calibri"/>
          <w:color w:val="000000"/>
          <w:spacing w:val="-1"/>
          <w:sz w:val="21"/>
        </w:rPr>
        <w:t>Against this background, applying the NEO for the purposes of classifying civil penalty provisions would result in</w:t>
      </w:r>
      <w:r>
        <w:rPr>
          <w:rFonts w:ascii="Calibri" w:eastAsia="Calibri" w:hAnsi="Calibri"/>
          <w:color w:val="000000"/>
          <w:spacing w:val="-1"/>
          <w:sz w:val="21"/>
        </w:rPr>
        <w:t xml:space="preserve"> the classification of provisions to one of the three tiers on the basis of the significance of the impact of breach on economic efficiency and, by reason of that, on the long term interests of consumers. It is far from clear that this is what is contempla</w:t>
      </w:r>
      <w:r>
        <w:rPr>
          <w:rFonts w:ascii="Calibri" w:eastAsia="Calibri" w:hAnsi="Calibri"/>
          <w:color w:val="000000"/>
          <w:spacing w:val="-1"/>
          <w:sz w:val="21"/>
        </w:rPr>
        <w:t xml:space="preserve">ted by the Concepts Table. The Concepts Table appears to suggest that the NEO is to be used in some way to classify civil penalty provisions to one of the three tiers on the basis of whether or not a breach would directly affect one or more of the aspects </w:t>
      </w:r>
      <w:r>
        <w:rPr>
          <w:rFonts w:ascii="Calibri" w:eastAsia="Calibri" w:hAnsi="Calibri"/>
          <w:color w:val="000000"/>
          <w:spacing w:val="-1"/>
          <w:sz w:val="21"/>
        </w:rPr>
        <w:t>of consumer interest identified in the NEO (i.e. price, quality, reliability and security of supply of electricity, and the safety, reliability and security of the national electricity system).</w:t>
      </w:r>
    </w:p>
    <w:p w:rsidR="006558EE" w:rsidRDefault="002D0ADC">
      <w:pPr>
        <w:spacing w:before="196" w:line="257" w:lineRule="exact"/>
        <w:ind w:left="72" w:right="432"/>
        <w:textAlignment w:val="baseline"/>
        <w:rPr>
          <w:rFonts w:ascii="Calibri" w:eastAsia="Calibri" w:hAnsi="Calibri"/>
          <w:color w:val="000000"/>
          <w:spacing w:val="-1"/>
          <w:sz w:val="21"/>
        </w:rPr>
      </w:pPr>
      <w:r>
        <w:rPr>
          <w:rFonts w:ascii="Calibri" w:eastAsia="Calibri" w:hAnsi="Calibri"/>
          <w:color w:val="000000"/>
          <w:spacing w:val="-1"/>
          <w:sz w:val="21"/>
        </w:rPr>
        <w:t>The Concepts Table could be simplified by identifying up front</w:t>
      </w:r>
      <w:r>
        <w:rPr>
          <w:rFonts w:ascii="Calibri" w:eastAsia="Calibri" w:hAnsi="Calibri"/>
          <w:color w:val="000000"/>
          <w:spacing w:val="-1"/>
          <w:sz w:val="21"/>
        </w:rPr>
        <w:t xml:space="preserve"> the promotion of the NEO as the objective of the NEL and NER and thus the civil penalty regime, then setting out for each ‘concept’:</w:t>
      </w:r>
    </w:p>
    <w:p w:rsidR="006558EE" w:rsidRDefault="002D0ADC">
      <w:pPr>
        <w:numPr>
          <w:ilvl w:val="0"/>
          <w:numId w:val="2"/>
        </w:numPr>
        <w:tabs>
          <w:tab w:val="clear" w:pos="360"/>
          <w:tab w:val="left" w:pos="432"/>
        </w:tabs>
        <w:spacing w:before="239" w:line="227" w:lineRule="exact"/>
        <w:ind w:left="432" w:hanging="360"/>
        <w:textAlignment w:val="baseline"/>
        <w:rPr>
          <w:rFonts w:ascii="Calibri" w:eastAsia="Calibri" w:hAnsi="Calibri"/>
          <w:color w:val="000000"/>
          <w:sz w:val="21"/>
        </w:rPr>
      </w:pPr>
      <w:r>
        <w:rPr>
          <w:rFonts w:ascii="Calibri" w:eastAsia="Calibri" w:hAnsi="Calibri"/>
          <w:color w:val="000000"/>
          <w:sz w:val="21"/>
        </w:rPr>
        <w:t>the high level summary of the kinds of provisions it is intended to capture; and</w:t>
      </w:r>
    </w:p>
    <w:p w:rsidR="006558EE" w:rsidRDefault="002D0ADC">
      <w:pPr>
        <w:numPr>
          <w:ilvl w:val="0"/>
          <w:numId w:val="2"/>
        </w:numPr>
        <w:tabs>
          <w:tab w:val="clear" w:pos="360"/>
          <w:tab w:val="left" w:pos="432"/>
        </w:tabs>
        <w:spacing w:before="129" w:line="257" w:lineRule="exact"/>
        <w:ind w:left="432" w:right="144" w:hanging="360"/>
        <w:textAlignment w:val="baseline"/>
        <w:rPr>
          <w:rFonts w:ascii="Calibri" w:eastAsia="Calibri" w:hAnsi="Calibri"/>
          <w:color w:val="000000"/>
          <w:sz w:val="21"/>
        </w:rPr>
      </w:pPr>
      <w:r>
        <w:rPr>
          <w:rFonts w:ascii="Calibri" w:eastAsia="Calibri" w:hAnsi="Calibri"/>
          <w:color w:val="000000"/>
          <w:sz w:val="21"/>
        </w:rPr>
        <w:t>the consequences of breach, or objectives</w:t>
      </w:r>
      <w:r>
        <w:rPr>
          <w:rFonts w:ascii="Calibri" w:eastAsia="Calibri" w:hAnsi="Calibri"/>
          <w:color w:val="000000"/>
          <w:sz w:val="21"/>
        </w:rPr>
        <w:t xml:space="preserve"> of achieving compliance, that are relevant to classifying a provision as falling within the ‘concept’ (and thus the associated tier).</w:t>
      </w:r>
    </w:p>
    <w:p w:rsidR="006558EE" w:rsidRDefault="002D0ADC">
      <w:pPr>
        <w:spacing w:before="124" w:line="257" w:lineRule="exact"/>
        <w:ind w:left="72" w:right="720"/>
        <w:textAlignment w:val="baseline"/>
        <w:rPr>
          <w:rFonts w:ascii="Calibri" w:eastAsia="Calibri" w:hAnsi="Calibri"/>
          <w:color w:val="000000"/>
          <w:sz w:val="21"/>
        </w:rPr>
      </w:pPr>
      <w:r>
        <w:rPr>
          <w:rFonts w:ascii="Calibri" w:eastAsia="Calibri" w:hAnsi="Calibri"/>
          <w:color w:val="000000"/>
          <w:sz w:val="21"/>
        </w:rPr>
        <w:t>Finally, we note that the reference to ‘supplementary services’ in the ‘Consumer Harm (Type 2)’ concept is unclear and co</w:t>
      </w:r>
      <w:r>
        <w:rPr>
          <w:rFonts w:ascii="Calibri" w:eastAsia="Calibri" w:hAnsi="Calibri"/>
          <w:color w:val="000000"/>
          <w:sz w:val="21"/>
        </w:rPr>
        <w:t>uld be clarified.</w:t>
      </w:r>
    </w:p>
    <w:p w:rsidR="006558EE" w:rsidRDefault="002D0ADC">
      <w:pPr>
        <w:spacing w:before="235" w:line="237" w:lineRule="exact"/>
        <w:ind w:left="72"/>
        <w:textAlignment w:val="baseline"/>
        <w:rPr>
          <w:rFonts w:ascii="Calibri" w:eastAsia="Calibri" w:hAnsi="Calibri"/>
          <w:b/>
          <w:color w:val="000000"/>
          <w:spacing w:val="-4"/>
        </w:rPr>
      </w:pPr>
      <w:r>
        <w:rPr>
          <w:rFonts w:ascii="Calibri" w:eastAsia="Calibri" w:hAnsi="Calibri"/>
          <w:b/>
          <w:color w:val="000000"/>
          <w:spacing w:val="-4"/>
        </w:rPr>
        <w:t>Draft Decision Matrix</w:t>
      </w:r>
    </w:p>
    <w:p w:rsidR="006558EE" w:rsidRDefault="002D0ADC">
      <w:pPr>
        <w:spacing w:before="104" w:line="257" w:lineRule="exact"/>
        <w:ind w:left="72" w:right="360"/>
        <w:textAlignment w:val="baseline"/>
        <w:rPr>
          <w:rFonts w:ascii="Calibri" w:eastAsia="Calibri" w:hAnsi="Calibri"/>
          <w:color w:val="000000"/>
          <w:sz w:val="21"/>
        </w:rPr>
      </w:pPr>
      <w:r>
        <w:rPr>
          <w:rFonts w:ascii="Calibri" w:eastAsia="Calibri" w:hAnsi="Calibri"/>
          <w:color w:val="000000"/>
          <w:sz w:val="21"/>
        </w:rPr>
        <w:t>The draft Decision Matrix is deeply flawed and we do not consider it should be used to allocate civil penalties to Tier 1, 2 or 3 under the new civil penalty regime.</w:t>
      </w:r>
    </w:p>
    <w:p w:rsidR="006558EE" w:rsidRDefault="002D0ADC">
      <w:pPr>
        <w:spacing w:before="191" w:line="257" w:lineRule="exact"/>
        <w:ind w:left="72" w:right="144"/>
        <w:textAlignment w:val="baseline"/>
        <w:rPr>
          <w:rFonts w:ascii="Calibri" w:eastAsia="Calibri" w:hAnsi="Calibri"/>
          <w:color w:val="000000"/>
          <w:sz w:val="21"/>
        </w:rPr>
      </w:pPr>
      <w:r>
        <w:rPr>
          <w:noProof/>
          <w:lang w:val="en-AU" w:eastAsia="en-AU"/>
        </w:rPr>
        <mc:AlternateContent>
          <mc:Choice Requires="wps">
            <w:drawing>
              <wp:anchor distT="0" distB="0" distL="0" distR="0" simplePos="0" relativeHeight="251655680" behindDoc="1" locked="0" layoutInCell="1" allowOverlap="1">
                <wp:simplePos x="0" y="0"/>
                <wp:positionH relativeFrom="page">
                  <wp:posOffset>6500495</wp:posOffset>
                </wp:positionH>
                <wp:positionV relativeFrom="page">
                  <wp:posOffset>10168890</wp:posOffset>
                </wp:positionV>
                <wp:extent cx="93345" cy="108585"/>
                <wp:effectExtent l="0" t="0" r="0" b="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345"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8EE" w:rsidRDefault="002D0ADC">
                            <w:pPr>
                              <w:spacing w:before="19" w:line="138" w:lineRule="exact"/>
                              <w:textAlignment w:val="baseline"/>
                              <w:rPr>
                                <w:rFonts w:ascii="Calibri" w:eastAsia="Calibri" w:hAnsi="Calibri"/>
                                <w:color w:val="000000"/>
                                <w:sz w:val="14"/>
                              </w:rPr>
                            </w:pPr>
                            <w:r>
                              <w:rPr>
                                <w:rFonts w:ascii="Calibri" w:eastAsia="Calibri" w:hAnsi="Calibri"/>
                                <w:color w:val="000000"/>
                                <w:sz w:val="14"/>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511.85pt;margin-top:800.7pt;width:7.35pt;height:8.55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" filled="f" stroked="f">
                <v:textbox inset="0,0,0,0">
                  <w:txbxContent>
                    <w:p w:rsidR="006558EE" w:rsidRDefault="002D0ADC">
                      <w:pPr>
                        <w:spacing w:before="19" w:line="138" w:lineRule="exact"/>
                        <w:textAlignment w:val="baseline"/>
                        <w:rPr>
                          <w:rFonts w:ascii="Calibri" w:eastAsia="Calibri" w:hAnsi="Calibri"/>
                          <w:color w:val="000000"/>
                          <w:sz w:val="14"/>
                        </w:rPr>
                      </w:pPr>
                      <w:r>
                        <w:rPr>
                          <w:rFonts w:ascii="Calibri" w:eastAsia="Calibri" w:hAnsi="Calibri"/>
                          <w:color w:val="000000"/>
                          <w:sz w:val="14"/>
                        </w:rPr>
                        <w:t>5</w:t>
                      </w:r>
                    </w:p>
                  </w:txbxContent>
                </v:textbox>
                <w10:wrap type="square" anchorx="page" anchory="page"/>
              </v:shape>
            </w:pict>
          </mc:Fallback>
        </mc:AlternateContent>
      </w:r>
      <w:r>
        <w:rPr>
          <w:rFonts w:ascii="Calibri" w:eastAsia="Calibri" w:hAnsi="Calibri"/>
          <w:color w:val="000000"/>
          <w:sz w:val="21"/>
        </w:rPr>
        <w:t>Specifically, the Decision Matrix does not contemplate a discretion to classify a civil penalty provision to a lower order tier based on the seriousness of the contravention or consequences of breach. Under the Decision Matrix, if a provision is found to f</w:t>
      </w:r>
      <w:r>
        <w:rPr>
          <w:rFonts w:ascii="Calibri" w:eastAsia="Calibri" w:hAnsi="Calibri"/>
          <w:color w:val="000000"/>
          <w:sz w:val="21"/>
        </w:rPr>
        <w:t>all within Tier 1 based on the Concepts Table, the provision is allocated to Tier 1, without any regard to the concepts set out for Tiers 2 and 3. This may lead to unintended and inappropriate outcomes, in circumstances where (as explained above) the Conce</w:t>
      </w:r>
      <w:r>
        <w:rPr>
          <w:rFonts w:ascii="Calibri" w:eastAsia="Calibri" w:hAnsi="Calibri"/>
          <w:color w:val="000000"/>
          <w:sz w:val="21"/>
        </w:rPr>
        <w:t>pts Table provides for civil penalty provisions to be Tier 1 where they have identified</w:t>
      </w:r>
    </w:p>
    <w:p w:rsidR="006558EE" w:rsidRDefault="006558EE">
      <w:pPr>
        <w:sectPr w:rsidR="006558EE">
          <w:pgSz w:w="11909" w:h="16838"/>
          <w:pgMar w:top="2240" w:right="1493" w:bottom="428" w:left="1479" w:header="720" w:footer="720" w:gutter="0"/>
          <w:cols w:space="720"/>
        </w:sectPr>
      </w:pPr>
    </w:p>
    <w:p w:rsidR="006558EE" w:rsidRDefault="002D0ADC">
      <w:pPr>
        <w:spacing w:before="8" w:line="257" w:lineRule="exact"/>
        <w:ind w:left="72" w:right="72"/>
        <w:textAlignment w:val="baseline"/>
        <w:rPr>
          <w:rFonts w:ascii="Calibri" w:eastAsia="Calibri" w:hAnsi="Calibri"/>
          <w:color w:val="000000"/>
          <w:sz w:val="21"/>
        </w:rPr>
      </w:pPr>
      <w:r>
        <w:rPr>
          <w:rFonts w:ascii="Calibri" w:eastAsia="Calibri" w:hAnsi="Calibri"/>
          <w:color w:val="000000"/>
          <w:sz w:val="21"/>
        </w:rPr>
        <w:lastRenderedPageBreak/>
        <w:t xml:space="preserve">consequences that are not characterised by any particular quality or quantum of seriousness, with provisions that are less significant and where a breach </w:t>
      </w:r>
      <w:r>
        <w:rPr>
          <w:rFonts w:ascii="Calibri" w:eastAsia="Calibri" w:hAnsi="Calibri"/>
          <w:color w:val="000000"/>
          <w:sz w:val="21"/>
        </w:rPr>
        <w:t>has less serious consequences, being prescribed as Tier 1 civil penalty provisions.</w:t>
      </w:r>
    </w:p>
    <w:p w:rsidR="006558EE" w:rsidRDefault="002D0ADC">
      <w:pPr>
        <w:spacing w:before="199" w:line="257" w:lineRule="exact"/>
        <w:ind w:left="72" w:right="72"/>
        <w:textAlignment w:val="baseline"/>
        <w:rPr>
          <w:rFonts w:ascii="Calibri" w:eastAsia="Calibri" w:hAnsi="Calibri"/>
          <w:color w:val="000000"/>
          <w:sz w:val="21"/>
        </w:rPr>
      </w:pPr>
      <w:r>
        <w:rPr>
          <w:rFonts w:ascii="Calibri" w:eastAsia="Calibri" w:hAnsi="Calibri"/>
          <w:color w:val="000000"/>
          <w:sz w:val="21"/>
        </w:rPr>
        <w:t>The Concepts Table can be applied without regard to the Decision Matrix, with the ministers determining the tier to which a civil penalty provision should be allocated base</w:t>
      </w:r>
      <w:r>
        <w:rPr>
          <w:rFonts w:ascii="Calibri" w:eastAsia="Calibri" w:hAnsi="Calibri"/>
          <w:color w:val="000000"/>
          <w:sz w:val="21"/>
        </w:rPr>
        <w:t>d on the matters set out in the Concepts Table.</w:t>
      </w:r>
    </w:p>
    <w:p w:rsidR="006558EE" w:rsidRDefault="002D0ADC">
      <w:pPr>
        <w:spacing w:before="239" w:line="217" w:lineRule="exact"/>
        <w:ind w:left="72"/>
        <w:textAlignment w:val="baseline"/>
        <w:rPr>
          <w:rFonts w:ascii="Calibri" w:eastAsia="Calibri" w:hAnsi="Calibri"/>
          <w:b/>
          <w:color w:val="000000"/>
          <w:spacing w:val="-3"/>
        </w:rPr>
      </w:pPr>
      <w:r>
        <w:rPr>
          <w:rFonts w:ascii="Calibri" w:eastAsia="Calibri" w:hAnsi="Calibri"/>
          <w:b/>
          <w:color w:val="000000"/>
          <w:spacing w:val="-3"/>
        </w:rPr>
        <w:t>Draft classification of civil penalties</w:t>
      </w:r>
    </w:p>
    <w:p w:rsidR="006558EE" w:rsidRDefault="002D0ADC">
      <w:pPr>
        <w:spacing w:before="116" w:line="257" w:lineRule="exact"/>
        <w:ind w:left="72" w:right="216"/>
        <w:textAlignment w:val="baseline"/>
        <w:rPr>
          <w:rFonts w:ascii="Calibri" w:eastAsia="Calibri" w:hAnsi="Calibri"/>
          <w:color w:val="000000"/>
          <w:sz w:val="21"/>
        </w:rPr>
      </w:pPr>
      <w:r>
        <w:rPr>
          <w:rFonts w:ascii="Calibri" w:eastAsia="Calibri" w:hAnsi="Calibri"/>
          <w:color w:val="000000"/>
          <w:sz w:val="21"/>
        </w:rPr>
        <w:t>As a result of applying the draft Concepts Table and Decision Matrix, the draft classification published by the COAG Energy Council classifies a significant number of c</w:t>
      </w:r>
      <w:r>
        <w:rPr>
          <w:rFonts w:ascii="Calibri" w:eastAsia="Calibri" w:hAnsi="Calibri"/>
          <w:color w:val="000000"/>
          <w:sz w:val="21"/>
        </w:rPr>
        <w:t xml:space="preserve">ivil penalty provisions as Tier 1 provisions where this classification is not warranted based on the seriousness of contravention, the incentives to breach the provision or the consequences of doing so. Some of the provisions where a Tier 1 classification </w:t>
      </w:r>
      <w:r>
        <w:rPr>
          <w:rFonts w:ascii="Calibri" w:eastAsia="Calibri" w:hAnsi="Calibri"/>
          <w:color w:val="000000"/>
          <w:sz w:val="21"/>
        </w:rPr>
        <w:t>is disproportionate are highlighted in the table above.</w:t>
      </w:r>
    </w:p>
    <w:p w:rsidR="006558EE" w:rsidRDefault="002D0ADC">
      <w:pPr>
        <w:spacing w:before="199" w:line="257" w:lineRule="exact"/>
        <w:ind w:left="72" w:right="216"/>
        <w:textAlignment w:val="baseline"/>
        <w:rPr>
          <w:rFonts w:ascii="Calibri" w:eastAsia="Calibri" w:hAnsi="Calibri"/>
          <w:color w:val="000000"/>
          <w:spacing w:val="-2"/>
          <w:sz w:val="21"/>
        </w:rPr>
      </w:pPr>
      <w:r>
        <w:rPr>
          <w:rFonts w:ascii="Calibri" w:eastAsia="Calibri" w:hAnsi="Calibri"/>
          <w:color w:val="000000"/>
          <w:spacing w:val="-2"/>
          <w:sz w:val="21"/>
        </w:rPr>
        <w:t xml:space="preserve">The flaws in the approach are evident in that the number of NEL/NER provisions applicable to distributors proposed to be classified as Tier 1 civil penalty provisions is almost five times higher than </w:t>
      </w:r>
      <w:r>
        <w:rPr>
          <w:rFonts w:ascii="Calibri" w:eastAsia="Calibri" w:hAnsi="Calibri"/>
          <w:color w:val="000000"/>
          <w:spacing w:val="-2"/>
          <w:sz w:val="21"/>
        </w:rPr>
        <w:t>the number of provisions that to which the SCO contemplated that it may be appropriate to apply the highest maximum penalty in its June 2018 consultation paper. The AEMC and AEMO were consulted in respect of this list, and the AER expressly agreed with the</w:t>
      </w:r>
      <w:r>
        <w:rPr>
          <w:rFonts w:ascii="Calibri" w:eastAsia="Calibri" w:hAnsi="Calibri"/>
          <w:color w:val="000000"/>
          <w:spacing w:val="-2"/>
          <w:sz w:val="21"/>
        </w:rPr>
        <w:t xml:space="preserve"> provisions identified by the SCO.</w:t>
      </w:r>
    </w:p>
    <w:p w:rsidR="006558EE" w:rsidRDefault="002D0ADC">
      <w:pPr>
        <w:spacing w:before="198" w:line="257" w:lineRule="exact"/>
        <w:ind w:left="72" w:right="216"/>
        <w:textAlignment w:val="baseline"/>
        <w:rPr>
          <w:rFonts w:ascii="Calibri" w:eastAsia="Calibri" w:hAnsi="Calibri"/>
          <w:color w:val="000000"/>
          <w:sz w:val="21"/>
        </w:rPr>
      </w:pPr>
      <w:r>
        <w:rPr>
          <w:rFonts w:ascii="Calibri" w:eastAsia="Calibri" w:hAnsi="Calibri"/>
          <w:color w:val="000000"/>
          <w:sz w:val="21"/>
        </w:rPr>
        <w:t>In addition to the issues with the draft classification emerging as a result of the matters raised above, we have identified the following issues with the draft classification proposed by the COAG Energy Council (based on the proposed Concepts Table):</w:t>
      </w:r>
    </w:p>
    <w:p w:rsidR="006558EE" w:rsidRDefault="002D0ADC">
      <w:pPr>
        <w:numPr>
          <w:ilvl w:val="0"/>
          <w:numId w:val="2"/>
        </w:numPr>
        <w:tabs>
          <w:tab w:val="clear" w:pos="360"/>
          <w:tab w:val="left" w:pos="432"/>
        </w:tabs>
        <w:spacing w:before="203" w:line="257" w:lineRule="exact"/>
        <w:ind w:left="432" w:right="216" w:hanging="360"/>
        <w:textAlignment w:val="baseline"/>
        <w:rPr>
          <w:rFonts w:ascii="Calibri" w:eastAsia="Calibri" w:hAnsi="Calibri"/>
          <w:color w:val="000000"/>
          <w:spacing w:val="-1"/>
          <w:sz w:val="21"/>
        </w:rPr>
      </w:pPr>
      <w:r>
        <w:rPr>
          <w:rFonts w:ascii="Calibri" w:eastAsia="Calibri" w:hAnsi="Calibri"/>
          <w:color w:val="000000"/>
          <w:spacing w:val="-1"/>
          <w:sz w:val="21"/>
        </w:rPr>
        <w:t>We d</w:t>
      </w:r>
      <w:r>
        <w:rPr>
          <w:rFonts w:ascii="Calibri" w:eastAsia="Calibri" w:hAnsi="Calibri"/>
          <w:color w:val="000000"/>
          <w:spacing w:val="-1"/>
          <w:sz w:val="21"/>
        </w:rPr>
        <w:t>isagree with the classification of s 28O of the NEL as a Tier 1 provision. Section 28O requires compliance with general regulatory information orders. These can apply to regulated network service providers of a specified class and are thus ‘general’ such t</w:t>
      </w:r>
      <w:r>
        <w:rPr>
          <w:rFonts w:ascii="Calibri" w:eastAsia="Calibri" w:hAnsi="Calibri"/>
          <w:color w:val="000000"/>
          <w:spacing w:val="-1"/>
          <w:sz w:val="21"/>
        </w:rPr>
        <w:t>hat, in accordance with the Concepts Table (which provides for ‘failure to comply with general reporting obligations to a regulator’ to be classified as Tier 2), section 28O should be classified as Tier 2 rather than Tier 1.</w:t>
      </w:r>
    </w:p>
    <w:p w:rsidR="006558EE" w:rsidRDefault="002D0ADC">
      <w:pPr>
        <w:numPr>
          <w:ilvl w:val="0"/>
          <w:numId w:val="2"/>
        </w:numPr>
        <w:tabs>
          <w:tab w:val="clear" w:pos="360"/>
          <w:tab w:val="left" w:pos="432"/>
        </w:tabs>
        <w:spacing w:before="129" w:line="257" w:lineRule="exact"/>
        <w:ind w:left="432" w:right="72" w:hanging="360"/>
        <w:textAlignment w:val="baseline"/>
        <w:rPr>
          <w:rFonts w:ascii="Calibri" w:eastAsia="Calibri" w:hAnsi="Calibri"/>
          <w:color w:val="000000"/>
          <w:sz w:val="21"/>
        </w:rPr>
      </w:pPr>
      <w:r>
        <w:rPr>
          <w:rFonts w:ascii="Calibri" w:eastAsia="Calibri" w:hAnsi="Calibri"/>
          <w:color w:val="000000"/>
          <w:sz w:val="21"/>
        </w:rPr>
        <w:t>There are a number of civil penalty provisions applying to us that do not appear to have been included in the draft classification. These are set out in Attachment A to this submission. We assume this is because all of these provisions are intended to be c</w:t>
      </w:r>
      <w:r>
        <w:rPr>
          <w:rFonts w:ascii="Calibri" w:eastAsia="Calibri" w:hAnsi="Calibri"/>
          <w:color w:val="000000"/>
          <w:sz w:val="21"/>
        </w:rPr>
        <w:t>lassified as Tier 3. If this assumption is incorrect, we ask that COAG Energy Council consult on the proposed classification of any civil penalty provisions where the classification is proposed to be a tier other than Tier 3, prior to the Regulations being</w:t>
      </w:r>
      <w:r>
        <w:rPr>
          <w:rFonts w:ascii="Calibri" w:eastAsia="Calibri" w:hAnsi="Calibri"/>
          <w:color w:val="000000"/>
          <w:sz w:val="21"/>
        </w:rPr>
        <w:t xml:space="preserve"> amended.</w:t>
      </w:r>
    </w:p>
    <w:p w:rsidR="006558EE" w:rsidRDefault="002D0ADC">
      <w:pPr>
        <w:numPr>
          <w:ilvl w:val="0"/>
          <w:numId w:val="2"/>
        </w:numPr>
        <w:tabs>
          <w:tab w:val="clear" w:pos="360"/>
          <w:tab w:val="left" w:pos="432"/>
        </w:tabs>
        <w:spacing w:before="128" w:line="257" w:lineRule="exact"/>
        <w:ind w:left="432" w:right="216" w:hanging="360"/>
        <w:textAlignment w:val="baseline"/>
        <w:rPr>
          <w:rFonts w:ascii="Calibri" w:eastAsia="Calibri" w:hAnsi="Calibri"/>
          <w:color w:val="000000"/>
          <w:sz w:val="21"/>
        </w:rPr>
      </w:pPr>
      <w:r>
        <w:rPr>
          <w:rFonts w:ascii="Calibri" w:eastAsia="Calibri" w:hAnsi="Calibri"/>
          <w:color w:val="000000"/>
          <w:sz w:val="21"/>
        </w:rPr>
        <w:t>There are a number of NER provisions in respect of which a rule change determination has been made by the AEMC, but the new rule is not yet in force (for example, rule changes resulting from the National Electricity Amendment (Five Minute Settlem</w:t>
      </w:r>
      <w:r>
        <w:rPr>
          <w:rFonts w:ascii="Calibri" w:eastAsia="Calibri" w:hAnsi="Calibri"/>
          <w:color w:val="000000"/>
          <w:sz w:val="21"/>
        </w:rPr>
        <w:t>ent) Rule 2017 No. 15). It would be useful if the COAG Energy Council could provide an indication of whether:</w:t>
      </w:r>
    </w:p>
    <w:p w:rsidR="006558EE" w:rsidRDefault="002D0ADC">
      <w:pPr>
        <w:tabs>
          <w:tab w:val="left" w:pos="1008"/>
        </w:tabs>
        <w:spacing w:before="120" w:line="257" w:lineRule="exact"/>
        <w:ind w:left="1008" w:right="216" w:hanging="360"/>
        <w:textAlignment w:val="baseline"/>
        <w:rPr>
          <w:rFonts w:eastAsia="Times New Roman"/>
          <w:color w:val="000000"/>
          <w:w w:val="55"/>
          <w:sz w:val="30"/>
        </w:rPr>
      </w:pPr>
      <w:r>
        <w:rPr>
          <w:rFonts w:eastAsia="Times New Roman"/>
          <w:color w:val="000000"/>
          <w:w w:val="55"/>
          <w:sz w:val="30"/>
        </w:rPr>
        <w:t>–</w:t>
      </w:r>
      <w:r>
        <w:rPr>
          <w:rFonts w:eastAsia="Times New Roman"/>
          <w:color w:val="000000"/>
          <w:w w:val="55"/>
          <w:sz w:val="30"/>
        </w:rPr>
        <w:tab/>
      </w:r>
      <w:r>
        <w:rPr>
          <w:rFonts w:ascii="Calibri" w:eastAsia="Calibri" w:hAnsi="Calibri"/>
          <w:color w:val="000000"/>
          <w:sz w:val="21"/>
        </w:rPr>
        <w:t>any resultant new obligations will be civil penalty provisions and if so, provide an indication of the proposed classification; and/or</w:t>
      </w:r>
    </w:p>
    <w:p w:rsidR="006558EE" w:rsidRDefault="002D0ADC">
      <w:pPr>
        <w:tabs>
          <w:tab w:val="left" w:pos="1008"/>
        </w:tabs>
        <w:spacing w:before="239" w:line="257" w:lineRule="exact"/>
        <w:ind w:left="648"/>
        <w:textAlignment w:val="baseline"/>
        <w:rPr>
          <w:rFonts w:eastAsia="Times New Roman"/>
          <w:color w:val="000000"/>
          <w:w w:val="55"/>
          <w:sz w:val="30"/>
        </w:rPr>
      </w:pPr>
      <w:r>
        <w:rPr>
          <w:rFonts w:eastAsia="Times New Roman"/>
          <w:color w:val="000000"/>
          <w:w w:val="55"/>
          <w:sz w:val="30"/>
        </w:rPr>
        <w:t>–</w:t>
      </w:r>
      <w:r>
        <w:rPr>
          <w:rFonts w:eastAsia="Times New Roman"/>
          <w:color w:val="000000"/>
          <w:w w:val="55"/>
          <w:sz w:val="30"/>
        </w:rPr>
        <w:tab/>
      </w:r>
      <w:r>
        <w:rPr>
          <w:rFonts w:ascii="Calibri" w:eastAsia="Calibri" w:hAnsi="Calibri"/>
          <w:color w:val="000000"/>
          <w:sz w:val="21"/>
        </w:rPr>
        <w:t xml:space="preserve">any of </w:t>
      </w:r>
      <w:r>
        <w:rPr>
          <w:rFonts w:ascii="Calibri" w:eastAsia="Calibri" w:hAnsi="Calibri"/>
          <w:color w:val="000000"/>
          <w:sz w:val="21"/>
        </w:rPr>
        <w:t>the amended obligations will (if they are not currently) become civil penalty</w:t>
      </w:r>
    </w:p>
    <w:p w:rsidR="006558EE" w:rsidRDefault="002D0ADC">
      <w:pPr>
        <w:spacing w:before="4" w:line="215" w:lineRule="exact"/>
        <w:ind w:left="72"/>
        <w:jc w:val="center"/>
        <w:textAlignment w:val="baseline"/>
        <w:rPr>
          <w:rFonts w:ascii="Calibri" w:eastAsia="Calibri" w:hAnsi="Calibri"/>
          <w:color w:val="000000"/>
          <w:sz w:val="21"/>
        </w:rPr>
      </w:pPr>
      <w:r>
        <w:rPr>
          <w:rFonts w:ascii="Calibri" w:eastAsia="Calibri" w:hAnsi="Calibri"/>
          <w:color w:val="000000"/>
          <w:sz w:val="21"/>
        </w:rPr>
        <w:t>provisions, and/or be classified to a different tier as a result of the amendments,</w:t>
      </w:r>
    </w:p>
    <w:p w:rsidR="006558EE" w:rsidRDefault="002D0ADC">
      <w:pPr>
        <w:spacing w:before="197" w:line="257" w:lineRule="exact"/>
        <w:ind w:left="648" w:right="648"/>
        <w:textAlignment w:val="baseline"/>
        <w:rPr>
          <w:rFonts w:ascii="Calibri" w:eastAsia="Calibri" w:hAnsi="Calibri"/>
          <w:color w:val="000000"/>
          <w:sz w:val="21"/>
        </w:rPr>
      </w:pPr>
      <w:r>
        <w:rPr>
          <w:noProof/>
          <w:lang w:val="en-AU" w:eastAsia="en-AU"/>
        </w:rPr>
        <mc:AlternateContent>
          <mc:Choice Requires="wps">
            <w:drawing>
              <wp:anchor distT="0" distB="0" distL="0" distR="0" simplePos="0" relativeHeight="251656704" behindDoc="1" locked="0" layoutInCell="1" allowOverlap="1">
                <wp:simplePos x="0" y="0"/>
                <wp:positionH relativeFrom="page">
                  <wp:posOffset>6498590</wp:posOffset>
                </wp:positionH>
                <wp:positionV relativeFrom="page">
                  <wp:posOffset>10168890</wp:posOffset>
                </wp:positionV>
                <wp:extent cx="100330" cy="108585"/>
                <wp:effectExtent l="0" t="0" r="0" b="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8EE" w:rsidRDefault="002D0ADC">
                            <w:pPr>
                              <w:spacing w:before="19" w:line="138" w:lineRule="exact"/>
                              <w:textAlignment w:val="baseline"/>
                              <w:rPr>
                                <w:rFonts w:ascii="Calibri" w:eastAsia="Calibri" w:hAnsi="Calibri"/>
                                <w:color w:val="000000"/>
                                <w:sz w:val="14"/>
                              </w:rPr>
                            </w:pPr>
                            <w:r>
                              <w:rPr>
                                <w:rFonts w:ascii="Calibri" w:eastAsia="Calibri" w:hAnsi="Calibri"/>
                                <w:color w:val="000000"/>
                                <w:sz w:val="14"/>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511.7pt;margin-top:800.7pt;width:7.9pt;height:8.55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RxirgIAAK8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" filled="f" stroked="f">
                <v:textbox inset="0,0,0,0">
                  <w:txbxContent>
                    <w:p w:rsidR="006558EE" w:rsidRDefault="002D0ADC">
                      <w:pPr>
                        <w:spacing w:before="19" w:line="138" w:lineRule="exact"/>
                        <w:textAlignment w:val="baseline"/>
                        <w:rPr>
                          <w:rFonts w:ascii="Calibri" w:eastAsia="Calibri" w:hAnsi="Calibri"/>
                          <w:color w:val="000000"/>
                          <w:sz w:val="14"/>
                        </w:rPr>
                      </w:pPr>
                      <w:r>
                        <w:rPr>
                          <w:rFonts w:ascii="Calibri" w:eastAsia="Calibri" w:hAnsi="Calibri"/>
                          <w:color w:val="000000"/>
                          <w:sz w:val="14"/>
                        </w:rPr>
                        <w:t>6</w:t>
                      </w:r>
                    </w:p>
                  </w:txbxContent>
                </v:textbox>
                <w10:wrap type="square" anchorx="page" anchory="page"/>
              </v:shape>
            </w:pict>
          </mc:Fallback>
        </mc:AlternateContent>
      </w:r>
      <w:r>
        <w:rPr>
          <w:rFonts w:ascii="Calibri" w:eastAsia="Calibri" w:hAnsi="Calibri"/>
          <w:color w:val="000000"/>
          <w:sz w:val="21"/>
        </w:rPr>
        <w:t>and provide an opportunity to comment on that proposed classification in advance of the Regulations being amended.</w:t>
      </w:r>
    </w:p>
    <w:p w:rsidR="006558EE" w:rsidRDefault="006558EE">
      <w:pPr>
        <w:sectPr w:rsidR="006558EE">
          <w:pgSz w:w="11909" w:h="16838"/>
          <w:pgMar w:top="2240" w:right="1486" w:bottom="428" w:left="1486" w:header="720" w:footer="720" w:gutter="0"/>
          <w:cols w:space="720"/>
        </w:sectPr>
      </w:pPr>
    </w:p>
    <w:p w:rsidR="006558EE" w:rsidRDefault="002D0ADC">
      <w:pPr>
        <w:spacing w:line="252" w:lineRule="exact"/>
        <w:ind w:left="216" w:right="144"/>
        <w:textAlignment w:val="baseline"/>
        <w:rPr>
          <w:rFonts w:ascii="Calibri" w:eastAsia="Calibri" w:hAnsi="Calibri"/>
          <w:color w:val="000000"/>
          <w:sz w:val="21"/>
        </w:rPr>
      </w:pPr>
      <w:r>
        <w:rPr>
          <w:noProof/>
          <w:lang w:val="en-AU" w:eastAsia="en-AU"/>
        </w:rPr>
        <w:lastRenderedPageBreak/>
        <mc:AlternateContent>
          <mc:Choice Requires="wps">
            <w:drawing>
              <wp:anchor distT="0" distB="0" distL="114300" distR="114300" simplePos="0" relativeHeight="251660800" behindDoc="0" locked="0" layoutInCell="1" allowOverlap="1">
                <wp:simplePos x="0" y="0"/>
                <wp:positionH relativeFrom="page">
                  <wp:posOffset>990600</wp:posOffset>
                </wp:positionH>
                <wp:positionV relativeFrom="page">
                  <wp:posOffset>2182495</wp:posOffset>
                </wp:positionV>
                <wp:extent cx="1637665" cy="0"/>
                <wp:effectExtent l="0" t="0" r="0" b="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7665" cy="0"/>
                        </a:xfrm>
                        <a:prstGeom prst="line">
                          <a:avLst/>
                        </a:prstGeom>
                        <a:noFill/>
                        <a:ln w="3175">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0E899C" id="Line 3"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8pt,171.85pt" to="206.95pt,1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" strokecolor="silver" strokeweight=".25pt">
                <w10:wrap anchorx="page" anchory="page"/>
              </v:line>
            </w:pict>
          </mc:Fallback>
        </mc:AlternateContent>
      </w:r>
      <w:r>
        <w:rPr>
          <w:rFonts w:ascii="Calibri" w:eastAsia="Calibri" w:hAnsi="Calibri"/>
          <w:color w:val="000000"/>
          <w:sz w:val="21"/>
        </w:rPr>
        <w:t>If you have any queries regarding the above, or would be assisted by any further information, please contact Elizabeth Carlile</w:t>
      </w:r>
      <w:r>
        <w:rPr>
          <w:rFonts w:ascii="Calibri" w:eastAsia="Calibri" w:hAnsi="Calibri"/>
          <w:color w:val="000000"/>
          <w:sz w:val="21"/>
        </w:rPr>
        <w:t xml:space="preserve"> on 0419 878 852 or</w:t>
      </w:r>
      <w:hyperlink r:id="rId10">
        <w:r>
          <w:rPr>
            <w:rFonts w:ascii="Calibri" w:eastAsia="Calibri" w:hAnsi="Calibri"/>
            <w:color w:val="0000FF"/>
            <w:sz w:val="21"/>
            <w:u w:val="single"/>
          </w:rPr>
          <w:t xml:space="preserve"> ecarlile@powercor.com.au.</w:t>
        </w:r>
      </w:hyperlink>
      <w:r>
        <w:rPr>
          <w:rFonts w:ascii="Calibri" w:eastAsia="Calibri" w:hAnsi="Calibri"/>
          <w:color w:val="000000"/>
          <w:sz w:val="21"/>
        </w:rPr>
        <w:t xml:space="preserve"> </w:t>
      </w:r>
    </w:p>
    <w:p w:rsidR="006558EE" w:rsidRDefault="002D0ADC">
      <w:pPr>
        <w:spacing w:before="240" w:after="206" w:line="216" w:lineRule="exact"/>
        <w:ind w:left="216"/>
        <w:textAlignment w:val="baseline"/>
        <w:rPr>
          <w:rFonts w:ascii="Calibri" w:eastAsia="Calibri" w:hAnsi="Calibri"/>
          <w:color w:val="000000"/>
          <w:sz w:val="21"/>
        </w:rPr>
      </w:pPr>
      <w:r>
        <w:rPr>
          <w:rFonts w:ascii="Calibri" w:eastAsia="Calibri" w:hAnsi="Calibri"/>
          <w:color w:val="000000"/>
          <w:sz w:val="21"/>
        </w:rPr>
        <w:t>Yours sincerely</w:t>
      </w:r>
    </w:p>
    <w:p w:rsidR="006558EE" w:rsidRDefault="002D0ADC">
      <w:pPr>
        <w:spacing w:before="133" w:after="367"/>
        <w:ind w:left="175" w:right="6314"/>
        <w:textAlignment w:val="baseline"/>
      </w:pPr>
      <w:r>
        <w:rPr>
          <w:noProof/>
          <w:lang w:val="en-AU" w:eastAsia="en-AU"/>
        </w:rPr>
        <w:drawing>
          <wp:inline distT="0" distB="0" distL="0" distR="0">
            <wp:extent cx="1554480" cy="44513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11"/>
                    <a:stretch>
                      <a:fillRect/>
                    </a:stretch>
                  </pic:blipFill>
                  <pic:spPr>
                    <a:xfrm>
                      <a:off x="0" y="0"/>
                      <a:ext cx="1554480" cy="445135"/>
                    </a:xfrm>
                    <a:prstGeom prst="rect">
                      <a:avLst/>
                    </a:prstGeom>
                  </pic:spPr>
                </pic:pic>
              </a:graphicData>
            </a:graphic>
          </wp:inline>
        </w:drawing>
      </w:r>
    </w:p>
    <w:p w:rsidR="006558EE" w:rsidRDefault="002D0ADC">
      <w:pPr>
        <w:spacing w:before="23" w:line="214" w:lineRule="exact"/>
        <w:ind w:left="216"/>
        <w:textAlignment w:val="baseline"/>
        <w:rPr>
          <w:rFonts w:ascii="Calibri" w:eastAsia="Calibri" w:hAnsi="Calibri"/>
          <w:color w:val="000000"/>
          <w:spacing w:val="-1"/>
          <w:sz w:val="21"/>
        </w:rPr>
      </w:pPr>
      <w:r>
        <w:rPr>
          <w:rFonts w:ascii="Calibri" w:eastAsia="Calibri" w:hAnsi="Calibri"/>
          <w:color w:val="000000"/>
          <w:spacing w:val="-1"/>
          <w:sz w:val="21"/>
        </w:rPr>
        <w:t>Brent Cleeve</w:t>
      </w:r>
    </w:p>
    <w:p w:rsidR="006558EE" w:rsidRDefault="002D0ADC">
      <w:pPr>
        <w:spacing w:before="39" w:line="216" w:lineRule="exact"/>
        <w:ind w:left="216"/>
        <w:textAlignment w:val="baseline"/>
        <w:rPr>
          <w:rFonts w:ascii="Calibri" w:eastAsia="Calibri" w:hAnsi="Calibri"/>
          <w:b/>
          <w:color w:val="000000"/>
          <w:spacing w:val="-5"/>
        </w:rPr>
      </w:pPr>
      <w:r>
        <w:rPr>
          <w:rFonts w:ascii="Calibri" w:eastAsia="Calibri" w:hAnsi="Calibri"/>
          <w:b/>
          <w:color w:val="000000"/>
          <w:spacing w:val="-5"/>
        </w:rPr>
        <w:t>Head of Regulation</w:t>
      </w:r>
    </w:p>
    <w:p w:rsidR="006558EE" w:rsidRDefault="002D0ADC">
      <w:pPr>
        <w:spacing w:before="43" w:line="217" w:lineRule="exact"/>
        <w:ind w:left="216"/>
        <w:textAlignment w:val="baseline"/>
        <w:rPr>
          <w:rFonts w:ascii="Calibri" w:eastAsia="Calibri" w:hAnsi="Calibri"/>
          <w:b/>
          <w:color w:val="000000"/>
          <w:spacing w:val="-4"/>
        </w:rPr>
      </w:pPr>
      <w:r>
        <w:rPr>
          <w:noProof/>
          <w:lang w:val="en-AU" w:eastAsia="en-AU"/>
        </w:rPr>
        <mc:AlternateContent>
          <mc:Choice Requires="wps">
            <w:drawing>
              <wp:anchor distT="0" distB="0" distL="0" distR="0" simplePos="0" relativeHeight="251657728" behindDoc="1" locked="0" layoutInCell="1" allowOverlap="1">
                <wp:simplePos x="0" y="0"/>
                <wp:positionH relativeFrom="page">
                  <wp:posOffset>6498590</wp:posOffset>
                </wp:positionH>
                <wp:positionV relativeFrom="page">
                  <wp:posOffset>10168890</wp:posOffset>
                </wp:positionV>
                <wp:extent cx="100330" cy="10858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330" cy="108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8EE" w:rsidRDefault="002D0ADC">
                            <w:pPr>
                              <w:spacing w:before="19" w:line="138" w:lineRule="exact"/>
                              <w:textAlignment w:val="baseline"/>
                              <w:rPr>
                                <w:rFonts w:ascii="Calibri" w:eastAsia="Calibri" w:hAnsi="Calibri"/>
                                <w:color w:val="000000"/>
                                <w:sz w:val="14"/>
                              </w:rPr>
                            </w:pPr>
                            <w:r>
                              <w:rPr>
                                <w:rFonts w:ascii="Calibri" w:eastAsia="Calibri" w:hAnsi="Calibri"/>
                                <w:color w:val="000000"/>
                                <w:sz w:val="14"/>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9" type="#_x0000_t202" style="position:absolute;left:0;text-align:left;margin-left:511.7pt;margin-top:800.7pt;width:7.9pt;height:8.5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" filled="f" stroked="f">
                <v:textbox inset="0,0,0,0">
                  <w:txbxContent>
                    <w:p w:rsidR="006558EE" w:rsidRDefault="002D0ADC">
                      <w:pPr>
                        <w:spacing w:before="19" w:line="138" w:lineRule="exact"/>
                        <w:textAlignment w:val="baseline"/>
                        <w:rPr>
                          <w:rFonts w:ascii="Calibri" w:eastAsia="Calibri" w:hAnsi="Calibri"/>
                          <w:color w:val="000000"/>
                          <w:sz w:val="14"/>
                        </w:rPr>
                      </w:pPr>
                      <w:r>
                        <w:rPr>
                          <w:rFonts w:ascii="Calibri" w:eastAsia="Calibri" w:hAnsi="Calibri"/>
                          <w:color w:val="000000"/>
                          <w:sz w:val="14"/>
                        </w:rPr>
                        <w:t>7</w:t>
                      </w:r>
                    </w:p>
                  </w:txbxContent>
                </v:textbox>
                <w10:wrap type="square" anchorx="page" anchory="page"/>
              </v:shape>
            </w:pict>
          </mc:Fallback>
        </mc:AlternateContent>
      </w:r>
      <w:r>
        <w:rPr>
          <w:rFonts w:ascii="Calibri" w:eastAsia="Calibri" w:hAnsi="Calibri"/>
          <w:b/>
          <w:color w:val="000000"/>
          <w:spacing w:val="-4"/>
        </w:rPr>
        <w:t>CitiPower, Powercor and United Energy</w:t>
      </w:r>
    </w:p>
    <w:p w:rsidR="006558EE" w:rsidRDefault="006558EE">
      <w:pPr>
        <w:sectPr w:rsidR="006558EE">
          <w:pgSz w:w="11909" w:h="16838"/>
          <w:pgMar w:top="2260" w:right="1616" w:bottom="428" w:left="1356" w:header="720" w:footer="720" w:gutter="0"/>
          <w:cols w:space="720"/>
        </w:sectPr>
      </w:pPr>
    </w:p>
    <w:p w:rsidR="006558EE" w:rsidRDefault="002D0ADC">
      <w:pPr>
        <w:spacing w:before="49" w:line="216" w:lineRule="exact"/>
        <w:jc w:val="center"/>
        <w:textAlignment w:val="baseline"/>
        <w:rPr>
          <w:rFonts w:ascii="Calibri" w:eastAsia="Calibri" w:hAnsi="Calibri"/>
          <w:b/>
          <w:color w:val="000000"/>
          <w:spacing w:val="-4"/>
        </w:rPr>
      </w:pPr>
      <w:r>
        <w:rPr>
          <w:rFonts w:ascii="Calibri" w:eastAsia="Calibri" w:hAnsi="Calibri"/>
          <w:b/>
          <w:color w:val="000000"/>
          <w:spacing w:val="-4"/>
        </w:rPr>
        <w:lastRenderedPageBreak/>
        <w:t>Attachment A:</w:t>
      </w:r>
    </w:p>
    <w:p w:rsidR="006558EE" w:rsidRDefault="002D0ADC">
      <w:pPr>
        <w:spacing w:before="43" w:after="201" w:line="217" w:lineRule="exact"/>
        <w:jc w:val="center"/>
        <w:textAlignment w:val="baseline"/>
        <w:rPr>
          <w:rFonts w:ascii="Calibri" w:eastAsia="Calibri" w:hAnsi="Calibri"/>
          <w:b/>
          <w:color w:val="000000"/>
          <w:spacing w:val="-3"/>
        </w:rPr>
      </w:pPr>
      <w:r>
        <w:rPr>
          <w:rFonts w:ascii="Calibri" w:eastAsia="Calibri" w:hAnsi="Calibri"/>
          <w:b/>
          <w:color w:val="000000"/>
          <w:spacing w:val="-3"/>
        </w:rPr>
        <w:t>Civil penalty provisions applying to distributors that do not appear in the draft classification</w:t>
      </w:r>
    </w:p>
    <w:tbl>
      <w:tblPr>
        <w:tblW w:w="0" w:type="auto"/>
        <w:tblInd w:w="14" w:type="dxa"/>
        <w:tblLayout w:type="fixed"/>
        <w:tblCellMar>
          <w:left w:w="0" w:type="dxa"/>
          <w:right w:w="0" w:type="dxa"/>
        </w:tblCellMar>
        <w:tblLook w:val="0000" w:firstRow="0" w:lastRow="0" w:firstColumn="0" w:lastColumn="0" w:noHBand="0" w:noVBand="0"/>
      </w:tblPr>
      <w:tblGrid>
        <w:gridCol w:w="437"/>
        <w:gridCol w:w="2683"/>
        <w:gridCol w:w="5899"/>
      </w:tblGrid>
      <w:tr w:rsidR="006558EE">
        <w:tblPrEx>
          <w:tblCellMar>
            <w:top w:w="0" w:type="dxa"/>
            <w:bottom w:w="0" w:type="dxa"/>
          </w:tblCellMar>
        </w:tblPrEx>
        <w:trPr>
          <w:trHeight w:hRule="exact" w:val="389"/>
        </w:trPr>
        <w:tc>
          <w:tcPr>
            <w:tcW w:w="437" w:type="dxa"/>
            <w:tcBorders>
              <w:top w:val="single" w:sz="5" w:space="0" w:color="000000"/>
              <w:left w:val="single" w:sz="5" w:space="0" w:color="000000"/>
              <w:bottom w:val="single" w:sz="5" w:space="0" w:color="000000"/>
              <w:right w:val="single" w:sz="5" w:space="0" w:color="000000"/>
            </w:tcBorders>
          </w:tcPr>
          <w:p w:rsidR="006558EE" w:rsidRDefault="002D0ADC">
            <w:pPr>
              <w:textAlignment w:val="baseline"/>
              <w:rPr>
                <w:rFonts w:ascii="Calibri" w:eastAsia="Calibri" w:hAnsi="Calibri"/>
                <w:color w:val="000000"/>
                <w:sz w:val="24"/>
              </w:rPr>
            </w:pPr>
            <w:r>
              <w:rPr>
                <w:rFonts w:ascii="Calibri" w:eastAsia="Calibri" w:hAnsi="Calibri"/>
                <w:color w:val="000000"/>
                <w:sz w:val="24"/>
              </w:rPr>
              <w:t xml:space="preserve"> </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91" w:after="81" w:line="216" w:lineRule="exact"/>
              <w:ind w:left="115"/>
              <w:textAlignment w:val="baseline"/>
              <w:rPr>
                <w:rFonts w:ascii="Calibri" w:eastAsia="Calibri" w:hAnsi="Calibri"/>
                <w:b/>
                <w:color w:val="000000"/>
              </w:rPr>
            </w:pPr>
            <w:r>
              <w:rPr>
                <w:rFonts w:ascii="Calibri" w:eastAsia="Calibri" w:hAnsi="Calibri"/>
                <w:b/>
                <w:color w:val="000000"/>
              </w:rPr>
              <w:t>Provision</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91" w:after="81" w:line="216" w:lineRule="exact"/>
              <w:ind w:left="110"/>
              <w:textAlignment w:val="baseline"/>
              <w:rPr>
                <w:rFonts w:ascii="Calibri" w:eastAsia="Calibri" w:hAnsi="Calibri"/>
                <w:b/>
                <w:color w:val="000000"/>
              </w:rPr>
            </w:pPr>
            <w:r>
              <w:rPr>
                <w:rFonts w:ascii="Calibri" w:eastAsia="Calibri" w:hAnsi="Calibri"/>
                <w:b/>
                <w:color w:val="000000"/>
              </w:rPr>
              <w:t>Obligation</w:t>
            </w:r>
          </w:p>
        </w:tc>
      </w:tr>
      <w:tr w:rsidR="006558EE">
        <w:tblPrEx>
          <w:tblCellMar>
            <w:top w:w="0" w:type="dxa"/>
            <w:bottom w:w="0" w:type="dxa"/>
          </w:tblCellMar>
        </w:tblPrEx>
        <w:trPr>
          <w:trHeight w:hRule="exact" w:val="389"/>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7" w:line="214" w:lineRule="exact"/>
              <w:jc w:val="center"/>
              <w:textAlignment w:val="baseline"/>
              <w:rPr>
                <w:rFonts w:ascii="Calibri" w:eastAsia="Calibri" w:hAnsi="Calibri"/>
                <w:color w:val="000000"/>
                <w:sz w:val="21"/>
              </w:rPr>
            </w:pPr>
            <w:r>
              <w:rPr>
                <w:rFonts w:ascii="Calibri" w:eastAsia="Calibri" w:hAnsi="Calibri"/>
                <w:color w:val="000000"/>
                <w:sz w:val="21"/>
              </w:rPr>
              <w:t>1</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6" w:line="215" w:lineRule="exact"/>
              <w:ind w:left="115"/>
              <w:textAlignment w:val="baseline"/>
              <w:rPr>
                <w:rFonts w:ascii="Calibri" w:eastAsia="Calibri" w:hAnsi="Calibri"/>
                <w:color w:val="000000"/>
                <w:sz w:val="21"/>
              </w:rPr>
            </w:pPr>
            <w:r>
              <w:rPr>
                <w:rFonts w:ascii="Calibri" w:eastAsia="Calibri" w:hAnsi="Calibri"/>
                <w:color w:val="000000"/>
                <w:sz w:val="21"/>
              </w:rPr>
              <w:t>NER, cl 3.6.3 (b1)</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6" w:line="215" w:lineRule="exact"/>
              <w:ind w:left="110"/>
              <w:textAlignment w:val="baseline"/>
              <w:rPr>
                <w:rFonts w:ascii="Calibri" w:eastAsia="Calibri" w:hAnsi="Calibri"/>
                <w:color w:val="000000"/>
                <w:sz w:val="21"/>
              </w:rPr>
            </w:pPr>
            <w:r>
              <w:rPr>
                <w:rFonts w:ascii="Calibri" w:eastAsia="Calibri" w:hAnsi="Calibri"/>
                <w:color w:val="000000"/>
                <w:sz w:val="21"/>
              </w:rPr>
              <w:t>Calculation of site-specific distribution loss factor</w:t>
            </w:r>
          </w:p>
        </w:tc>
      </w:tr>
      <w:tr w:rsidR="006558EE">
        <w:tblPrEx>
          <w:tblCellMar>
            <w:top w:w="0" w:type="dxa"/>
            <w:bottom w:w="0" w:type="dxa"/>
          </w:tblCellMar>
        </w:tblPrEx>
        <w:trPr>
          <w:trHeight w:hRule="exact" w:val="384"/>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3" w:line="214" w:lineRule="exact"/>
              <w:jc w:val="center"/>
              <w:textAlignment w:val="baseline"/>
              <w:rPr>
                <w:rFonts w:ascii="Calibri" w:eastAsia="Calibri" w:hAnsi="Calibri"/>
                <w:color w:val="000000"/>
                <w:sz w:val="21"/>
              </w:rPr>
            </w:pPr>
            <w:r>
              <w:rPr>
                <w:rFonts w:ascii="Calibri" w:eastAsia="Calibri" w:hAnsi="Calibri"/>
                <w:color w:val="000000"/>
                <w:sz w:val="21"/>
              </w:rPr>
              <w:t>2</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1" w:line="216" w:lineRule="exact"/>
              <w:ind w:left="115"/>
              <w:textAlignment w:val="baseline"/>
              <w:rPr>
                <w:rFonts w:ascii="Calibri" w:eastAsia="Calibri" w:hAnsi="Calibri"/>
                <w:color w:val="000000"/>
                <w:sz w:val="21"/>
              </w:rPr>
            </w:pPr>
            <w:r>
              <w:rPr>
                <w:rFonts w:ascii="Calibri" w:eastAsia="Calibri" w:hAnsi="Calibri"/>
                <w:color w:val="000000"/>
                <w:sz w:val="21"/>
              </w:rPr>
              <w:t>NER, cl 4.3.3 (c)</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1" w:line="216" w:lineRule="exact"/>
              <w:ind w:left="110"/>
              <w:textAlignment w:val="baseline"/>
              <w:rPr>
                <w:rFonts w:ascii="Calibri" w:eastAsia="Calibri" w:hAnsi="Calibri"/>
                <w:color w:val="000000"/>
                <w:sz w:val="21"/>
              </w:rPr>
            </w:pPr>
            <w:r>
              <w:rPr>
                <w:rFonts w:ascii="Calibri" w:eastAsia="Calibri" w:hAnsi="Calibri"/>
                <w:color w:val="000000"/>
                <w:sz w:val="21"/>
              </w:rPr>
              <w:t>Communications to AEMO agents, delegates, service providers</w:t>
            </w:r>
          </w:p>
        </w:tc>
      </w:tr>
      <w:tr w:rsidR="006558EE">
        <w:tblPrEx>
          <w:tblCellMar>
            <w:top w:w="0" w:type="dxa"/>
            <w:bottom w:w="0" w:type="dxa"/>
          </w:tblCellMar>
        </w:tblPrEx>
        <w:trPr>
          <w:trHeight w:hRule="exact" w:val="388"/>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8" w:line="214" w:lineRule="exact"/>
              <w:jc w:val="center"/>
              <w:textAlignment w:val="baseline"/>
              <w:rPr>
                <w:rFonts w:ascii="Calibri" w:eastAsia="Calibri" w:hAnsi="Calibri"/>
                <w:color w:val="000000"/>
                <w:sz w:val="21"/>
              </w:rPr>
            </w:pPr>
            <w:r>
              <w:rPr>
                <w:rFonts w:ascii="Calibri" w:eastAsia="Calibri" w:hAnsi="Calibri"/>
                <w:color w:val="000000"/>
                <w:sz w:val="21"/>
              </w:rPr>
              <w:t>3</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6" w:line="216" w:lineRule="exact"/>
              <w:ind w:left="115"/>
              <w:textAlignment w:val="baseline"/>
              <w:rPr>
                <w:rFonts w:ascii="Calibri" w:eastAsia="Calibri" w:hAnsi="Calibri"/>
                <w:color w:val="000000"/>
                <w:sz w:val="21"/>
              </w:rPr>
            </w:pPr>
            <w:r>
              <w:rPr>
                <w:rFonts w:ascii="Calibri" w:eastAsia="Calibri" w:hAnsi="Calibri"/>
                <w:color w:val="000000"/>
                <w:sz w:val="21"/>
              </w:rPr>
              <w:t>NER, cl 5.13.1 (a)(2)</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6" w:line="216" w:lineRule="exact"/>
              <w:ind w:left="110"/>
              <w:textAlignment w:val="baseline"/>
              <w:rPr>
                <w:rFonts w:ascii="Calibri" w:eastAsia="Calibri" w:hAnsi="Calibri"/>
                <w:color w:val="000000"/>
                <w:sz w:val="21"/>
              </w:rPr>
            </w:pPr>
            <w:r>
              <w:rPr>
                <w:rFonts w:ascii="Calibri" w:eastAsia="Calibri" w:hAnsi="Calibri"/>
                <w:color w:val="000000"/>
                <w:sz w:val="21"/>
              </w:rPr>
              <w:t>Distribution annual planning review - scope</w:t>
            </w:r>
          </w:p>
        </w:tc>
      </w:tr>
      <w:tr w:rsidR="006558EE">
        <w:tblPrEx>
          <w:tblCellMar>
            <w:top w:w="0" w:type="dxa"/>
            <w:bottom w:w="0" w:type="dxa"/>
          </w:tblCellMar>
        </w:tblPrEx>
        <w:trPr>
          <w:trHeight w:hRule="exact" w:val="384"/>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8" w:line="214" w:lineRule="exact"/>
              <w:jc w:val="center"/>
              <w:textAlignment w:val="baseline"/>
              <w:rPr>
                <w:rFonts w:ascii="Calibri" w:eastAsia="Calibri" w:hAnsi="Calibri"/>
                <w:color w:val="000000"/>
                <w:sz w:val="21"/>
              </w:rPr>
            </w:pPr>
            <w:r>
              <w:rPr>
                <w:rFonts w:ascii="Calibri" w:eastAsia="Calibri" w:hAnsi="Calibri"/>
                <w:color w:val="000000"/>
                <w:sz w:val="21"/>
              </w:rPr>
              <w:t>4</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6" w:line="216" w:lineRule="exact"/>
              <w:ind w:left="115"/>
              <w:textAlignment w:val="baseline"/>
              <w:rPr>
                <w:rFonts w:ascii="Calibri" w:eastAsia="Calibri" w:hAnsi="Calibri"/>
                <w:color w:val="000000"/>
                <w:sz w:val="21"/>
              </w:rPr>
            </w:pPr>
            <w:r>
              <w:rPr>
                <w:rFonts w:ascii="Calibri" w:eastAsia="Calibri" w:hAnsi="Calibri"/>
                <w:color w:val="000000"/>
                <w:sz w:val="21"/>
              </w:rPr>
              <w:t>NER, cl 5.13.1 (d)</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6" w:line="216" w:lineRule="exact"/>
              <w:ind w:left="110"/>
              <w:textAlignment w:val="baseline"/>
              <w:rPr>
                <w:rFonts w:ascii="Calibri" w:eastAsia="Calibri" w:hAnsi="Calibri"/>
                <w:color w:val="000000"/>
                <w:sz w:val="21"/>
              </w:rPr>
            </w:pPr>
            <w:r>
              <w:rPr>
                <w:rFonts w:ascii="Calibri" w:eastAsia="Calibri" w:hAnsi="Calibri"/>
                <w:color w:val="000000"/>
                <w:sz w:val="21"/>
              </w:rPr>
              <w:t>Distribution annual planning review – requirements</w:t>
            </w:r>
          </w:p>
        </w:tc>
      </w:tr>
      <w:tr w:rsidR="006558EE">
        <w:tblPrEx>
          <w:tblCellMar>
            <w:top w:w="0" w:type="dxa"/>
            <w:bottom w:w="0" w:type="dxa"/>
          </w:tblCellMar>
        </w:tblPrEx>
        <w:trPr>
          <w:trHeight w:hRule="exact" w:val="644"/>
        </w:trPr>
        <w:tc>
          <w:tcPr>
            <w:tcW w:w="437"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42" w:line="214" w:lineRule="exact"/>
              <w:jc w:val="center"/>
              <w:textAlignment w:val="baseline"/>
              <w:rPr>
                <w:rFonts w:ascii="Calibri" w:eastAsia="Calibri" w:hAnsi="Calibri"/>
                <w:color w:val="000000"/>
                <w:sz w:val="21"/>
              </w:rPr>
            </w:pPr>
            <w:r>
              <w:rPr>
                <w:rFonts w:ascii="Calibri" w:eastAsia="Calibri" w:hAnsi="Calibri"/>
                <w:color w:val="000000"/>
                <w:sz w:val="21"/>
              </w:rPr>
              <w:t>5</w:t>
            </w:r>
          </w:p>
        </w:tc>
        <w:tc>
          <w:tcPr>
            <w:tcW w:w="2683" w:type="dxa"/>
            <w:tcBorders>
              <w:top w:val="single" w:sz="5" w:space="0" w:color="000000"/>
              <w:left w:val="single" w:sz="5" w:space="0" w:color="000000"/>
              <w:bottom w:val="single" w:sz="5" w:space="0" w:color="000000"/>
              <w:right w:val="single" w:sz="5" w:space="0" w:color="000000"/>
            </w:tcBorders>
          </w:tcPr>
          <w:p w:rsidR="006558EE" w:rsidRDefault="002D0ADC">
            <w:pPr>
              <w:spacing w:before="44" w:after="81" w:line="259" w:lineRule="exact"/>
              <w:ind w:left="108" w:right="252"/>
              <w:textAlignment w:val="baseline"/>
              <w:rPr>
                <w:rFonts w:ascii="Calibri" w:eastAsia="Calibri" w:hAnsi="Calibri"/>
                <w:color w:val="000000"/>
                <w:spacing w:val="-4"/>
                <w:sz w:val="21"/>
              </w:rPr>
            </w:pPr>
            <w:r>
              <w:rPr>
                <w:rFonts w:ascii="Calibri" w:eastAsia="Calibri" w:hAnsi="Calibri"/>
                <w:color w:val="000000"/>
                <w:spacing w:val="-4"/>
                <w:sz w:val="21"/>
              </w:rPr>
              <w:t>NER, cl 5.14.1 (a)(1) – (a)(2) &amp; (b)</w:t>
            </w:r>
          </w:p>
        </w:tc>
        <w:tc>
          <w:tcPr>
            <w:tcW w:w="5899"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40" w:line="216" w:lineRule="exact"/>
              <w:ind w:left="110"/>
              <w:textAlignment w:val="baseline"/>
              <w:rPr>
                <w:rFonts w:ascii="Calibri" w:eastAsia="Calibri" w:hAnsi="Calibri"/>
                <w:color w:val="000000"/>
                <w:sz w:val="21"/>
              </w:rPr>
            </w:pPr>
            <w:r>
              <w:rPr>
                <w:rFonts w:ascii="Calibri" w:eastAsia="Calibri" w:hAnsi="Calibri"/>
                <w:color w:val="000000"/>
                <w:sz w:val="21"/>
              </w:rPr>
              <w:t>DNSP to conduct joint planning with TNSP</w:t>
            </w:r>
          </w:p>
        </w:tc>
      </w:tr>
      <w:tr w:rsidR="006558EE">
        <w:tblPrEx>
          <w:tblCellMar>
            <w:top w:w="0" w:type="dxa"/>
            <w:bottom w:w="0" w:type="dxa"/>
          </w:tblCellMar>
        </w:tblPrEx>
        <w:trPr>
          <w:trHeight w:hRule="exact" w:val="388"/>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3" w:line="214" w:lineRule="exact"/>
              <w:jc w:val="center"/>
              <w:textAlignment w:val="baseline"/>
              <w:rPr>
                <w:rFonts w:ascii="Calibri" w:eastAsia="Calibri" w:hAnsi="Calibri"/>
                <w:color w:val="000000"/>
                <w:sz w:val="21"/>
              </w:rPr>
            </w:pPr>
            <w:r>
              <w:rPr>
                <w:rFonts w:ascii="Calibri" w:eastAsia="Calibri" w:hAnsi="Calibri"/>
                <w:color w:val="000000"/>
                <w:sz w:val="21"/>
              </w:rPr>
              <w:t>6</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1" w:line="216" w:lineRule="exact"/>
              <w:ind w:left="115"/>
              <w:textAlignment w:val="baseline"/>
              <w:rPr>
                <w:rFonts w:ascii="Calibri" w:eastAsia="Calibri" w:hAnsi="Calibri"/>
                <w:color w:val="000000"/>
                <w:sz w:val="21"/>
              </w:rPr>
            </w:pPr>
            <w:r>
              <w:rPr>
                <w:rFonts w:ascii="Calibri" w:eastAsia="Calibri" w:hAnsi="Calibri"/>
                <w:color w:val="000000"/>
                <w:sz w:val="21"/>
              </w:rPr>
              <w:t>NER, cl 5.14.1 (d)</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6" w:after="71" w:line="216" w:lineRule="exact"/>
              <w:ind w:left="110"/>
              <w:textAlignment w:val="baseline"/>
              <w:rPr>
                <w:rFonts w:ascii="Calibri" w:eastAsia="Calibri" w:hAnsi="Calibri"/>
                <w:color w:val="000000"/>
                <w:sz w:val="21"/>
              </w:rPr>
            </w:pPr>
            <w:r>
              <w:rPr>
                <w:rFonts w:ascii="Calibri" w:eastAsia="Calibri" w:hAnsi="Calibri"/>
                <w:color w:val="000000"/>
                <w:sz w:val="21"/>
              </w:rPr>
              <w:t>Joint planning obligations of DNSP and TNSP</w:t>
            </w:r>
          </w:p>
        </w:tc>
      </w:tr>
      <w:tr w:rsidR="006558EE">
        <w:tblPrEx>
          <w:tblCellMar>
            <w:top w:w="0" w:type="dxa"/>
            <w:bottom w:w="0" w:type="dxa"/>
          </w:tblCellMar>
        </w:tblPrEx>
        <w:trPr>
          <w:trHeight w:hRule="exact" w:val="639"/>
        </w:trPr>
        <w:tc>
          <w:tcPr>
            <w:tcW w:w="437"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32" w:line="214" w:lineRule="exact"/>
              <w:jc w:val="center"/>
              <w:textAlignment w:val="baseline"/>
              <w:rPr>
                <w:rFonts w:ascii="Calibri" w:eastAsia="Calibri" w:hAnsi="Calibri"/>
                <w:color w:val="000000"/>
                <w:sz w:val="21"/>
              </w:rPr>
            </w:pPr>
            <w:r>
              <w:rPr>
                <w:rFonts w:ascii="Calibri" w:eastAsia="Calibri" w:hAnsi="Calibri"/>
                <w:color w:val="000000"/>
                <w:sz w:val="21"/>
              </w:rPr>
              <w:t>7</w:t>
            </w:r>
          </w:p>
        </w:tc>
        <w:tc>
          <w:tcPr>
            <w:tcW w:w="2683"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30" w:line="216" w:lineRule="exact"/>
              <w:ind w:left="115"/>
              <w:textAlignment w:val="baseline"/>
              <w:rPr>
                <w:rFonts w:ascii="Calibri" w:eastAsia="Calibri" w:hAnsi="Calibri"/>
                <w:color w:val="000000"/>
                <w:sz w:val="21"/>
              </w:rPr>
            </w:pPr>
            <w:r>
              <w:rPr>
                <w:rFonts w:ascii="Calibri" w:eastAsia="Calibri" w:hAnsi="Calibri"/>
                <w:color w:val="000000"/>
                <w:sz w:val="21"/>
              </w:rPr>
              <w:t>NER, cl 5.15.2 (b)</w:t>
            </w:r>
          </w:p>
        </w:tc>
        <w:tc>
          <w:tcPr>
            <w:tcW w:w="5899" w:type="dxa"/>
            <w:tcBorders>
              <w:top w:val="single" w:sz="5" w:space="0" w:color="000000"/>
              <w:left w:val="single" w:sz="5" w:space="0" w:color="000000"/>
              <w:bottom w:val="single" w:sz="5" w:space="0" w:color="000000"/>
              <w:right w:val="single" w:sz="5" w:space="0" w:color="000000"/>
            </w:tcBorders>
          </w:tcPr>
          <w:p w:rsidR="006558EE" w:rsidRDefault="002D0ADC">
            <w:pPr>
              <w:spacing w:before="47" w:after="76" w:line="255" w:lineRule="exact"/>
              <w:ind w:left="108" w:right="972"/>
              <w:textAlignment w:val="baseline"/>
              <w:rPr>
                <w:rFonts w:ascii="Calibri" w:eastAsia="Calibri" w:hAnsi="Calibri"/>
                <w:color w:val="000000"/>
                <w:sz w:val="21"/>
              </w:rPr>
            </w:pPr>
            <w:r>
              <w:rPr>
                <w:rFonts w:ascii="Calibri" w:eastAsia="Calibri" w:hAnsi="Calibri"/>
                <w:color w:val="000000"/>
                <w:sz w:val="21"/>
              </w:rPr>
              <w:t>RIT-T proponent to consider credible options in applying regulatory investment test</w:t>
            </w:r>
          </w:p>
        </w:tc>
      </w:tr>
      <w:tr w:rsidR="006558EE">
        <w:tblPrEx>
          <w:tblCellMar>
            <w:top w:w="0" w:type="dxa"/>
            <w:bottom w:w="0" w:type="dxa"/>
          </w:tblCellMar>
        </w:tblPrEx>
        <w:trPr>
          <w:trHeight w:hRule="exact" w:val="643"/>
        </w:trPr>
        <w:tc>
          <w:tcPr>
            <w:tcW w:w="437" w:type="dxa"/>
            <w:tcBorders>
              <w:top w:val="single" w:sz="5" w:space="0" w:color="000000"/>
              <w:left w:val="single" w:sz="5" w:space="0" w:color="000000"/>
              <w:bottom w:val="single" w:sz="5" w:space="0" w:color="000000"/>
              <w:right w:val="single" w:sz="5" w:space="0" w:color="000000"/>
            </w:tcBorders>
          </w:tcPr>
          <w:p w:rsidR="006558EE" w:rsidRDefault="002D0ADC">
            <w:pPr>
              <w:spacing w:before="91" w:after="337" w:line="214" w:lineRule="exact"/>
              <w:jc w:val="center"/>
              <w:textAlignment w:val="baseline"/>
              <w:rPr>
                <w:rFonts w:ascii="Calibri" w:eastAsia="Calibri" w:hAnsi="Calibri"/>
                <w:color w:val="000000"/>
                <w:sz w:val="21"/>
              </w:rPr>
            </w:pPr>
            <w:r>
              <w:rPr>
                <w:rFonts w:ascii="Calibri" w:eastAsia="Calibri" w:hAnsi="Calibri"/>
                <w:color w:val="000000"/>
                <w:sz w:val="21"/>
              </w:rPr>
              <w:t>8</w:t>
            </w:r>
          </w:p>
        </w:tc>
        <w:tc>
          <w:tcPr>
            <w:tcW w:w="2683" w:type="dxa"/>
            <w:tcBorders>
              <w:top w:val="single" w:sz="5" w:space="0" w:color="000000"/>
              <w:left w:val="single" w:sz="5" w:space="0" w:color="000000"/>
              <w:bottom w:val="single" w:sz="5" w:space="0" w:color="000000"/>
              <w:right w:val="single" w:sz="5" w:space="0" w:color="000000"/>
            </w:tcBorders>
          </w:tcPr>
          <w:p w:rsidR="006558EE" w:rsidRDefault="002D0ADC">
            <w:pPr>
              <w:spacing w:before="91" w:after="335" w:line="216" w:lineRule="exact"/>
              <w:ind w:left="115"/>
              <w:textAlignment w:val="baseline"/>
              <w:rPr>
                <w:rFonts w:ascii="Calibri" w:eastAsia="Calibri" w:hAnsi="Calibri"/>
                <w:color w:val="000000"/>
                <w:sz w:val="21"/>
              </w:rPr>
            </w:pPr>
            <w:r>
              <w:rPr>
                <w:rFonts w:ascii="Calibri" w:eastAsia="Calibri" w:hAnsi="Calibri"/>
                <w:color w:val="000000"/>
                <w:sz w:val="21"/>
              </w:rPr>
              <w:t>NER, cl 5.15.2 (c ) &amp; (d)</w:t>
            </w:r>
          </w:p>
        </w:tc>
        <w:tc>
          <w:tcPr>
            <w:tcW w:w="5899" w:type="dxa"/>
            <w:tcBorders>
              <w:top w:val="single" w:sz="5" w:space="0" w:color="000000"/>
              <w:left w:val="single" w:sz="5" w:space="0" w:color="000000"/>
              <w:bottom w:val="single" w:sz="5" w:space="0" w:color="000000"/>
              <w:right w:val="single" w:sz="5" w:space="0" w:color="000000"/>
            </w:tcBorders>
          </w:tcPr>
          <w:p w:rsidR="006558EE" w:rsidRDefault="002D0ADC">
            <w:pPr>
              <w:spacing w:before="51" w:after="81" w:line="255" w:lineRule="exact"/>
              <w:ind w:left="108" w:right="972"/>
              <w:textAlignment w:val="baseline"/>
              <w:rPr>
                <w:rFonts w:ascii="Calibri" w:eastAsia="Calibri" w:hAnsi="Calibri"/>
                <w:color w:val="000000"/>
                <w:sz w:val="21"/>
              </w:rPr>
            </w:pPr>
            <w:r>
              <w:rPr>
                <w:rFonts w:ascii="Calibri" w:eastAsia="Calibri" w:hAnsi="Calibri"/>
                <w:color w:val="000000"/>
                <w:sz w:val="21"/>
              </w:rPr>
              <w:t>RIT-D proponent to consider credible options in applying regulatory investment test</w:t>
            </w:r>
          </w:p>
        </w:tc>
      </w:tr>
      <w:tr w:rsidR="006558EE">
        <w:tblPrEx>
          <w:tblCellMar>
            <w:top w:w="0" w:type="dxa"/>
            <w:bottom w:w="0" w:type="dxa"/>
          </w:tblCellMar>
        </w:tblPrEx>
        <w:trPr>
          <w:trHeight w:hRule="exact" w:val="643"/>
        </w:trPr>
        <w:tc>
          <w:tcPr>
            <w:tcW w:w="437"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32" w:line="214" w:lineRule="exact"/>
              <w:jc w:val="center"/>
              <w:textAlignment w:val="baseline"/>
              <w:rPr>
                <w:rFonts w:ascii="Calibri" w:eastAsia="Calibri" w:hAnsi="Calibri"/>
                <w:color w:val="000000"/>
                <w:sz w:val="21"/>
              </w:rPr>
            </w:pPr>
            <w:r>
              <w:rPr>
                <w:rFonts w:ascii="Calibri" w:eastAsia="Calibri" w:hAnsi="Calibri"/>
                <w:color w:val="000000"/>
                <w:sz w:val="21"/>
              </w:rPr>
              <w:t>9</w:t>
            </w:r>
          </w:p>
        </w:tc>
        <w:tc>
          <w:tcPr>
            <w:tcW w:w="2683"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31" w:line="215" w:lineRule="exact"/>
              <w:ind w:left="115"/>
              <w:textAlignment w:val="baseline"/>
              <w:rPr>
                <w:rFonts w:ascii="Calibri" w:eastAsia="Calibri" w:hAnsi="Calibri"/>
                <w:color w:val="000000"/>
                <w:sz w:val="21"/>
              </w:rPr>
            </w:pPr>
            <w:r>
              <w:rPr>
                <w:rFonts w:ascii="Calibri" w:eastAsia="Calibri" w:hAnsi="Calibri"/>
                <w:color w:val="000000"/>
                <w:sz w:val="21"/>
              </w:rPr>
              <w:t>NER, cl 5.16.3 (a)</w:t>
            </w:r>
          </w:p>
        </w:tc>
        <w:tc>
          <w:tcPr>
            <w:tcW w:w="5899" w:type="dxa"/>
            <w:tcBorders>
              <w:top w:val="single" w:sz="5" w:space="0" w:color="000000"/>
              <w:left w:val="single" w:sz="5" w:space="0" w:color="000000"/>
              <w:bottom w:val="single" w:sz="5" w:space="0" w:color="000000"/>
              <w:right w:val="single" w:sz="5" w:space="0" w:color="000000"/>
            </w:tcBorders>
          </w:tcPr>
          <w:p w:rsidR="006558EE" w:rsidRDefault="002D0ADC">
            <w:pPr>
              <w:spacing w:before="43" w:after="72" w:line="259" w:lineRule="exact"/>
              <w:ind w:left="108" w:right="900"/>
              <w:textAlignment w:val="baseline"/>
              <w:rPr>
                <w:rFonts w:ascii="Calibri" w:eastAsia="Calibri" w:hAnsi="Calibri"/>
                <w:color w:val="000000"/>
                <w:sz w:val="21"/>
              </w:rPr>
            </w:pPr>
            <w:r>
              <w:rPr>
                <w:rFonts w:ascii="Calibri" w:eastAsia="Calibri" w:hAnsi="Calibri"/>
                <w:color w:val="000000"/>
                <w:sz w:val="21"/>
              </w:rPr>
              <w:t>Investments subject to the regulatory investment test for transmission - exceptions</w:t>
            </w:r>
          </w:p>
        </w:tc>
      </w:tr>
      <w:tr w:rsidR="006558EE">
        <w:tblPrEx>
          <w:tblCellMar>
            <w:top w:w="0" w:type="dxa"/>
            <w:bottom w:w="0" w:type="dxa"/>
          </w:tblCellMar>
        </w:tblPrEx>
        <w:trPr>
          <w:trHeight w:hRule="exact" w:val="389"/>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8" w:line="214" w:lineRule="exact"/>
              <w:jc w:val="center"/>
              <w:textAlignment w:val="baseline"/>
              <w:rPr>
                <w:rFonts w:ascii="Calibri" w:eastAsia="Calibri" w:hAnsi="Calibri"/>
                <w:color w:val="000000"/>
                <w:sz w:val="21"/>
              </w:rPr>
            </w:pPr>
            <w:r>
              <w:rPr>
                <w:rFonts w:ascii="Calibri" w:eastAsia="Calibri" w:hAnsi="Calibri"/>
                <w:color w:val="000000"/>
                <w:sz w:val="21"/>
              </w:rPr>
              <w:t>10</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7" w:line="215" w:lineRule="exact"/>
              <w:ind w:left="115"/>
              <w:textAlignment w:val="baseline"/>
              <w:rPr>
                <w:rFonts w:ascii="Calibri" w:eastAsia="Calibri" w:hAnsi="Calibri"/>
                <w:color w:val="000000"/>
                <w:sz w:val="21"/>
              </w:rPr>
            </w:pPr>
            <w:r>
              <w:rPr>
                <w:rFonts w:ascii="Calibri" w:eastAsia="Calibri" w:hAnsi="Calibri"/>
                <w:color w:val="000000"/>
                <w:sz w:val="21"/>
              </w:rPr>
              <w:t>NER, cl 5.16.4 (a)</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7" w:line="215" w:lineRule="exact"/>
              <w:ind w:left="110"/>
              <w:textAlignment w:val="baseline"/>
              <w:rPr>
                <w:rFonts w:ascii="Calibri" w:eastAsia="Calibri" w:hAnsi="Calibri"/>
                <w:color w:val="000000"/>
                <w:sz w:val="21"/>
              </w:rPr>
            </w:pPr>
            <w:r>
              <w:rPr>
                <w:rFonts w:ascii="Calibri" w:eastAsia="Calibri" w:hAnsi="Calibri"/>
                <w:color w:val="000000"/>
                <w:sz w:val="21"/>
              </w:rPr>
              <w:t>Regulatory investment test for transmission procedures</w:t>
            </w:r>
          </w:p>
        </w:tc>
      </w:tr>
      <w:tr w:rsidR="006558EE">
        <w:tblPrEx>
          <w:tblCellMar>
            <w:top w:w="0" w:type="dxa"/>
            <w:bottom w:w="0" w:type="dxa"/>
          </w:tblCellMar>
        </w:tblPrEx>
        <w:trPr>
          <w:trHeight w:hRule="exact" w:val="384"/>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8" w:line="214" w:lineRule="exact"/>
              <w:jc w:val="center"/>
              <w:textAlignment w:val="baseline"/>
              <w:rPr>
                <w:rFonts w:ascii="Calibri" w:eastAsia="Calibri" w:hAnsi="Calibri"/>
                <w:color w:val="000000"/>
                <w:sz w:val="21"/>
              </w:rPr>
            </w:pPr>
            <w:r>
              <w:rPr>
                <w:rFonts w:ascii="Calibri" w:eastAsia="Calibri" w:hAnsi="Calibri"/>
                <w:color w:val="000000"/>
                <w:sz w:val="21"/>
              </w:rPr>
              <w:t>11</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8" w:line="214" w:lineRule="exact"/>
              <w:ind w:left="115"/>
              <w:textAlignment w:val="baseline"/>
              <w:rPr>
                <w:rFonts w:ascii="Calibri" w:eastAsia="Calibri" w:hAnsi="Calibri"/>
                <w:color w:val="000000"/>
                <w:sz w:val="21"/>
              </w:rPr>
            </w:pPr>
            <w:r>
              <w:rPr>
                <w:rFonts w:ascii="Calibri" w:eastAsia="Calibri" w:hAnsi="Calibri"/>
                <w:color w:val="000000"/>
                <w:sz w:val="21"/>
              </w:rPr>
              <w:t>NER, cl 5.7.4</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7" w:line="215" w:lineRule="exact"/>
              <w:ind w:left="110"/>
              <w:textAlignment w:val="baseline"/>
              <w:rPr>
                <w:rFonts w:ascii="Calibri" w:eastAsia="Calibri" w:hAnsi="Calibri"/>
                <w:color w:val="000000"/>
                <w:sz w:val="21"/>
              </w:rPr>
            </w:pPr>
            <w:r>
              <w:rPr>
                <w:rFonts w:ascii="Calibri" w:eastAsia="Calibri" w:hAnsi="Calibri"/>
                <w:color w:val="000000"/>
                <w:sz w:val="21"/>
              </w:rPr>
              <w:t>Routine testing of protection equipment</w:t>
            </w:r>
          </w:p>
        </w:tc>
      </w:tr>
      <w:tr w:rsidR="006558EE">
        <w:tblPrEx>
          <w:tblCellMar>
            <w:top w:w="0" w:type="dxa"/>
            <w:bottom w:w="0" w:type="dxa"/>
          </w:tblCellMar>
        </w:tblPrEx>
        <w:trPr>
          <w:trHeight w:hRule="exact" w:val="643"/>
        </w:trPr>
        <w:tc>
          <w:tcPr>
            <w:tcW w:w="437"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42" w:line="214" w:lineRule="exact"/>
              <w:jc w:val="center"/>
              <w:textAlignment w:val="baseline"/>
              <w:rPr>
                <w:rFonts w:ascii="Calibri" w:eastAsia="Calibri" w:hAnsi="Calibri"/>
                <w:color w:val="000000"/>
                <w:sz w:val="21"/>
              </w:rPr>
            </w:pPr>
            <w:r>
              <w:rPr>
                <w:rFonts w:ascii="Calibri" w:eastAsia="Calibri" w:hAnsi="Calibri"/>
                <w:color w:val="000000"/>
                <w:sz w:val="21"/>
              </w:rPr>
              <w:t>12</w:t>
            </w:r>
          </w:p>
        </w:tc>
        <w:tc>
          <w:tcPr>
            <w:tcW w:w="2683"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41" w:line="215" w:lineRule="exact"/>
              <w:ind w:left="115"/>
              <w:textAlignment w:val="baseline"/>
              <w:rPr>
                <w:rFonts w:ascii="Calibri" w:eastAsia="Calibri" w:hAnsi="Calibri"/>
                <w:color w:val="000000"/>
                <w:sz w:val="21"/>
              </w:rPr>
            </w:pPr>
            <w:r>
              <w:rPr>
                <w:rFonts w:ascii="Calibri" w:eastAsia="Calibri" w:hAnsi="Calibri"/>
                <w:color w:val="000000"/>
                <w:sz w:val="21"/>
              </w:rPr>
              <w:t>NER, cl 5.7.5 (a) &amp; (b)</w:t>
            </w:r>
          </w:p>
        </w:tc>
        <w:tc>
          <w:tcPr>
            <w:tcW w:w="5899" w:type="dxa"/>
            <w:tcBorders>
              <w:top w:val="single" w:sz="5" w:space="0" w:color="000000"/>
              <w:left w:val="single" w:sz="5" w:space="0" w:color="000000"/>
              <w:bottom w:val="single" w:sz="5" w:space="0" w:color="000000"/>
              <w:right w:val="single" w:sz="5" w:space="0" w:color="000000"/>
            </w:tcBorders>
          </w:tcPr>
          <w:p w:rsidR="006558EE" w:rsidRDefault="002D0ADC">
            <w:pPr>
              <w:spacing w:before="43" w:after="82" w:line="259" w:lineRule="exact"/>
              <w:ind w:left="108" w:right="324"/>
              <w:textAlignment w:val="baseline"/>
              <w:rPr>
                <w:rFonts w:ascii="Calibri" w:eastAsia="Calibri" w:hAnsi="Calibri"/>
                <w:color w:val="000000"/>
                <w:sz w:val="21"/>
              </w:rPr>
            </w:pPr>
            <w:r>
              <w:rPr>
                <w:rFonts w:ascii="Calibri" w:eastAsia="Calibri" w:hAnsi="Calibri"/>
                <w:color w:val="000000"/>
                <w:sz w:val="21"/>
              </w:rPr>
              <w:t>Notification of testing on own plant requiring changes to normal operation</w:t>
            </w:r>
          </w:p>
        </w:tc>
      </w:tr>
      <w:tr w:rsidR="006558EE">
        <w:tblPrEx>
          <w:tblCellMar>
            <w:top w:w="0" w:type="dxa"/>
            <w:bottom w:w="0" w:type="dxa"/>
          </w:tblCellMar>
        </w:tblPrEx>
        <w:trPr>
          <w:trHeight w:hRule="exact" w:val="389"/>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7" w:line="214" w:lineRule="exact"/>
              <w:jc w:val="center"/>
              <w:textAlignment w:val="baseline"/>
              <w:rPr>
                <w:rFonts w:ascii="Calibri" w:eastAsia="Calibri" w:hAnsi="Calibri"/>
                <w:color w:val="000000"/>
                <w:sz w:val="21"/>
              </w:rPr>
            </w:pPr>
            <w:r>
              <w:rPr>
                <w:rFonts w:ascii="Calibri" w:eastAsia="Calibri" w:hAnsi="Calibri"/>
                <w:color w:val="000000"/>
                <w:sz w:val="21"/>
              </w:rPr>
              <w:t>13</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6" w:line="215" w:lineRule="exact"/>
              <w:ind w:left="115"/>
              <w:textAlignment w:val="baseline"/>
              <w:rPr>
                <w:rFonts w:ascii="Calibri" w:eastAsia="Calibri" w:hAnsi="Calibri"/>
                <w:color w:val="000000"/>
                <w:sz w:val="21"/>
              </w:rPr>
            </w:pPr>
            <w:r>
              <w:rPr>
                <w:rFonts w:ascii="Calibri" w:eastAsia="Calibri" w:hAnsi="Calibri"/>
                <w:color w:val="000000"/>
                <w:sz w:val="21"/>
              </w:rPr>
              <w:t>NER, cl 5.7.5 (c) &amp; (d)</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6" w:line="215" w:lineRule="exact"/>
              <w:ind w:left="110"/>
              <w:textAlignment w:val="baseline"/>
              <w:rPr>
                <w:rFonts w:ascii="Calibri" w:eastAsia="Calibri" w:hAnsi="Calibri"/>
                <w:color w:val="000000"/>
                <w:sz w:val="21"/>
              </w:rPr>
            </w:pPr>
            <w:r>
              <w:rPr>
                <w:rFonts w:ascii="Calibri" w:eastAsia="Calibri" w:hAnsi="Calibri"/>
                <w:color w:val="000000"/>
                <w:sz w:val="21"/>
              </w:rPr>
              <w:t>Review and AEMO approval of proposed test</w:t>
            </w:r>
          </w:p>
        </w:tc>
      </w:tr>
      <w:tr w:rsidR="006558EE">
        <w:tblPrEx>
          <w:tblCellMar>
            <w:top w:w="0" w:type="dxa"/>
            <w:bottom w:w="0" w:type="dxa"/>
          </w:tblCellMar>
        </w:tblPrEx>
        <w:trPr>
          <w:trHeight w:hRule="exact" w:val="384"/>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3" w:line="214" w:lineRule="exact"/>
              <w:jc w:val="center"/>
              <w:textAlignment w:val="baseline"/>
              <w:rPr>
                <w:rFonts w:ascii="Calibri" w:eastAsia="Calibri" w:hAnsi="Calibri"/>
                <w:color w:val="000000"/>
                <w:sz w:val="21"/>
              </w:rPr>
            </w:pPr>
            <w:r>
              <w:rPr>
                <w:rFonts w:ascii="Calibri" w:eastAsia="Calibri" w:hAnsi="Calibri"/>
                <w:color w:val="000000"/>
                <w:sz w:val="21"/>
              </w:rPr>
              <w:t>14</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2" w:line="215" w:lineRule="exact"/>
              <w:ind w:left="115"/>
              <w:textAlignment w:val="baseline"/>
              <w:rPr>
                <w:rFonts w:ascii="Calibri" w:eastAsia="Calibri" w:hAnsi="Calibri"/>
                <w:color w:val="000000"/>
                <w:sz w:val="21"/>
              </w:rPr>
            </w:pPr>
            <w:r>
              <w:rPr>
                <w:rFonts w:ascii="Calibri" w:eastAsia="Calibri" w:hAnsi="Calibri"/>
                <w:color w:val="000000"/>
                <w:sz w:val="21"/>
              </w:rPr>
              <w:t>NER, cl 5.7.5 (h)</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2" w:line="215" w:lineRule="exact"/>
              <w:ind w:left="110"/>
              <w:textAlignment w:val="baseline"/>
              <w:rPr>
                <w:rFonts w:ascii="Calibri" w:eastAsia="Calibri" w:hAnsi="Calibri"/>
                <w:color w:val="000000"/>
                <w:sz w:val="21"/>
              </w:rPr>
            </w:pPr>
            <w:r>
              <w:rPr>
                <w:rFonts w:ascii="Calibri" w:eastAsia="Calibri" w:hAnsi="Calibri"/>
                <w:color w:val="000000"/>
                <w:sz w:val="21"/>
              </w:rPr>
              <w:t>Notification of completion of test and report on test</w:t>
            </w:r>
          </w:p>
        </w:tc>
      </w:tr>
      <w:tr w:rsidR="006558EE">
        <w:tblPrEx>
          <w:tblCellMar>
            <w:top w:w="0" w:type="dxa"/>
            <w:bottom w:w="0" w:type="dxa"/>
          </w:tblCellMar>
        </w:tblPrEx>
        <w:trPr>
          <w:trHeight w:hRule="exact" w:val="389"/>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8" w:line="214" w:lineRule="exact"/>
              <w:jc w:val="center"/>
              <w:textAlignment w:val="baseline"/>
              <w:rPr>
                <w:rFonts w:ascii="Calibri" w:eastAsia="Calibri" w:hAnsi="Calibri"/>
                <w:color w:val="000000"/>
                <w:sz w:val="21"/>
              </w:rPr>
            </w:pPr>
            <w:r>
              <w:rPr>
                <w:rFonts w:ascii="Calibri" w:eastAsia="Calibri" w:hAnsi="Calibri"/>
                <w:color w:val="000000"/>
                <w:sz w:val="21"/>
              </w:rPr>
              <w:t>15</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8" w:line="214" w:lineRule="exact"/>
              <w:ind w:left="115"/>
              <w:textAlignment w:val="baseline"/>
              <w:rPr>
                <w:rFonts w:ascii="Calibri" w:eastAsia="Calibri" w:hAnsi="Calibri"/>
                <w:color w:val="000000"/>
                <w:sz w:val="21"/>
              </w:rPr>
            </w:pPr>
            <w:r>
              <w:rPr>
                <w:rFonts w:ascii="Calibri" w:eastAsia="Calibri" w:hAnsi="Calibri"/>
                <w:color w:val="000000"/>
                <w:sz w:val="21"/>
              </w:rPr>
              <w:t>NER, cl 5.8.1</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7" w:line="215" w:lineRule="exact"/>
              <w:ind w:left="110"/>
              <w:textAlignment w:val="baseline"/>
              <w:rPr>
                <w:rFonts w:ascii="Calibri" w:eastAsia="Calibri" w:hAnsi="Calibri"/>
                <w:color w:val="000000"/>
                <w:sz w:val="21"/>
              </w:rPr>
            </w:pPr>
            <w:r>
              <w:rPr>
                <w:rFonts w:ascii="Calibri" w:eastAsia="Calibri" w:hAnsi="Calibri"/>
                <w:color w:val="000000"/>
                <w:sz w:val="21"/>
              </w:rPr>
              <w:t>Requirement to inspect and test equipment</w:t>
            </w:r>
          </w:p>
        </w:tc>
      </w:tr>
      <w:tr w:rsidR="006558EE">
        <w:tblPrEx>
          <w:tblCellMar>
            <w:top w:w="0" w:type="dxa"/>
            <w:bottom w:w="0" w:type="dxa"/>
          </w:tblCellMar>
        </w:tblPrEx>
        <w:trPr>
          <w:trHeight w:hRule="exact" w:val="638"/>
        </w:trPr>
        <w:tc>
          <w:tcPr>
            <w:tcW w:w="437"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37" w:line="214" w:lineRule="exact"/>
              <w:jc w:val="center"/>
              <w:textAlignment w:val="baseline"/>
              <w:rPr>
                <w:rFonts w:ascii="Calibri" w:eastAsia="Calibri" w:hAnsi="Calibri"/>
                <w:color w:val="000000"/>
                <w:sz w:val="21"/>
              </w:rPr>
            </w:pPr>
            <w:r>
              <w:rPr>
                <w:rFonts w:ascii="Calibri" w:eastAsia="Calibri" w:hAnsi="Calibri"/>
                <w:color w:val="000000"/>
                <w:sz w:val="21"/>
              </w:rPr>
              <w:t>16</w:t>
            </w:r>
          </w:p>
        </w:tc>
        <w:tc>
          <w:tcPr>
            <w:tcW w:w="2683" w:type="dxa"/>
            <w:tcBorders>
              <w:top w:val="single" w:sz="5" w:space="0" w:color="000000"/>
              <w:left w:val="single" w:sz="5" w:space="0" w:color="000000"/>
              <w:bottom w:val="single" w:sz="5" w:space="0" w:color="000000"/>
              <w:right w:val="single" w:sz="5" w:space="0" w:color="000000"/>
            </w:tcBorders>
          </w:tcPr>
          <w:p w:rsidR="006558EE" w:rsidRDefault="002D0ADC">
            <w:pPr>
              <w:spacing w:before="87" w:after="336" w:line="215" w:lineRule="exact"/>
              <w:ind w:left="115"/>
              <w:textAlignment w:val="baseline"/>
              <w:rPr>
                <w:rFonts w:ascii="Calibri" w:eastAsia="Calibri" w:hAnsi="Calibri"/>
                <w:color w:val="000000"/>
                <w:sz w:val="21"/>
              </w:rPr>
            </w:pPr>
            <w:r>
              <w:rPr>
                <w:rFonts w:ascii="Calibri" w:eastAsia="Calibri" w:hAnsi="Calibri"/>
                <w:color w:val="000000"/>
                <w:sz w:val="21"/>
              </w:rPr>
              <w:t>NER, cl 5.8.3(b)</w:t>
            </w:r>
          </w:p>
        </w:tc>
        <w:tc>
          <w:tcPr>
            <w:tcW w:w="5899" w:type="dxa"/>
            <w:tcBorders>
              <w:top w:val="single" w:sz="5" w:space="0" w:color="000000"/>
              <w:left w:val="single" w:sz="5" w:space="0" w:color="000000"/>
              <w:bottom w:val="single" w:sz="5" w:space="0" w:color="000000"/>
              <w:right w:val="single" w:sz="5" w:space="0" w:color="000000"/>
            </w:tcBorders>
          </w:tcPr>
          <w:p w:rsidR="006558EE" w:rsidRDefault="002D0ADC">
            <w:pPr>
              <w:spacing w:before="48" w:after="82" w:line="254" w:lineRule="exact"/>
              <w:ind w:left="108" w:right="540"/>
              <w:textAlignment w:val="baseline"/>
              <w:rPr>
                <w:rFonts w:ascii="Calibri" w:eastAsia="Calibri" w:hAnsi="Calibri"/>
                <w:color w:val="000000"/>
                <w:sz w:val="21"/>
              </w:rPr>
            </w:pPr>
            <w:r>
              <w:rPr>
                <w:rFonts w:ascii="Calibri" w:eastAsia="Calibri" w:hAnsi="Calibri"/>
                <w:color w:val="000000"/>
                <w:sz w:val="21"/>
              </w:rPr>
              <w:t>Control and protection settings - consultation with AEMO and other Registered Participants</w:t>
            </w:r>
          </w:p>
        </w:tc>
      </w:tr>
      <w:tr w:rsidR="006558EE">
        <w:tblPrEx>
          <w:tblCellMar>
            <w:top w:w="0" w:type="dxa"/>
            <w:bottom w:w="0" w:type="dxa"/>
          </w:tblCellMar>
        </w:tblPrEx>
        <w:trPr>
          <w:trHeight w:hRule="exact" w:val="389"/>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92" w:after="82" w:line="214" w:lineRule="exact"/>
              <w:jc w:val="center"/>
              <w:textAlignment w:val="baseline"/>
              <w:rPr>
                <w:rFonts w:ascii="Calibri" w:eastAsia="Calibri" w:hAnsi="Calibri"/>
                <w:color w:val="000000"/>
                <w:sz w:val="21"/>
              </w:rPr>
            </w:pPr>
            <w:r>
              <w:rPr>
                <w:rFonts w:ascii="Calibri" w:eastAsia="Calibri" w:hAnsi="Calibri"/>
                <w:color w:val="000000"/>
                <w:sz w:val="21"/>
              </w:rPr>
              <w:t>17</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92" w:after="82" w:line="214" w:lineRule="exact"/>
              <w:ind w:left="115"/>
              <w:textAlignment w:val="baseline"/>
              <w:rPr>
                <w:rFonts w:ascii="Calibri" w:eastAsia="Calibri" w:hAnsi="Calibri"/>
                <w:color w:val="000000"/>
                <w:sz w:val="21"/>
              </w:rPr>
            </w:pPr>
            <w:r>
              <w:rPr>
                <w:rFonts w:ascii="Calibri" w:eastAsia="Calibri" w:hAnsi="Calibri"/>
                <w:color w:val="000000"/>
                <w:sz w:val="21"/>
              </w:rPr>
              <w:t>NER, cl 5.9.1</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92" w:after="81" w:line="215" w:lineRule="exact"/>
              <w:ind w:left="110"/>
              <w:textAlignment w:val="baseline"/>
              <w:rPr>
                <w:rFonts w:ascii="Calibri" w:eastAsia="Calibri" w:hAnsi="Calibri"/>
                <w:color w:val="000000"/>
                <w:sz w:val="21"/>
              </w:rPr>
            </w:pPr>
            <w:r>
              <w:rPr>
                <w:rFonts w:ascii="Calibri" w:eastAsia="Calibri" w:hAnsi="Calibri"/>
                <w:color w:val="000000"/>
                <w:sz w:val="21"/>
              </w:rPr>
              <w:t>Voluntary disconnection</w:t>
            </w:r>
          </w:p>
        </w:tc>
      </w:tr>
      <w:tr w:rsidR="006558EE">
        <w:tblPrEx>
          <w:tblCellMar>
            <w:top w:w="0" w:type="dxa"/>
            <w:bottom w:w="0" w:type="dxa"/>
          </w:tblCellMar>
        </w:tblPrEx>
        <w:trPr>
          <w:trHeight w:hRule="exact" w:val="384"/>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3" w:line="214" w:lineRule="exact"/>
              <w:jc w:val="center"/>
              <w:textAlignment w:val="baseline"/>
              <w:rPr>
                <w:rFonts w:ascii="Calibri" w:eastAsia="Calibri" w:hAnsi="Calibri"/>
                <w:color w:val="000000"/>
                <w:sz w:val="21"/>
              </w:rPr>
            </w:pPr>
            <w:r>
              <w:rPr>
                <w:rFonts w:ascii="Calibri" w:eastAsia="Calibri" w:hAnsi="Calibri"/>
                <w:color w:val="000000"/>
                <w:sz w:val="21"/>
              </w:rPr>
              <w:t>18</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3" w:line="214" w:lineRule="exact"/>
              <w:ind w:left="115"/>
              <w:textAlignment w:val="baseline"/>
              <w:rPr>
                <w:rFonts w:ascii="Calibri" w:eastAsia="Calibri" w:hAnsi="Calibri"/>
                <w:color w:val="000000"/>
                <w:sz w:val="21"/>
              </w:rPr>
            </w:pPr>
            <w:r>
              <w:rPr>
                <w:rFonts w:ascii="Calibri" w:eastAsia="Calibri" w:hAnsi="Calibri"/>
                <w:color w:val="000000"/>
                <w:sz w:val="21"/>
              </w:rPr>
              <w:t>NER, cl 5.9.2</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2" w:line="215" w:lineRule="exact"/>
              <w:ind w:left="110"/>
              <w:textAlignment w:val="baseline"/>
              <w:rPr>
                <w:rFonts w:ascii="Calibri" w:eastAsia="Calibri" w:hAnsi="Calibri"/>
                <w:color w:val="000000"/>
                <w:sz w:val="21"/>
              </w:rPr>
            </w:pPr>
            <w:r>
              <w:rPr>
                <w:rFonts w:ascii="Calibri" w:eastAsia="Calibri" w:hAnsi="Calibri"/>
                <w:color w:val="000000"/>
                <w:sz w:val="21"/>
              </w:rPr>
              <w:t>Decommissioning procedures</w:t>
            </w:r>
          </w:p>
        </w:tc>
      </w:tr>
      <w:tr w:rsidR="006558EE">
        <w:tblPrEx>
          <w:tblCellMar>
            <w:top w:w="0" w:type="dxa"/>
            <w:bottom w:w="0" w:type="dxa"/>
          </w:tblCellMar>
        </w:tblPrEx>
        <w:trPr>
          <w:trHeight w:hRule="exact" w:val="389"/>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92" w:after="73" w:line="214" w:lineRule="exact"/>
              <w:jc w:val="center"/>
              <w:textAlignment w:val="baseline"/>
              <w:rPr>
                <w:rFonts w:ascii="Calibri" w:eastAsia="Calibri" w:hAnsi="Calibri"/>
                <w:color w:val="000000"/>
                <w:sz w:val="21"/>
              </w:rPr>
            </w:pPr>
            <w:r>
              <w:rPr>
                <w:rFonts w:ascii="Calibri" w:eastAsia="Calibri" w:hAnsi="Calibri"/>
                <w:color w:val="000000"/>
                <w:sz w:val="21"/>
              </w:rPr>
              <w:t>19</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92" w:after="72" w:line="215" w:lineRule="exact"/>
              <w:ind w:left="115"/>
              <w:textAlignment w:val="baseline"/>
              <w:rPr>
                <w:rFonts w:ascii="Calibri" w:eastAsia="Calibri" w:hAnsi="Calibri"/>
                <w:color w:val="000000"/>
                <w:sz w:val="21"/>
              </w:rPr>
            </w:pPr>
            <w:r>
              <w:rPr>
                <w:rFonts w:ascii="Calibri" w:eastAsia="Calibri" w:hAnsi="Calibri"/>
                <w:color w:val="000000"/>
                <w:sz w:val="21"/>
              </w:rPr>
              <w:t>NER, cl 5.9.3(c)</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92" w:after="72" w:line="215" w:lineRule="exact"/>
              <w:ind w:left="110"/>
              <w:textAlignment w:val="baseline"/>
              <w:rPr>
                <w:rFonts w:ascii="Calibri" w:eastAsia="Calibri" w:hAnsi="Calibri"/>
                <w:color w:val="000000"/>
                <w:sz w:val="21"/>
              </w:rPr>
            </w:pPr>
            <w:r>
              <w:rPr>
                <w:rFonts w:ascii="Calibri" w:eastAsia="Calibri" w:hAnsi="Calibri"/>
                <w:color w:val="000000"/>
                <w:sz w:val="21"/>
              </w:rPr>
              <w:t>NSP must comply with AEMO</w:t>
            </w:r>
          </w:p>
        </w:tc>
      </w:tr>
      <w:tr w:rsidR="006558EE">
        <w:tblPrEx>
          <w:tblCellMar>
            <w:top w:w="0" w:type="dxa"/>
            <w:bottom w:w="0" w:type="dxa"/>
          </w:tblCellMar>
        </w:tblPrEx>
        <w:trPr>
          <w:trHeight w:hRule="exact" w:val="384"/>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7" w:line="214" w:lineRule="exact"/>
              <w:jc w:val="center"/>
              <w:textAlignment w:val="baseline"/>
              <w:rPr>
                <w:rFonts w:ascii="Calibri" w:eastAsia="Calibri" w:hAnsi="Calibri"/>
                <w:color w:val="000000"/>
                <w:sz w:val="21"/>
              </w:rPr>
            </w:pPr>
            <w:r>
              <w:rPr>
                <w:rFonts w:ascii="Calibri" w:eastAsia="Calibri" w:hAnsi="Calibri"/>
                <w:color w:val="000000"/>
                <w:sz w:val="21"/>
              </w:rPr>
              <w:t>20</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6" w:line="215" w:lineRule="exact"/>
              <w:ind w:left="115"/>
              <w:textAlignment w:val="baseline"/>
              <w:rPr>
                <w:rFonts w:ascii="Calibri" w:eastAsia="Calibri" w:hAnsi="Calibri"/>
                <w:color w:val="000000"/>
                <w:sz w:val="21"/>
              </w:rPr>
            </w:pPr>
            <w:r>
              <w:rPr>
                <w:rFonts w:ascii="Calibri" w:eastAsia="Calibri" w:hAnsi="Calibri"/>
                <w:color w:val="000000"/>
                <w:sz w:val="21"/>
              </w:rPr>
              <w:t>NER, cl 5.9.4 (d)</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76" w:line="215" w:lineRule="exact"/>
              <w:ind w:left="110"/>
              <w:textAlignment w:val="baseline"/>
              <w:rPr>
                <w:rFonts w:ascii="Calibri" w:eastAsia="Calibri" w:hAnsi="Calibri"/>
                <w:color w:val="000000"/>
                <w:sz w:val="21"/>
              </w:rPr>
            </w:pPr>
            <w:r>
              <w:rPr>
                <w:rFonts w:ascii="Calibri" w:eastAsia="Calibri" w:hAnsi="Calibri"/>
                <w:color w:val="000000"/>
                <w:sz w:val="21"/>
              </w:rPr>
              <w:t>Compliance with directions from AEMO to disconnect facilities</w:t>
            </w:r>
          </w:p>
        </w:tc>
      </w:tr>
      <w:tr w:rsidR="006558EE">
        <w:tblPrEx>
          <w:tblCellMar>
            <w:top w:w="0" w:type="dxa"/>
            <w:bottom w:w="0" w:type="dxa"/>
          </w:tblCellMar>
        </w:tblPrEx>
        <w:trPr>
          <w:trHeight w:hRule="exact" w:val="643"/>
        </w:trPr>
        <w:tc>
          <w:tcPr>
            <w:tcW w:w="437" w:type="dxa"/>
            <w:tcBorders>
              <w:top w:val="single" w:sz="5" w:space="0" w:color="000000"/>
              <w:left w:val="single" w:sz="5" w:space="0" w:color="000000"/>
              <w:bottom w:val="single" w:sz="5" w:space="0" w:color="000000"/>
              <w:right w:val="single" w:sz="5" w:space="0" w:color="000000"/>
            </w:tcBorders>
          </w:tcPr>
          <w:p w:rsidR="006558EE" w:rsidRDefault="002D0ADC">
            <w:pPr>
              <w:spacing w:before="91" w:after="337" w:line="214" w:lineRule="exact"/>
              <w:jc w:val="center"/>
              <w:textAlignment w:val="baseline"/>
              <w:rPr>
                <w:rFonts w:ascii="Calibri" w:eastAsia="Calibri" w:hAnsi="Calibri"/>
                <w:color w:val="000000"/>
                <w:sz w:val="21"/>
              </w:rPr>
            </w:pPr>
            <w:r>
              <w:rPr>
                <w:rFonts w:ascii="Calibri" w:eastAsia="Calibri" w:hAnsi="Calibri"/>
                <w:color w:val="000000"/>
                <w:sz w:val="21"/>
              </w:rPr>
              <w:t>21</w:t>
            </w:r>
          </w:p>
        </w:tc>
        <w:tc>
          <w:tcPr>
            <w:tcW w:w="2683" w:type="dxa"/>
            <w:tcBorders>
              <w:top w:val="single" w:sz="5" w:space="0" w:color="000000"/>
              <w:left w:val="single" w:sz="5" w:space="0" w:color="000000"/>
              <w:bottom w:val="single" w:sz="5" w:space="0" w:color="000000"/>
              <w:right w:val="single" w:sz="5" w:space="0" w:color="000000"/>
            </w:tcBorders>
          </w:tcPr>
          <w:p w:rsidR="006558EE" w:rsidRDefault="002D0ADC">
            <w:pPr>
              <w:spacing w:before="91" w:after="335" w:line="216" w:lineRule="exact"/>
              <w:ind w:left="115"/>
              <w:textAlignment w:val="baseline"/>
              <w:rPr>
                <w:rFonts w:ascii="Calibri" w:eastAsia="Calibri" w:hAnsi="Calibri"/>
                <w:color w:val="000000"/>
                <w:sz w:val="21"/>
              </w:rPr>
            </w:pPr>
            <w:r>
              <w:rPr>
                <w:rFonts w:ascii="Calibri" w:eastAsia="Calibri" w:hAnsi="Calibri"/>
                <w:color w:val="000000"/>
                <w:sz w:val="21"/>
              </w:rPr>
              <w:t>NER, cl 5.9.5 (b)</w:t>
            </w:r>
          </w:p>
        </w:tc>
        <w:tc>
          <w:tcPr>
            <w:tcW w:w="5899" w:type="dxa"/>
            <w:tcBorders>
              <w:top w:val="single" w:sz="5" w:space="0" w:color="000000"/>
              <w:left w:val="single" w:sz="5" w:space="0" w:color="000000"/>
              <w:bottom w:val="single" w:sz="5" w:space="0" w:color="000000"/>
              <w:right w:val="single" w:sz="5" w:space="0" w:color="000000"/>
            </w:tcBorders>
          </w:tcPr>
          <w:p w:rsidR="006558EE" w:rsidRDefault="002D0ADC">
            <w:pPr>
              <w:spacing w:before="51" w:after="81" w:line="255" w:lineRule="exact"/>
              <w:ind w:left="108" w:right="468"/>
              <w:textAlignment w:val="baseline"/>
              <w:rPr>
                <w:rFonts w:ascii="Calibri" w:eastAsia="Calibri" w:hAnsi="Calibri"/>
                <w:color w:val="000000"/>
                <w:sz w:val="21"/>
              </w:rPr>
            </w:pPr>
            <w:r>
              <w:rPr>
                <w:rFonts w:ascii="Calibri" w:eastAsia="Calibri" w:hAnsi="Calibri"/>
                <w:color w:val="000000"/>
                <w:sz w:val="21"/>
              </w:rPr>
              <w:t>Compliance with directions from AEMO to disconnect facilities during emergency</w:t>
            </w:r>
          </w:p>
        </w:tc>
      </w:tr>
      <w:tr w:rsidR="006558EE">
        <w:tblPrEx>
          <w:tblCellMar>
            <w:top w:w="0" w:type="dxa"/>
            <w:bottom w:w="0" w:type="dxa"/>
          </w:tblCellMar>
        </w:tblPrEx>
        <w:trPr>
          <w:trHeight w:hRule="exact" w:val="398"/>
        </w:trPr>
        <w:tc>
          <w:tcPr>
            <w:tcW w:w="437"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7" w:line="214" w:lineRule="exact"/>
              <w:jc w:val="center"/>
              <w:textAlignment w:val="baseline"/>
              <w:rPr>
                <w:rFonts w:ascii="Calibri" w:eastAsia="Calibri" w:hAnsi="Calibri"/>
                <w:color w:val="000000"/>
                <w:sz w:val="21"/>
              </w:rPr>
            </w:pPr>
            <w:r>
              <w:rPr>
                <w:rFonts w:ascii="Calibri" w:eastAsia="Calibri" w:hAnsi="Calibri"/>
                <w:color w:val="000000"/>
                <w:sz w:val="21"/>
              </w:rPr>
              <w:t>22</w:t>
            </w:r>
          </w:p>
        </w:tc>
        <w:tc>
          <w:tcPr>
            <w:tcW w:w="2683"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7" w:line="214" w:lineRule="exact"/>
              <w:ind w:left="115"/>
              <w:textAlignment w:val="baseline"/>
              <w:rPr>
                <w:rFonts w:ascii="Calibri" w:eastAsia="Calibri" w:hAnsi="Calibri"/>
                <w:color w:val="000000"/>
                <w:sz w:val="21"/>
              </w:rPr>
            </w:pPr>
            <w:r>
              <w:rPr>
                <w:rFonts w:ascii="Calibri" w:eastAsia="Calibri" w:hAnsi="Calibri"/>
                <w:color w:val="000000"/>
                <w:sz w:val="21"/>
              </w:rPr>
              <w:t>NER, cl 5.9.6</w:t>
            </w:r>
          </w:p>
        </w:tc>
        <w:tc>
          <w:tcPr>
            <w:tcW w:w="5899" w:type="dxa"/>
            <w:tcBorders>
              <w:top w:val="single" w:sz="5" w:space="0" w:color="000000"/>
              <w:left w:val="single" w:sz="5" w:space="0" w:color="000000"/>
              <w:bottom w:val="single" w:sz="5" w:space="0" w:color="000000"/>
              <w:right w:val="single" w:sz="5" w:space="0" w:color="000000"/>
            </w:tcBorders>
            <w:vAlign w:val="center"/>
          </w:tcPr>
          <w:p w:rsidR="006558EE" w:rsidRDefault="002D0ADC">
            <w:pPr>
              <w:spacing w:before="87" w:after="86" w:line="215" w:lineRule="exact"/>
              <w:ind w:left="110"/>
              <w:textAlignment w:val="baseline"/>
              <w:rPr>
                <w:rFonts w:ascii="Calibri" w:eastAsia="Calibri" w:hAnsi="Calibri"/>
                <w:color w:val="000000"/>
                <w:sz w:val="21"/>
              </w:rPr>
            </w:pPr>
            <w:r>
              <w:rPr>
                <w:rFonts w:ascii="Calibri" w:eastAsia="Calibri" w:hAnsi="Calibri"/>
                <w:color w:val="000000"/>
                <w:sz w:val="21"/>
              </w:rPr>
              <w:t>Obligation to reconnect</w:t>
            </w:r>
          </w:p>
        </w:tc>
      </w:tr>
    </w:tbl>
    <w:p w:rsidR="006558EE" w:rsidRDefault="006558EE">
      <w:pPr>
        <w:spacing w:after="2319" w:line="20" w:lineRule="exact"/>
      </w:pPr>
    </w:p>
    <w:p w:rsidR="006558EE" w:rsidRDefault="006558EE">
      <w:pPr>
        <w:spacing w:after="2319" w:line="20" w:lineRule="exact"/>
        <w:sectPr w:rsidR="006558EE">
          <w:pgSz w:w="11909" w:h="16838"/>
          <w:pgMar w:top="2240" w:right="1431" w:bottom="242" w:left="1431" w:header="720" w:footer="720" w:gutter="0"/>
          <w:cols w:space="720"/>
        </w:sectPr>
      </w:pPr>
    </w:p>
    <w:p w:rsidR="006558EE" w:rsidRDefault="002D0ADC">
      <w:pPr>
        <w:spacing w:before="19" w:line="152" w:lineRule="exact"/>
        <w:textAlignment w:val="baseline"/>
        <w:rPr>
          <w:rFonts w:ascii="Calibri" w:eastAsia="Calibri" w:hAnsi="Calibri"/>
          <w:color w:val="000000"/>
          <w:sz w:val="14"/>
        </w:rPr>
      </w:pPr>
      <w:r>
        <w:rPr>
          <w:rFonts w:ascii="Calibri" w:eastAsia="Calibri" w:hAnsi="Calibri"/>
          <w:color w:val="000000"/>
          <w:sz w:val="14"/>
        </w:rPr>
        <w:t>8</w:t>
      </w:r>
    </w:p>
    <w:sectPr w:rsidR="006558EE">
      <w:type w:val="continuous"/>
      <w:pgSz w:w="11909" w:h="16838"/>
      <w:pgMar w:top="2240" w:right="1515" w:bottom="242" w:left="102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Calibri">
    <w:charset w:val="00"/>
    <w:pitch w:val="variable"/>
    <w:family w:val="swiss"/>
    <w:panose1 w:val="02020603050405020304"/>
  </w:font>
  <w:font w:name="Times New Roman">
    <w:charset w:val="00"/>
    <w:pitch w:val="variable"/>
    <w:family w:val="roman"/>
    <w:panose1 w:val="02020603050405020304"/>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3A6E5A"/>
    <w:multiLevelType w:val="multilevel"/>
    <w:tmpl w:val="A74A4E36"/>
    <w:lvl w:ilvl="0">
      <w:numFmt w:val="bullet"/>
      <w:lvlText w:val="·"/>
      <w:lvlJc w:val="left"/>
      <w:pPr>
        <w:tabs>
          <w:tab w:val="left" w:pos="360"/>
        </w:tabs>
      </w:pPr>
      <w:rPr>
        <w:rFonts w:ascii="Symbol" w:eastAsia="Symbol" w:hAnsi="Symbol"/>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8D03B4F"/>
    <w:multiLevelType w:val="multilevel"/>
    <w:tmpl w:val="238E56B8"/>
    <w:lvl w:ilvl="0">
      <w:start w:val="1"/>
      <w:numFmt w:val="decimal"/>
      <w:lvlText w:val="%1)"/>
      <w:lvlJc w:val="left"/>
      <w:pPr>
        <w:tabs>
          <w:tab w:val="left" w:pos="72"/>
        </w:tabs>
      </w:pPr>
      <w:rPr>
        <w:rFonts w:ascii="Times New Roman" w:eastAsia="Times New Roman" w:hAnsi="Times New Roman"/>
        <w:color w:val="000000"/>
        <w:spacing w:val="0"/>
        <w:w w:val="100"/>
        <w:sz w:val="18"/>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8EE"/>
    <w:rsid w:val="002D0ADC"/>
    <w:rsid w:val="006558E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5:docId w15:val="{35348420-297E-4286-891F-9A2683741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powercor.com.a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itipower.com.au" TargetMode="External"/><Relationship Id="rId12" Type="http://schemas.openxmlformats.org/officeDocument/2006/relationships/fontTable" Target="fontTable.xml"/><Relationship Id="fId" Type="http://schemas.openxmlformats.org/wordprocessingml/2006/fontTable" Target="fontTable0.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PTSecretariat@industry.gov.au" TargetMode="External"/><Relationship Id="rId11"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hyperlink" Target="mailto:ecarlile@powercor.com.au" TargetMode="External"/><Relationship Id="rId4" Type="http://schemas.openxmlformats.org/officeDocument/2006/relationships/webSettings" Target="webSettings.xml"/><Relationship Id="rId9" Type="http://schemas.openxmlformats.org/officeDocument/2006/relationships/hyperlink" Target="http://www.ue.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3677</Words>
  <Characters>20964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24592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Collins</dc:creator>
  <cp:lastModifiedBy>Hirscher, Andrew</cp:lastModifiedBy>
  <cp:revision>2</cp:revision>
  <dcterms:created xsi:type="dcterms:W3CDTF">2020-08-13T05:00:00Z</dcterms:created>
  <dcterms:modified xsi:type="dcterms:W3CDTF">2020-08-13T05:00:00Z</dcterms:modified>
</cp:coreProperties>
</file>