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CellMar>
          <w:left w:w="0" w:type="dxa"/>
          <w:right w:w="0" w:type="dxa"/>
        </w:tblCellMar>
        <w:tblLook w:val="0000" w:firstRow="0" w:lastRow="0" w:firstColumn="0" w:lastColumn="0" w:noHBand="0" w:noVBand="0"/>
      </w:tblPr>
      <w:tblGrid>
        <w:gridCol w:w="1608"/>
        <w:gridCol w:w="8512"/>
      </w:tblGrid>
      <w:tr w:rsidR="00052E12">
        <w:tblPrEx>
          <w:tblCellMar>
            <w:top w:w="0" w:type="dxa"/>
            <w:bottom w:w="0" w:type="dxa"/>
          </w:tblCellMar>
        </w:tblPrEx>
        <w:trPr>
          <w:trHeight w:hRule="exact" w:val="2018"/>
        </w:trPr>
        <w:tc>
          <w:tcPr>
            <w:tcW w:w="1608" w:type="dxa"/>
            <w:tcBorders>
              <w:top w:val="none" w:sz="0" w:space="0" w:color="000000"/>
              <w:left w:val="none" w:sz="0" w:space="0" w:color="000000"/>
              <w:bottom w:val="none" w:sz="0" w:space="0" w:color="000000"/>
              <w:right w:val="none" w:sz="0" w:space="0" w:color="000000"/>
            </w:tcBorders>
          </w:tcPr>
          <w:p w:rsidR="00052E12" w:rsidRDefault="00B35890">
            <w:pPr>
              <w:spacing w:before="2"/>
              <w:jc w:val="center"/>
              <w:textAlignment w:val="baseline"/>
            </w:pPr>
            <w:bookmarkStart w:id="0" w:name="_GoBack"/>
            <w:bookmarkEnd w:id="0"/>
            <w:r>
              <w:rPr>
                <w:noProof/>
                <w:lang w:val="en-AU" w:eastAsia="en-AU"/>
              </w:rPr>
              <w:drawing>
                <wp:inline distT="0" distB="0" distL="0" distR="0">
                  <wp:extent cx="1021080" cy="1280160"/>
                  <wp:effectExtent l="0" t="0" r="0" b="0"/>
                  <wp:docPr id="1" name="Picture"/>
                  <wp:cNvGraphicFramePr/>
                  <a:graphic xmlns:a="http://schemas.openxmlformats.org/drawingml/2006/main">
                    <a:graphicData uri="http://schemas.openxmlformats.org/drawingml/2006/picture">
                      <pic:pic xmlns:pic="http://schemas.openxmlformats.org/drawingml/2006/picture">
                        <pic:nvPicPr>
                          <pic:cNvPr id="1" name="Picture"/>
                          <pic:cNvPicPr preferRelativeResize="0"/>
                        </pic:nvPicPr>
                        <pic:blipFill>
                          <a:blip r:embed="rId5"/>
                          <a:stretch>
                            <a:fillRect/>
                          </a:stretch>
                        </pic:blipFill>
                        <pic:spPr>
                          <a:xfrm>
                            <a:off x="0" y="0"/>
                            <a:ext cx="1021080" cy="1280160"/>
                          </a:xfrm>
                          <a:prstGeom prst="rect">
                            <a:avLst/>
                          </a:prstGeom>
                        </pic:spPr>
                      </pic:pic>
                    </a:graphicData>
                  </a:graphic>
                </wp:inline>
              </w:drawing>
            </w:r>
          </w:p>
        </w:tc>
        <w:tc>
          <w:tcPr>
            <w:tcW w:w="8512" w:type="dxa"/>
            <w:tcBorders>
              <w:top w:val="none" w:sz="0" w:space="0" w:color="000000"/>
              <w:left w:val="none" w:sz="0" w:space="0" w:color="000000"/>
              <w:bottom w:val="none" w:sz="0" w:space="0" w:color="000000"/>
              <w:right w:val="none" w:sz="0" w:space="0" w:color="000000"/>
            </w:tcBorders>
          </w:tcPr>
          <w:p w:rsidR="00052E12" w:rsidRDefault="00B35890">
            <w:pPr>
              <w:spacing w:before="677" w:line="220" w:lineRule="exact"/>
              <w:ind w:left="288"/>
              <w:textAlignment w:val="baseline"/>
              <w:rPr>
                <w:rFonts w:ascii="Arial" w:eastAsia="Arial" w:hAnsi="Arial"/>
                <w:color w:val="377D2F"/>
                <w:sz w:val="18"/>
              </w:rPr>
            </w:pPr>
            <w:r>
              <w:rPr>
                <w:rFonts w:ascii="Arial" w:eastAsia="Arial" w:hAnsi="Arial"/>
                <w:color w:val="377D2F"/>
                <w:sz w:val="18"/>
              </w:rPr>
              <w:t xml:space="preserve">420 Flinders Street, Townsville QLD 4810 </w:t>
            </w:r>
            <w:r>
              <w:rPr>
                <w:rFonts w:ascii="Arial" w:eastAsia="Arial" w:hAnsi="Arial"/>
                <w:color w:val="377D2F"/>
                <w:sz w:val="18"/>
              </w:rPr>
              <w:br/>
              <w:t>PO Box 10 90 , Townsville QLD 4810</w:t>
            </w:r>
          </w:p>
          <w:p w:rsidR="00052E12" w:rsidRDefault="00B35890">
            <w:pPr>
              <w:spacing w:before="440" w:after="199" w:line="252" w:lineRule="exact"/>
              <w:ind w:left="288"/>
              <w:textAlignment w:val="baseline"/>
              <w:rPr>
                <w:rFonts w:ascii="Arial" w:eastAsia="Arial" w:hAnsi="Arial"/>
                <w:color w:val="377D2F"/>
              </w:rPr>
            </w:pPr>
            <w:hyperlink r:id="rId6">
              <w:r>
                <w:rPr>
                  <w:rFonts w:ascii="Arial" w:eastAsia="Arial" w:hAnsi="Arial"/>
                  <w:color w:val="0000FF"/>
                  <w:u w:val="single"/>
                </w:rPr>
                <w:t>ergon.com</w:t>
              </w:r>
            </w:hyperlink>
            <w:r>
              <w:rPr>
                <w:rFonts w:ascii="Arial" w:eastAsia="Arial" w:hAnsi="Arial"/>
                <w:color w:val="377D2F"/>
              </w:rPr>
              <w:t xml:space="preserve"> .au</w:t>
            </w:r>
          </w:p>
        </w:tc>
      </w:tr>
    </w:tbl>
    <w:p w:rsidR="00052E12" w:rsidRDefault="00052E12">
      <w:pPr>
        <w:spacing w:after="482" w:line="20" w:lineRule="exact"/>
      </w:pPr>
    </w:p>
    <w:p w:rsidR="00052E12" w:rsidRDefault="00B35890">
      <w:pPr>
        <w:spacing w:before="2" w:line="251" w:lineRule="exact"/>
        <w:ind w:left="1152"/>
        <w:textAlignment w:val="baseline"/>
        <w:rPr>
          <w:rFonts w:ascii="Arial" w:eastAsia="Arial" w:hAnsi="Arial"/>
          <w:color w:val="000000"/>
          <w:spacing w:val="-1"/>
        </w:rPr>
      </w:pPr>
      <w:r>
        <w:rPr>
          <w:rFonts w:ascii="Arial" w:eastAsia="Arial" w:hAnsi="Arial"/>
          <w:color w:val="000000"/>
          <w:spacing w:val="-1"/>
        </w:rPr>
        <w:t>10 August 2020</w:t>
      </w:r>
    </w:p>
    <w:p w:rsidR="00052E12" w:rsidRDefault="00B35890">
      <w:pPr>
        <w:spacing w:before="364" w:line="251" w:lineRule="exact"/>
        <w:ind w:left="1152"/>
        <w:textAlignment w:val="baseline"/>
        <w:rPr>
          <w:rFonts w:ascii="Arial" w:eastAsia="Arial" w:hAnsi="Arial"/>
          <w:color w:val="000000"/>
          <w:spacing w:val="-1"/>
        </w:rPr>
      </w:pPr>
      <w:r>
        <w:rPr>
          <w:rFonts w:ascii="Arial" w:eastAsia="Arial" w:hAnsi="Arial"/>
          <w:color w:val="000000"/>
          <w:spacing w:val="-1"/>
        </w:rPr>
        <w:t>COAG Energy Council</w:t>
      </w:r>
    </w:p>
    <w:p w:rsidR="00052E12" w:rsidRDefault="00B35890">
      <w:pPr>
        <w:spacing w:before="3" w:line="251" w:lineRule="exact"/>
        <w:ind w:left="1152"/>
        <w:textAlignment w:val="baseline"/>
        <w:rPr>
          <w:rFonts w:ascii="Arial" w:eastAsia="Arial" w:hAnsi="Arial"/>
          <w:color w:val="000000"/>
        </w:rPr>
      </w:pPr>
      <w:r>
        <w:rPr>
          <w:rFonts w:ascii="Arial" w:eastAsia="Arial" w:hAnsi="Arial"/>
          <w:color w:val="000000"/>
        </w:rPr>
        <w:t>Governance Project Team Secretariat</w:t>
      </w:r>
    </w:p>
    <w:p w:rsidR="00052E12" w:rsidRDefault="00B35890">
      <w:pPr>
        <w:spacing w:before="3" w:line="250" w:lineRule="exact"/>
        <w:ind w:left="1152"/>
        <w:textAlignment w:val="baseline"/>
        <w:rPr>
          <w:rFonts w:ascii="Arial" w:eastAsia="Arial" w:hAnsi="Arial"/>
          <w:color w:val="000000"/>
        </w:rPr>
      </w:pPr>
      <w:r>
        <w:rPr>
          <w:rFonts w:ascii="Arial" w:eastAsia="Arial" w:hAnsi="Arial"/>
          <w:color w:val="000000"/>
        </w:rPr>
        <w:t>Department of Industry, Science, Energy and Resources</w:t>
      </w:r>
    </w:p>
    <w:p w:rsidR="00052E12" w:rsidRDefault="00B35890">
      <w:pPr>
        <w:spacing w:line="251" w:lineRule="exact"/>
        <w:ind w:left="1152"/>
        <w:textAlignment w:val="baseline"/>
        <w:rPr>
          <w:rFonts w:ascii="Arial" w:eastAsia="Arial" w:hAnsi="Arial"/>
          <w:color w:val="000000"/>
          <w:spacing w:val="-1"/>
        </w:rPr>
      </w:pPr>
      <w:r>
        <w:rPr>
          <w:rFonts w:ascii="Arial" w:eastAsia="Arial" w:hAnsi="Arial"/>
          <w:color w:val="000000"/>
          <w:spacing w:val="-1"/>
        </w:rPr>
        <w:t>GPO Box 2013</w:t>
      </w:r>
    </w:p>
    <w:p w:rsidR="00052E12" w:rsidRDefault="00B35890">
      <w:pPr>
        <w:spacing w:before="3" w:line="251" w:lineRule="exact"/>
        <w:ind w:left="1152"/>
        <w:textAlignment w:val="baseline"/>
        <w:rPr>
          <w:rFonts w:ascii="Arial" w:eastAsia="Arial" w:hAnsi="Arial"/>
          <w:color w:val="000000"/>
          <w:spacing w:val="-2"/>
        </w:rPr>
      </w:pPr>
      <w:r>
        <w:rPr>
          <w:rFonts w:ascii="Arial" w:eastAsia="Arial" w:hAnsi="Arial"/>
          <w:color w:val="000000"/>
          <w:spacing w:val="-2"/>
        </w:rPr>
        <w:t>Canberra ACT 2601</w:t>
      </w:r>
    </w:p>
    <w:p w:rsidR="00052E12" w:rsidRDefault="00B35890">
      <w:pPr>
        <w:spacing w:before="4" w:line="251" w:lineRule="exact"/>
        <w:ind w:left="1152"/>
        <w:textAlignment w:val="baseline"/>
        <w:rPr>
          <w:rFonts w:ascii="Arial" w:eastAsia="Arial" w:hAnsi="Arial"/>
          <w:color w:val="000000"/>
        </w:rPr>
      </w:pPr>
      <w:hyperlink r:id="rId7">
        <w:r>
          <w:rPr>
            <w:rFonts w:ascii="Arial" w:eastAsia="Arial" w:hAnsi="Arial"/>
            <w:color w:val="0000FF"/>
            <w:u w:val="single"/>
          </w:rPr>
          <w:t>Email: GPTSecretariat@industry.gov.au</w:t>
        </w:r>
      </w:hyperlink>
      <w:r>
        <w:rPr>
          <w:rFonts w:ascii="Arial" w:eastAsia="Arial" w:hAnsi="Arial"/>
          <w:color w:val="000000"/>
        </w:rPr>
        <w:t xml:space="preserve"> </w:t>
      </w:r>
    </w:p>
    <w:p w:rsidR="00052E12" w:rsidRDefault="00B35890">
      <w:pPr>
        <w:spacing w:before="507" w:line="251" w:lineRule="exact"/>
        <w:ind w:left="1152"/>
        <w:textAlignment w:val="baseline"/>
        <w:rPr>
          <w:rFonts w:ascii="Arial" w:eastAsia="Arial" w:hAnsi="Arial"/>
          <w:color w:val="000000"/>
          <w:spacing w:val="-1"/>
        </w:rPr>
      </w:pPr>
      <w:r>
        <w:rPr>
          <w:rFonts w:ascii="Arial" w:eastAsia="Arial" w:hAnsi="Arial"/>
          <w:color w:val="000000"/>
          <w:spacing w:val="-1"/>
        </w:rPr>
        <w:t>Dear Sir / Madam</w:t>
      </w:r>
    </w:p>
    <w:p w:rsidR="00052E12" w:rsidRDefault="00B35890">
      <w:pPr>
        <w:spacing w:before="250" w:line="255" w:lineRule="exact"/>
        <w:ind w:left="1152" w:right="360"/>
        <w:textAlignment w:val="baseline"/>
        <w:rPr>
          <w:rFonts w:ascii="Arial" w:eastAsia="Arial" w:hAnsi="Arial"/>
          <w:b/>
          <w:color w:val="000000"/>
        </w:rPr>
      </w:pPr>
      <w:r>
        <w:rPr>
          <w:rFonts w:ascii="Arial" w:eastAsia="Arial" w:hAnsi="Arial"/>
          <w:b/>
          <w:color w:val="000000"/>
        </w:rPr>
        <w:t>Submission to the Proposed Classification of Tiers for the reform of the Australian Energy Regulator Civil Penalty Regime consultation</w:t>
      </w:r>
    </w:p>
    <w:p w:rsidR="00052E12" w:rsidRDefault="00B35890">
      <w:pPr>
        <w:spacing w:before="253" w:line="252" w:lineRule="exact"/>
        <w:ind w:left="1152" w:right="72"/>
        <w:textAlignment w:val="baseline"/>
        <w:rPr>
          <w:rFonts w:ascii="Arial" w:eastAsia="Arial" w:hAnsi="Arial"/>
          <w:color w:val="000000"/>
        </w:rPr>
      </w:pPr>
      <w:r>
        <w:rPr>
          <w:rFonts w:ascii="Arial" w:eastAsia="Arial" w:hAnsi="Arial"/>
          <w:color w:val="000000"/>
        </w:rPr>
        <w:t>Ergon Energy Queensland Pty Ltd (Ergon Energy Retail) welcomes the opportunity to provide comment to the COAG Energy Coun</w:t>
      </w:r>
      <w:r>
        <w:rPr>
          <w:rFonts w:ascii="Arial" w:eastAsia="Arial" w:hAnsi="Arial"/>
          <w:color w:val="000000"/>
        </w:rPr>
        <w:t>cil on its consultation on the Proposed Classification of Tiers for the reform of the Australian Energy Regulator (AER) Civil Penalty Regime (Consultation Paper).</w:t>
      </w:r>
    </w:p>
    <w:p w:rsidR="00052E12" w:rsidRDefault="00B35890">
      <w:pPr>
        <w:spacing w:before="264" w:line="252" w:lineRule="exact"/>
        <w:ind w:left="1152"/>
        <w:textAlignment w:val="baseline"/>
        <w:rPr>
          <w:rFonts w:ascii="Arial" w:eastAsia="Arial" w:hAnsi="Arial"/>
          <w:color w:val="000000"/>
        </w:rPr>
      </w:pPr>
      <w:r>
        <w:rPr>
          <w:rFonts w:ascii="Arial" w:eastAsia="Arial" w:hAnsi="Arial"/>
          <w:color w:val="000000"/>
        </w:rPr>
        <w:t>Ergon Energy Queensland has concerns that the proposed increases to civil penalty amounts for</w:t>
      </w:r>
      <w:r>
        <w:rPr>
          <w:rFonts w:ascii="Arial" w:eastAsia="Arial" w:hAnsi="Arial"/>
          <w:color w:val="000000"/>
        </w:rPr>
        <w:t xml:space="preserve"> infringement notices are not proportionate to the offence, and similarly that the description of customer harm in the Concept Table does not reflect the level of severity represented in the AER Compliance Procedures and Guidelines. For example, the propos</w:t>
      </w:r>
      <w:r>
        <w:rPr>
          <w:rFonts w:ascii="Arial" w:eastAsia="Arial" w:hAnsi="Arial"/>
          <w:color w:val="000000"/>
        </w:rPr>
        <w:t>ed increases in penalty amounts for some breaches of the retail rules are so significant that it would imply the breach is no longer relatively minor, and therefore not a breach for which an infringement notice would be appropriate. Furthermore, we note th</w:t>
      </w:r>
      <w:r>
        <w:rPr>
          <w:rFonts w:ascii="Arial" w:eastAsia="Arial" w:hAnsi="Arial"/>
          <w:color w:val="000000"/>
        </w:rPr>
        <w:t>at some sections of the National Energy Retail Law are proposed to be classified as a Customer Harm (Type 1) breach, whereas these sections are currently not reportable breaches, suggesting they would have limited consumer impact.</w:t>
      </w:r>
    </w:p>
    <w:p w:rsidR="00052E12" w:rsidRDefault="00B35890">
      <w:pPr>
        <w:spacing w:before="259" w:line="252" w:lineRule="exact"/>
        <w:ind w:left="1152" w:right="72"/>
        <w:textAlignment w:val="baseline"/>
        <w:rPr>
          <w:rFonts w:ascii="Arial" w:eastAsia="Arial" w:hAnsi="Arial"/>
          <w:color w:val="000000"/>
        </w:rPr>
      </w:pPr>
      <w:r>
        <w:rPr>
          <w:rFonts w:ascii="Arial" w:eastAsia="Arial" w:hAnsi="Arial"/>
          <w:color w:val="000000"/>
        </w:rPr>
        <w:t>Ergon Energy Retail has p</w:t>
      </w:r>
      <w:r>
        <w:rPr>
          <w:rFonts w:ascii="Arial" w:eastAsia="Arial" w:hAnsi="Arial"/>
          <w:color w:val="000000"/>
        </w:rPr>
        <w:t>rovided a response to each of the questions raised in the Consultation Paper in the attached table, and provides further detail to the abovementioned concerns in these responses. We also direct the COAG Energy Council to the Australian Energy Council submi</w:t>
      </w:r>
      <w:r>
        <w:rPr>
          <w:rFonts w:ascii="Arial" w:eastAsia="Arial" w:hAnsi="Arial"/>
          <w:color w:val="000000"/>
        </w:rPr>
        <w:t>ssion to the Consultation Paper, which we support.</w:t>
      </w:r>
    </w:p>
    <w:p w:rsidR="00052E12" w:rsidRDefault="00B35890">
      <w:pPr>
        <w:spacing w:before="253" w:line="251" w:lineRule="exact"/>
        <w:ind w:left="1152"/>
        <w:textAlignment w:val="baseline"/>
        <w:rPr>
          <w:rFonts w:ascii="Arial" w:eastAsia="Arial" w:hAnsi="Arial"/>
          <w:color w:val="000000"/>
        </w:rPr>
      </w:pPr>
      <w:r>
        <w:rPr>
          <w:rFonts w:ascii="Arial" w:eastAsia="Arial" w:hAnsi="Arial"/>
          <w:color w:val="000000"/>
        </w:rPr>
        <w:t>Should you require additional information or wish to discuss any aspect of this submission,</w:t>
      </w:r>
    </w:p>
    <w:p w:rsidR="00052E12" w:rsidRDefault="00B35890">
      <w:pPr>
        <w:spacing w:before="4" w:line="251" w:lineRule="exact"/>
        <w:ind w:left="1152"/>
        <w:textAlignment w:val="baseline"/>
        <w:rPr>
          <w:rFonts w:ascii="Arial" w:eastAsia="Arial" w:hAnsi="Arial"/>
          <w:color w:val="000000"/>
        </w:rPr>
      </w:pPr>
      <w:proofErr w:type="gramStart"/>
      <w:r>
        <w:rPr>
          <w:rFonts w:ascii="Arial" w:eastAsia="Arial" w:hAnsi="Arial"/>
          <w:color w:val="000000"/>
        </w:rPr>
        <w:t>please</w:t>
      </w:r>
      <w:proofErr w:type="gramEnd"/>
      <w:r>
        <w:rPr>
          <w:rFonts w:ascii="Arial" w:eastAsia="Arial" w:hAnsi="Arial"/>
          <w:color w:val="000000"/>
        </w:rPr>
        <w:t xml:space="preserve"> contact either myself on 0467 782 350 or Barbara Neil on 0429 782 860.</w:t>
      </w:r>
    </w:p>
    <w:p w:rsidR="00052E12" w:rsidRDefault="00B35890">
      <w:pPr>
        <w:spacing w:before="253" w:after="17" w:line="251" w:lineRule="exact"/>
        <w:ind w:left="1152"/>
        <w:textAlignment w:val="baseline"/>
        <w:rPr>
          <w:rFonts w:ascii="Arial" w:eastAsia="Arial" w:hAnsi="Arial"/>
          <w:color w:val="000000"/>
        </w:rPr>
      </w:pPr>
      <w:r>
        <w:rPr>
          <w:rFonts w:ascii="Arial" w:eastAsia="Arial" w:hAnsi="Arial"/>
          <w:color w:val="000000"/>
        </w:rPr>
        <w:t>Yours sincerely</w:t>
      </w:r>
    </w:p>
    <w:p w:rsidR="00052E12" w:rsidRDefault="00B35890">
      <w:pPr>
        <w:spacing w:after="79"/>
        <w:ind w:left="1315" w:right="6405"/>
        <w:textAlignment w:val="baseline"/>
      </w:pPr>
      <w:r>
        <w:rPr>
          <w:noProof/>
          <w:lang w:val="en-AU" w:eastAsia="en-AU"/>
        </w:rPr>
        <w:drawing>
          <wp:inline distT="0" distB="0" distL="0" distR="0">
            <wp:extent cx="1524000" cy="451485"/>
            <wp:effectExtent l="0" t="0" r="0" b="0"/>
            <wp:docPr id="2" name="Picture"/>
            <wp:cNvGraphicFramePr/>
            <a:graphic xmlns:a="http://schemas.openxmlformats.org/drawingml/2006/main">
              <a:graphicData uri="http://schemas.openxmlformats.org/drawingml/2006/picture">
                <pic:pic xmlns:pic="http://schemas.openxmlformats.org/drawingml/2006/picture">
                  <pic:nvPicPr>
                    <pic:cNvPr id="2" name="Picture"/>
                    <pic:cNvPicPr preferRelativeResize="0"/>
                  </pic:nvPicPr>
                  <pic:blipFill>
                    <a:blip r:embed="rId8"/>
                    <a:stretch>
                      <a:fillRect/>
                    </a:stretch>
                  </pic:blipFill>
                  <pic:spPr>
                    <a:xfrm>
                      <a:off x="0" y="0"/>
                      <a:ext cx="1524000" cy="451485"/>
                    </a:xfrm>
                    <a:prstGeom prst="rect">
                      <a:avLst/>
                    </a:prstGeom>
                  </pic:spPr>
                </pic:pic>
              </a:graphicData>
            </a:graphic>
          </wp:inline>
        </w:drawing>
      </w:r>
    </w:p>
    <w:p w:rsidR="00052E12" w:rsidRDefault="00B35890">
      <w:pPr>
        <w:spacing w:before="2" w:line="250" w:lineRule="exact"/>
        <w:ind w:left="1152"/>
        <w:textAlignment w:val="baseline"/>
        <w:rPr>
          <w:rFonts w:ascii="Arial" w:eastAsia="Arial" w:hAnsi="Arial"/>
          <w:color w:val="000000"/>
        </w:rPr>
      </w:pPr>
      <w:r>
        <w:rPr>
          <w:rFonts w:ascii="Arial" w:eastAsia="Arial" w:hAnsi="Arial"/>
          <w:color w:val="000000"/>
        </w:rPr>
        <w:t>Trudy Fraser</w:t>
      </w:r>
    </w:p>
    <w:p w:rsidR="00052E12" w:rsidRDefault="00B35890">
      <w:pPr>
        <w:spacing w:line="252" w:lineRule="exact"/>
        <w:ind w:left="1152"/>
        <w:textAlignment w:val="baseline"/>
        <w:rPr>
          <w:rFonts w:ascii="Arial" w:eastAsia="Arial" w:hAnsi="Arial"/>
          <w:b/>
          <w:color w:val="000000"/>
          <w:spacing w:val="-1"/>
        </w:rPr>
      </w:pPr>
      <w:r>
        <w:rPr>
          <w:rFonts w:ascii="Arial" w:eastAsia="Arial" w:hAnsi="Arial"/>
          <w:b/>
          <w:color w:val="000000"/>
          <w:spacing w:val="-1"/>
        </w:rPr>
        <w:t>Manager Regulation</w:t>
      </w:r>
    </w:p>
    <w:p w:rsidR="00052E12" w:rsidRDefault="00B35890">
      <w:pPr>
        <w:spacing w:before="257" w:line="251" w:lineRule="exact"/>
        <w:ind w:left="1152"/>
        <w:textAlignment w:val="baseline"/>
        <w:rPr>
          <w:rFonts w:ascii="Arial" w:eastAsia="Arial" w:hAnsi="Arial"/>
          <w:color w:val="000000"/>
        </w:rPr>
      </w:pPr>
      <w:hyperlink r:id="rId9">
        <w:r>
          <w:rPr>
            <w:rFonts w:ascii="Arial" w:eastAsia="Arial" w:hAnsi="Arial"/>
            <w:color w:val="0000FF"/>
            <w:u w:val="single"/>
          </w:rPr>
          <w:t>Email: trudy.fraser@energyq.com.au</w:t>
        </w:r>
      </w:hyperlink>
      <w:r>
        <w:rPr>
          <w:rFonts w:ascii="Arial" w:eastAsia="Arial" w:hAnsi="Arial"/>
          <w:color w:val="000000"/>
        </w:rPr>
        <w:t xml:space="preserve"> </w:t>
      </w:r>
    </w:p>
    <w:p w:rsidR="00052E12" w:rsidRDefault="00B35890">
      <w:pPr>
        <w:spacing w:before="248" w:line="263" w:lineRule="exact"/>
        <w:ind w:left="1152"/>
        <w:textAlignment w:val="baseline"/>
        <w:rPr>
          <w:rFonts w:ascii="Arial" w:eastAsia="Arial" w:hAnsi="Arial"/>
          <w:b/>
          <w:i/>
          <w:color w:val="000000"/>
        </w:rPr>
      </w:pPr>
      <w:proofErr w:type="spellStart"/>
      <w:r>
        <w:rPr>
          <w:rFonts w:ascii="Arial" w:eastAsia="Arial" w:hAnsi="Arial"/>
          <w:b/>
          <w:i/>
          <w:color w:val="000000"/>
        </w:rPr>
        <w:t>Encl</w:t>
      </w:r>
      <w:proofErr w:type="spellEnd"/>
      <w:r>
        <w:rPr>
          <w:rFonts w:ascii="Arial" w:eastAsia="Arial" w:hAnsi="Arial"/>
          <w:b/>
          <w:i/>
          <w:color w:val="000000"/>
        </w:rPr>
        <w:t xml:space="preserve"> </w:t>
      </w:r>
      <w:r>
        <w:rPr>
          <w:rFonts w:ascii="Arial" w:eastAsia="Arial" w:hAnsi="Arial"/>
          <w:i/>
          <w:color w:val="000000"/>
          <w:sz w:val="25"/>
        </w:rPr>
        <w:t xml:space="preserve">– </w:t>
      </w:r>
      <w:r>
        <w:rPr>
          <w:rFonts w:ascii="Arial" w:eastAsia="Arial" w:hAnsi="Arial"/>
          <w:i/>
          <w:color w:val="000000"/>
        </w:rPr>
        <w:t>Ergon Energy Retail comments on the Consultation Paper</w:t>
      </w:r>
    </w:p>
    <w:p w:rsidR="00052E12" w:rsidRDefault="00B35890">
      <w:pPr>
        <w:spacing w:before="611" w:line="187" w:lineRule="exact"/>
        <w:jc w:val="center"/>
        <w:textAlignment w:val="baseline"/>
        <w:rPr>
          <w:rFonts w:ascii="Arial" w:eastAsia="Arial" w:hAnsi="Arial"/>
          <w:color w:val="377D2F"/>
          <w:spacing w:val="3"/>
          <w:sz w:val="16"/>
        </w:rPr>
      </w:pPr>
      <w:r>
        <w:rPr>
          <w:rFonts w:ascii="Arial" w:eastAsia="Arial" w:hAnsi="Arial"/>
          <w:color w:val="377D2F"/>
          <w:spacing w:val="3"/>
          <w:sz w:val="16"/>
        </w:rPr>
        <w:t>Ergon Energy Queensland Pty Ltd ABN 11 121 177 80 2</w:t>
      </w:r>
    </w:p>
    <w:p w:rsidR="00052E12" w:rsidRDefault="00052E12">
      <w:pPr>
        <w:sectPr w:rsidR="00052E12">
          <w:pgSz w:w="11909" w:h="16838"/>
          <w:pgMar w:top="180" w:right="1496" w:bottom="362" w:left="293" w:header="720" w:footer="720" w:gutter="0"/>
          <w:cols w:space="720"/>
        </w:sectPr>
      </w:pPr>
    </w:p>
    <w:p w:rsidR="00052E12" w:rsidRDefault="00B35890">
      <w:pPr>
        <w:spacing w:after="827" w:line="494" w:lineRule="exact"/>
        <w:ind w:left="2520" w:right="1512" w:hanging="2448"/>
        <w:textAlignment w:val="baseline"/>
        <w:rPr>
          <w:rFonts w:ascii="Arial" w:eastAsia="Arial" w:hAnsi="Arial"/>
          <w:b/>
          <w:color w:val="9CC574"/>
          <w:w w:val="120"/>
          <w:sz w:val="35"/>
        </w:rPr>
      </w:pPr>
      <w:r>
        <w:rPr>
          <w:rFonts w:ascii="Arial" w:eastAsia="Arial" w:hAnsi="Arial"/>
          <w:b/>
          <w:color w:val="9CC574"/>
          <w:w w:val="120"/>
          <w:sz w:val="35"/>
        </w:rPr>
        <w:lastRenderedPageBreak/>
        <w:t>Proposed Classification of Tiers for the reform of the Australian Energy Regulator Civil Penalty Regime</w:t>
      </w:r>
    </w:p>
    <w:tbl>
      <w:tblPr>
        <w:tblW w:w="0" w:type="auto"/>
        <w:tblInd w:w="14" w:type="dxa"/>
        <w:tblLayout w:type="fixed"/>
        <w:tblCellMar>
          <w:left w:w="0" w:type="dxa"/>
          <w:right w:w="0" w:type="dxa"/>
        </w:tblCellMar>
        <w:tblLook w:val="0000" w:firstRow="0" w:lastRow="0" w:firstColumn="0" w:lastColumn="0" w:noHBand="0" w:noVBand="0"/>
      </w:tblPr>
      <w:tblGrid>
        <w:gridCol w:w="394"/>
        <w:gridCol w:w="5529"/>
        <w:gridCol w:w="8088"/>
      </w:tblGrid>
      <w:tr w:rsidR="00052E12">
        <w:tblPrEx>
          <w:tblCellMar>
            <w:top w:w="0" w:type="dxa"/>
            <w:bottom w:w="0" w:type="dxa"/>
          </w:tblCellMar>
        </w:tblPrEx>
        <w:trPr>
          <w:trHeight w:hRule="exact" w:val="624"/>
        </w:trPr>
        <w:tc>
          <w:tcPr>
            <w:tcW w:w="394" w:type="dxa"/>
            <w:tcBorders>
              <w:top w:val="single" w:sz="5" w:space="0" w:color="000000"/>
              <w:left w:val="single" w:sz="5" w:space="0" w:color="000000"/>
              <w:bottom w:val="single" w:sz="5" w:space="0" w:color="000000"/>
              <w:right w:val="single" w:sz="5" w:space="0" w:color="000000"/>
            </w:tcBorders>
            <w:shd w:val="clear" w:color="9CC574" w:fill="9CC574"/>
          </w:tcPr>
          <w:p w:rsidR="00052E12" w:rsidRDefault="00B35890">
            <w:pPr>
              <w:textAlignment w:val="baseline"/>
              <w:rPr>
                <w:rFonts w:ascii="Arial" w:eastAsia="Arial" w:hAnsi="Arial"/>
                <w:color w:val="000000"/>
                <w:sz w:val="24"/>
              </w:rPr>
            </w:pPr>
            <w:r>
              <w:rPr>
                <w:rFonts w:ascii="Arial" w:eastAsia="Arial" w:hAnsi="Arial"/>
                <w:color w:val="000000"/>
                <w:sz w:val="24"/>
              </w:rPr>
              <w:t xml:space="preserve"> </w:t>
            </w:r>
          </w:p>
        </w:tc>
        <w:tc>
          <w:tcPr>
            <w:tcW w:w="5529" w:type="dxa"/>
            <w:tcBorders>
              <w:top w:val="single" w:sz="5" w:space="0" w:color="000000"/>
              <w:left w:val="single" w:sz="5" w:space="0" w:color="000000"/>
              <w:bottom w:val="single" w:sz="5" w:space="0" w:color="000000"/>
              <w:right w:val="single" w:sz="5" w:space="0" w:color="000000"/>
            </w:tcBorders>
            <w:shd w:val="clear" w:color="9CC574" w:fill="9CC574"/>
            <w:vAlign w:val="center"/>
          </w:tcPr>
          <w:p w:rsidR="00052E12" w:rsidRDefault="00B35890">
            <w:pPr>
              <w:spacing w:before="144" w:after="228" w:line="252" w:lineRule="exact"/>
              <w:ind w:left="825"/>
              <w:textAlignment w:val="baseline"/>
              <w:rPr>
                <w:rFonts w:ascii="Arial" w:eastAsia="Arial" w:hAnsi="Arial"/>
                <w:b/>
                <w:color w:val="FFFFFF"/>
              </w:rPr>
            </w:pPr>
            <w:r>
              <w:rPr>
                <w:rFonts w:ascii="Arial" w:eastAsia="Arial" w:hAnsi="Arial"/>
                <w:b/>
                <w:color w:val="FFFFFF"/>
              </w:rPr>
              <w:t>Consultation Paper Feedback Question</w:t>
            </w:r>
          </w:p>
        </w:tc>
        <w:tc>
          <w:tcPr>
            <w:tcW w:w="8088" w:type="dxa"/>
            <w:tcBorders>
              <w:top w:val="single" w:sz="5" w:space="0" w:color="000000"/>
              <w:left w:val="single" w:sz="5" w:space="0" w:color="000000"/>
              <w:bottom w:val="single" w:sz="5" w:space="0" w:color="000000"/>
              <w:right w:val="single" w:sz="5" w:space="0" w:color="000000"/>
            </w:tcBorders>
            <w:shd w:val="clear" w:color="9CC574" w:fill="9CC574"/>
          </w:tcPr>
          <w:p w:rsidR="00052E12" w:rsidRDefault="00B35890">
            <w:pPr>
              <w:spacing w:before="139" w:after="233" w:line="252" w:lineRule="exact"/>
              <w:jc w:val="center"/>
              <w:textAlignment w:val="baseline"/>
              <w:rPr>
                <w:rFonts w:ascii="Arial" w:eastAsia="Arial" w:hAnsi="Arial"/>
                <w:b/>
                <w:color w:val="FFFFFF"/>
              </w:rPr>
            </w:pPr>
            <w:r>
              <w:rPr>
                <w:rFonts w:ascii="Arial" w:eastAsia="Arial" w:hAnsi="Arial"/>
                <w:b/>
                <w:color w:val="FFFFFF"/>
              </w:rPr>
              <w:t>Ergon Energy Retail Comment</w:t>
            </w:r>
          </w:p>
        </w:tc>
      </w:tr>
      <w:tr w:rsidR="00052E12">
        <w:tblPrEx>
          <w:tblCellMar>
            <w:top w:w="0" w:type="dxa"/>
            <w:bottom w:w="0" w:type="dxa"/>
          </w:tblCellMar>
        </w:tblPrEx>
        <w:trPr>
          <w:trHeight w:hRule="exact" w:val="1416"/>
        </w:trPr>
        <w:tc>
          <w:tcPr>
            <w:tcW w:w="394" w:type="dxa"/>
            <w:tcBorders>
              <w:top w:val="single" w:sz="5" w:space="0" w:color="000000"/>
              <w:left w:val="single" w:sz="5" w:space="0" w:color="000000"/>
              <w:bottom w:val="single" w:sz="5" w:space="0" w:color="000000"/>
              <w:right w:val="single" w:sz="5" w:space="0" w:color="000000"/>
            </w:tcBorders>
          </w:tcPr>
          <w:p w:rsidR="00052E12" w:rsidRDefault="00B35890">
            <w:pPr>
              <w:numPr>
                <w:ilvl w:val="0"/>
                <w:numId w:val="1"/>
              </w:numPr>
              <w:spacing w:before="139" w:after="1020" w:line="252" w:lineRule="exact"/>
              <w:jc w:val="center"/>
              <w:textAlignment w:val="baseline"/>
              <w:rPr>
                <w:rFonts w:ascii="Arial" w:eastAsia="Arial" w:hAnsi="Arial"/>
                <w:color w:val="000000"/>
              </w:rPr>
            </w:pPr>
            <w:r>
              <w:rPr>
                <w:rFonts w:ascii="Arial" w:eastAsia="Arial" w:hAnsi="Arial"/>
                <w:color w:val="000000"/>
              </w:rPr>
              <w:t xml:space="preserve"> </w:t>
            </w:r>
          </w:p>
        </w:tc>
        <w:tc>
          <w:tcPr>
            <w:tcW w:w="5529" w:type="dxa"/>
            <w:tcBorders>
              <w:top w:val="single" w:sz="5" w:space="0" w:color="000000"/>
              <w:left w:val="single" w:sz="5" w:space="0" w:color="000000"/>
              <w:bottom w:val="single" w:sz="5" w:space="0" w:color="000000"/>
              <w:right w:val="single" w:sz="5" w:space="0" w:color="000000"/>
            </w:tcBorders>
          </w:tcPr>
          <w:p w:rsidR="00052E12" w:rsidRDefault="00B35890">
            <w:pPr>
              <w:spacing w:before="139" w:after="516" w:line="252" w:lineRule="exact"/>
              <w:ind w:left="108" w:right="360"/>
              <w:textAlignment w:val="baseline"/>
              <w:rPr>
                <w:rFonts w:ascii="Arial" w:eastAsia="Arial" w:hAnsi="Arial"/>
                <w:color w:val="000000"/>
              </w:rPr>
            </w:pPr>
            <w:r>
              <w:rPr>
                <w:rFonts w:ascii="Arial" w:eastAsia="Arial" w:hAnsi="Arial"/>
                <w:color w:val="000000"/>
              </w:rPr>
              <w:t>Do the Decision Matrix and Concept Table provide sufficiently clear direction about which penalty tier to apply?</w:t>
            </w:r>
          </w:p>
        </w:tc>
        <w:tc>
          <w:tcPr>
            <w:tcW w:w="8088" w:type="dxa"/>
            <w:tcBorders>
              <w:top w:val="single" w:sz="5" w:space="0" w:color="000000"/>
              <w:left w:val="single" w:sz="5" w:space="0" w:color="000000"/>
              <w:bottom w:val="single" w:sz="5" w:space="0" w:color="000000"/>
              <w:right w:val="single" w:sz="5" w:space="0" w:color="000000"/>
            </w:tcBorders>
          </w:tcPr>
          <w:p w:rsidR="00052E12" w:rsidRDefault="00B35890">
            <w:pPr>
              <w:spacing w:before="104" w:after="151" w:line="289" w:lineRule="exact"/>
              <w:ind w:left="108" w:right="360"/>
              <w:textAlignment w:val="baseline"/>
              <w:rPr>
                <w:rFonts w:ascii="Arial" w:eastAsia="Arial" w:hAnsi="Arial"/>
                <w:color w:val="000000"/>
              </w:rPr>
            </w:pPr>
            <w:r>
              <w:rPr>
                <w:rFonts w:ascii="Arial" w:eastAsia="Arial" w:hAnsi="Arial"/>
                <w:color w:val="000000"/>
              </w:rPr>
              <w:t>Ergon Energy Retail agrees the Decision Matrix is clear. However, we suggest the Concept Table could more clearly define the nature of Consumer</w:t>
            </w:r>
            <w:r>
              <w:rPr>
                <w:rFonts w:ascii="Arial" w:eastAsia="Arial" w:hAnsi="Arial"/>
                <w:color w:val="000000"/>
              </w:rPr>
              <w:t xml:space="preserve"> Harm (Type 1) captured in a Tier 1 offence to provide clarity on the </w:t>
            </w:r>
            <w:proofErr w:type="spellStart"/>
            <w:r>
              <w:rPr>
                <w:rFonts w:ascii="Arial" w:eastAsia="Arial" w:hAnsi="Arial"/>
                <w:color w:val="000000"/>
              </w:rPr>
              <w:t>behaviours</w:t>
            </w:r>
            <w:proofErr w:type="spellEnd"/>
            <w:r>
              <w:rPr>
                <w:rFonts w:ascii="Arial" w:eastAsia="Arial" w:hAnsi="Arial"/>
                <w:color w:val="000000"/>
              </w:rPr>
              <w:t xml:space="preserve"> or outcomes which would warrant the highest penalty.</w:t>
            </w:r>
          </w:p>
        </w:tc>
      </w:tr>
      <w:tr w:rsidR="00052E12">
        <w:tblPrEx>
          <w:tblCellMar>
            <w:top w:w="0" w:type="dxa"/>
            <w:bottom w:w="0" w:type="dxa"/>
          </w:tblCellMar>
        </w:tblPrEx>
        <w:trPr>
          <w:trHeight w:hRule="exact" w:val="1123"/>
        </w:trPr>
        <w:tc>
          <w:tcPr>
            <w:tcW w:w="394" w:type="dxa"/>
            <w:tcBorders>
              <w:top w:val="single" w:sz="5" w:space="0" w:color="000000"/>
              <w:left w:val="single" w:sz="5" w:space="0" w:color="000000"/>
              <w:bottom w:val="single" w:sz="5" w:space="0" w:color="000000"/>
              <w:right w:val="single" w:sz="5" w:space="0" w:color="000000"/>
            </w:tcBorders>
          </w:tcPr>
          <w:p w:rsidR="00052E12" w:rsidRDefault="00B35890">
            <w:pPr>
              <w:numPr>
                <w:ilvl w:val="0"/>
                <w:numId w:val="1"/>
              </w:numPr>
              <w:spacing w:before="134" w:after="732" w:line="252" w:lineRule="exact"/>
              <w:jc w:val="center"/>
              <w:textAlignment w:val="baseline"/>
              <w:rPr>
                <w:rFonts w:ascii="Arial" w:eastAsia="Arial" w:hAnsi="Arial"/>
                <w:color w:val="000000"/>
              </w:rPr>
            </w:pPr>
            <w:r>
              <w:rPr>
                <w:rFonts w:ascii="Arial" w:eastAsia="Arial" w:hAnsi="Arial"/>
                <w:color w:val="000000"/>
              </w:rPr>
              <w:t xml:space="preserve"> </w:t>
            </w:r>
          </w:p>
        </w:tc>
        <w:tc>
          <w:tcPr>
            <w:tcW w:w="5529" w:type="dxa"/>
            <w:tcBorders>
              <w:top w:val="single" w:sz="5" w:space="0" w:color="000000"/>
              <w:left w:val="single" w:sz="5" w:space="0" w:color="000000"/>
              <w:bottom w:val="single" w:sz="5" w:space="0" w:color="000000"/>
              <w:right w:val="single" w:sz="5" w:space="0" w:color="000000"/>
            </w:tcBorders>
          </w:tcPr>
          <w:p w:rsidR="00052E12" w:rsidRDefault="00B35890">
            <w:pPr>
              <w:spacing w:before="133" w:after="223" w:line="254" w:lineRule="exact"/>
              <w:ind w:left="108" w:right="900"/>
              <w:textAlignment w:val="baseline"/>
              <w:rPr>
                <w:rFonts w:ascii="Arial" w:eastAsia="Arial" w:hAnsi="Arial"/>
                <w:color w:val="000000"/>
              </w:rPr>
            </w:pPr>
            <w:r>
              <w:rPr>
                <w:rFonts w:ascii="Arial" w:eastAsia="Arial" w:hAnsi="Arial"/>
                <w:color w:val="000000"/>
              </w:rPr>
              <w:t>Are the key objectives of the National Energy Objectives reflected in the Decision Matrix and Concept Table?</w:t>
            </w:r>
          </w:p>
        </w:tc>
        <w:tc>
          <w:tcPr>
            <w:tcW w:w="8088" w:type="dxa"/>
            <w:tcBorders>
              <w:top w:val="single" w:sz="5" w:space="0" w:color="000000"/>
              <w:left w:val="single" w:sz="5" w:space="0" w:color="000000"/>
              <w:bottom w:val="single" w:sz="5" w:space="0" w:color="000000"/>
              <w:right w:val="single" w:sz="5" w:space="0" w:color="000000"/>
            </w:tcBorders>
          </w:tcPr>
          <w:p w:rsidR="00052E12" w:rsidRDefault="00B35890">
            <w:pPr>
              <w:spacing w:before="97" w:after="151" w:line="290" w:lineRule="exact"/>
              <w:ind w:left="108" w:right="468"/>
              <w:textAlignment w:val="baseline"/>
              <w:rPr>
                <w:rFonts w:ascii="Arial" w:eastAsia="Arial" w:hAnsi="Arial"/>
                <w:color w:val="000000"/>
              </w:rPr>
            </w:pPr>
            <w:r>
              <w:rPr>
                <w:rFonts w:ascii="Arial" w:eastAsia="Arial" w:hAnsi="Arial"/>
                <w:color w:val="000000"/>
              </w:rPr>
              <w:t>Ergon Energy Retail agrees that the key elements of the National Electricity Objectives and National Energy Retail Objectives (NERO) are reflected in the Decision Matrix and Concept Table.</w:t>
            </w:r>
          </w:p>
        </w:tc>
      </w:tr>
      <w:tr w:rsidR="00052E12">
        <w:tblPrEx>
          <w:tblCellMar>
            <w:top w:w="0" w:type="dxa"/>
            <w:bottom w:w="0" w:type="dxa"/>
          </w:tblCellMar>
        </w:tblPrEx>
        <w:trPr>
          <w:trHeight w:hRule="exact" w:val="754"/>
        </w:trPr>
        <w:tc>
          <w:tcPr>
            <w:tcW w:w="394" w:type="dxa"/>
            <w:tcBorders>
              <w:top w:val="single" w:sz="5" w:space="0" w:color="000000"/>
              <w:left w:val="single" w:sz="5" w:space="0" w:color="000000"/>
              <w:bottom w:val="single" w:sz="5" w:space="0" w:color="000000"/>
              <w:right w:val="single" w:sz="5" w:space="0" w:color="000000"/>
            </w:tcBorders>
          </w:tcPr>
          <w:p w:rsidR="00052E12" w:rsidRDefault="00B35890">
            <w:pPr>
              <w:numPr>
                <w:ilvl w:val="0"/>
                <w:numId w:val="1"/>
              </w:numPr>
              <w:spacing w:before="134" w:after="358" w:line="252" w:lineRule="exact"/>
              <w:jc w:val="center"/>
              <w:textAlignment w:val="baseline"/>
              <w:rPr>
                <w:rFonts w:ascii="Arial" w:eastAsia="Arial" w:hAnsi="Arial"/>
                <w:color w:val="000000"/>
              </w:rPr>
            </w:pPr>
            <w:r>
              <w:rPr>
                <w:rFonts w:ascii="Arial" w:eastAsia="Arial" w:hAnsi="Arial"/>
                <w:color w:val="000000"/>
              </w:rPr>
              <w:t xml:space="preserve"> </w:t>
            </w:r>
          </w:p>
        </w:tc>
        <w:tc>
          <w:tcPr>
            <w:tcW w:w="5529" w:type="dxa"/>
            <w:tcBorders>
              <w:top w:val="single" w:sz="5" w:space="0" w:color="000000"/>
              <w:left w:val="single" w:sz="5" w:space="0" w:color="000000"/>
              <w:bottom w:val="single" w:sz="5" w:space="0" w:color="000000"/>
              <w:right w:val="single" w:sz="5" w:space="0" w:color="000000"/>
            </w:tcBorders>
          </w:tcPr>
          <w:p w:rsidR="00052E12" w:rsidRDefault="00B35890">
            <w:pPr>
              <w:spacing w:before="131" w:after="103" w:line="255" w:lineRule="exact"/>
              <w:ind w:left="108" w:right="432"/>
              <w:textAlignment w:val="baseline"/>
              <w:rPr>
                <w:rFonts w:ascii="Arial" w:eastAsia="Arial" w:hAnsi="Arial"/>
                <w:color w:val="000000"/>
              </w:rPr>
            </w:pPr>
            <w:r>
              <w:rPr>
                <w:rFonts w:ascii="Arial" w:eastAsia="Arial" w:hAnsi="Arial"/>
                <w:color w:val="000000"/>
              </w:rPr>
              <w:t>Do you have any suggestions that may improve the Decision Matrix or Concept Table?</w:t>
            </w:r>
          </w:p>
        </w:tc>
        <w:tc>
          <w:tcPr>
            <w:tcW w:w="8088" w:type="dxa"/>
            <w:tcBorders>
              <w:top w:val="single" w:sz="5" w:space="0" w:color="000000"/>
              <w:left w:val="single" w:sz="5" w:space="0" w:color="000000"/>
              <w:bottom w:val="single" w:sz="5" w:space="0" w:color="000000"/>
              <w:right w:val="single" w:sz="5" w:space="0" w:color="000000"/>
            </w:tcBorders>
          </w:tcPr>
          <w:p w:rsidR="00052E12" w:rsidRDefault="00B35890">
            <w:pPr>
              <w:spacing w:before="134" w:after="358" w:line="252" w:lineRule="exact"/>
              <w:ind w:left="111"/>
              <w:textAlignment w:val="baseline"/>
              <w:rPr>
                <w:rFonts w:ascii="Arial" w:eastAsia="Arial" w:hAnsi="Arial"/>
                <w:color w:val="000000"/>
              </w:rPr>
            </w:pPr>
            <w:r>
              <w:rPr>
                <w:rFonts w:ascii="Arial" w:eastAsia="Arial" w:hAnsi="Arial"/>
                <w:color w:val="000000"/>
              </w:rPr>
              <w:t>Refer to our response to Question 1 above.</w:t>
            </w:r>
          </w:p>
        </w:tc>
      </w:tr>
      <w:tr w:rsidR="00052E12">
        <w:tblPrEx>
          <w:tblCellMar>
            <w:top w:w="0" w:type="dxa"/>
            <w:bottom w:w="0" w:type="dxa"/>
          </w:tblCellMar>
        </w:tblPrEx>
        <w:trPr>
          <w:trHeight w:hRule="exact" w:val="753"/>
        </w:trPr>
        <w:tc>
          <w:tcPr>
            <w:tcW w:w="394" w:type="dxa"/>
            <w:tcBorders>
              <w:top w:val="single" w:sz="5" w:space="0" w:color="000000"/>
              <w:left w:val="single" w:sz="5" w:space="0" w:color="000000"/>
              <w:bottom w:val="single" w:sz="5" w:space="0" w:color="000000"/>
              <w:right w:val="single" w:sz="5" w:space="0" w:color="000000"/>
            </w:tcBorders>
          </w:tcPr>
          <w:p w:rsidR="00052E12" w:rsidRDefault="00B35890">
            <w:pPr>
              <w:numPr>
                <w:ilvl w:val="0"/>
                <w:numId w:val="1"/>
              </w:numPr>
              <w:spacing w:before="139" w:after="348" w:line="252" w:lineRule="exact"/>
              <w:jc w:val="center"/>
              <w:textAlignment w:val="baseline"/>
              <w:rPr>
                <w:rFonts w:ascii="Arial" w:eastAsia="Arial" w:hAnsi="Arial"/>
                <w:color w:val="000000"/>
              </w:rPr>
            </w:pPr>
            <w:r>
              <w:rPr>
                <w:rFonts w:ascii="Arial" w:eastAsia="Arial" w:hAnsi="Arial"/>
                <w:color w:val="000000"/>
              </w:rPr>
              <w:t xml:space="preserve"> </w:t>
            </w:r>
          </w:p>
        </w:tc>
        <w:tc>
          <w:tcPr>
            <w:tcW w:w="5529" w:type="dxa"/>
            <w:tcBorders>
              <w:top w:val="single" w:sz="5" w:space="0" w:color="000000"/>
              <w:left w:val="single" w:sz="5" w:space="0" w:color="000000"/>
              <w:bottom w:val="single" w:sz="5" w:space="0" w:color="000000"/>
              <w:right w:val="single" w:sz="5" w:space="0" w:color="000000"/>
            </w:tcBorders>
            <w:vAlign w:val="center"/>
          </w:tcPr>
          <w:p w:rsidR="00052E12" w:rsidRDefault="00B35890">
            <w:pPr>
              <w:spacing w:before="142" w:after="99" w:line="249" w:lineRule="exact"/>
              <w:ind w:left="108" w:right="468"/>
              <w:textAlignment w:val="baseline"/>
              <w:rPr>
                <w:rFonts w:ascii="Arial" w:eastAsia="Arial" w:hAnsi="Arial"/>
                <w:color w:val="000000"/>
              </w:rPr>
            </w:pPr>
            <w:r>
              <w:rPr>
                <w:rFonts w:ascii="Arial" w:eastAsia="Arial" w:hAnsi="Arial"/>
                <w:color w:val="000000"/>
              </w:rPr>
              <w:t>Are the Decision Matrix and Concept Table applied consistently in the Classification of Tiers?</w:t>
            </w:r>
          </w:p>
        </w:tc>
        <w:tc>
          <w:tcPr>
            <w:tcW w:w="8088" w:type="dxa"/>
            <w:tcBorders>
              <w:top w:val="single" w:sz="5" w:space="0" w:color="000000"/>
              <w:left w:val="single" w:sz="5" w:space="0" w:color="000000"/>
              <w:bottom w:val="single" w:sz="5" w:space="0" w:color="000000"/>
              <w:right w:val="single" w:sz="5" w:space="0" w:color="000000"/>
            </w:tcBorders>
          </w:tcPr>
          <w:p w:rsidR="00052E12" w:rsidRDefault="00B35890">
            <w:pPr>
              <w:spacing w:before="139" w:after="348" w:line="252" w:lineRule="exact"/>
              <w:ind w:left="111"/>
              <w:textAlignment w:val="baseline"/>
              <w:rPr>
                <w:rFonts w:ascii="Arial" w:eastAsia="Arial" w:hAnsi="Arial"/>
                <w:color w:val="000000"/>
              </w:rPr>
            </w:pPr>
            <w:r>
              <w:rPr>
                <w:rFonts w:ascii="Arial" w:eastAsia="Arial" w:hAnsi="Arial"/>
                <w:color w:val="000000"/>
              </w:rPr>
              <w:t>Refer to our response to Question 1 above.</w:t>
            </w:r>
          </w:p>
        </w:tc>
      </w:tr>
      <w:tr w:rsidR="00052E12">
        <w:tblPrEx>
          <w:tblCellMar>
            <w:top w:w="0" w:type="dxa"/>
            <w:bottom w:w="0" w:type="dxa"/>
          </w:tblCellMar>
        </w:tblPrEx>
        <w:trPr>
          <w:trHeight w:hRule="exact" w:val="1781"/>
        </w:trPr>
        <w:tc>
          <w:tcPr>
            <w:tcW w:w="394" w:type="dxa"/>
            <w:tcBorders>
              <w:top w:val="single" w:sz="5" w:space="0" w:color="000000"/>
              <w:left w:val="single" w:sz="5" w:space="0" w:color="000000"/>
              <w:bottom w:val="single" w:sz="5" w:space="0" w:color="000000"/>
              <w:right w:val="single" w:sz="5" w:space="0" w:color="000000"/>
            </w:tcBorders>
          </w:tcPr>
          <w:p w:rsidR="00052E12" w:rsidRDefault="00B35890">
            <w:pPr>
              <w:numPr>
                <w:ilvl w:val="0"/>
                <w:numId w:val="1"/>
              </w:numPr>
              <w:spacing w:before="139" w:after="1380" w:line="252" w:lineRule="exact"/>
              <w:jc w:val="center"/>
              <w:textAlignment w:val="baseline"/>
              <w:rPr>
                <w:rFonts w:ascii="Arial" w:eastAsia="Arial" w:hAnsi="Arial"/>
                <w:color w:val="000000"/>
              </w:rPr>
            </w:pPr>
            <w:r>
              <w:rPr>
                <w:rFonts w:ascii="Arial" w:eastAsia="Arial" w:hAnsi="Arial"/>
                <w:color w:val="000000"/>
              </w:rPr>
              <w:t xml:space="preserve"> </w:t>
            </w:r>
          </w:p>
        </w:tc>
        <w:tc>
          <w:tcPr>
            <w:tcW w:w="5529" w:type="dxa"/>
            <w:tcBorders>
              <w:top w:val="single" w:sz="5" w:space="0" w:color="000000"/>
              <w:left w:val="single" w:sz="5" w:space="0" w:color="000000"/>
              <w:bottom w:val="single" w:sz="5" w:space="0" w:color="000000"/>
              <w:right w:val="single" w:sz="5" w:space="0" w:color="000000"/>
            </w:tcBorders>
          </w:tcPr>
          <w:p w:rsidR="00052E12" w:rsidRDefault="00B35890">
            <w:pPr>
              <w:spacing w:before="139" w:after="876" w:line="252" w:lineRule="exact"/>
              <w:ind w:left="108" w:right="504"/>
              <w:textAlignment w:val="baseline"/>
              <w:rPr>
                <w:rFonts w:ascii="Arial" w:eastAsia="Arial" w:hAnsi="Arial"/>
                <w:color w:val="000000"/>
                <w:spacing w:val="-2"/>
              </w:rPr>
            </w:pPr>
            <w:r>
              <w:rPr>
                <w:rFonts w:ascii="Arial" w:eastAsia="Arial" w:hAnsi="Arial"/>
                <w:color w:val="000000"/>
                <w:spacing w:val="-2"/>
              </w:rPr>
              <w:t>Are there any proposed classifications of particular civil penalty provisions that you strongly agree or disagree with? If so, which provision/s and why?</w:t>
            </w:r>
          </w:p>
        </w:tc>
        <w:tc>
          <w:tcPr>
            <w:tcW w:w="8088" w:type="dxa"/>
            <w:tcBorders>
              <w:top w:val="single" w:sz="5" w:space="0" w:color="000000"/>
              <w:left w:val="single" w:sz="5" w:space="0" w:color="000000"/>
              <w:bottom w:val="single" w:sz="5" w:space="0" w:color="000000"/>
              <w:right w:val="single" w:sz="5" w:space="0" w:color="000000"/>
            </w:tcBorders>
          </w:tcPr>
          <w:p w:rsidR="00052E12" w:rsidRDefault="00B35890">
            <w:pPr>
              <w:spacing w:before="141" w:after="112" w:line="253" w:lineRule="exact"/>
              <w:ind w:left="108" w:right="144"/>
              <w:textAlignment w:val="baseline"/>
              <w:rPr>
                <w:rFonts w:ascii="Arial" w:eastAsia="Arial" w:hAnsi="Arial"/>
                <w:color w:val="000000"/>
              </w:rPr>
            </w:pPr>
            <w:r>
              <w:rPr>
                <w:rFonts w:ascii="Arial" w:eastAsia="Arial" w:hAnsi="Arial"/>
                <w:color w:val="000000"/>
              </w:rPr>
              <w:t>Ergon Energy Retail considers that in some instances the</w:t>
            </w:r>
            <w:r>
              <w:rPr>
                <w:rFonts w:ascii="Arial" w:eastAsia="Arial" w:hAnsi="Arial"/>
                <w:color w:val="000000"/>
              </w:rPr>
              <w:t xml:space="preserve"> classifications of tiered penalties are excessive and not proportionate to the nature or outcome of the breach. The Concept Table describes a Consumer Harm (Type 1) breach as capturing the most severe types of consumer harm. However, the draft classificat</w:t>
            </w:r>
            <w:r>
              <w:rPr>
                <w:rFonts w:ascii="Arial" w:eastAsia="Arial" w:hAnsi="Arial"/>
                <w:color w:val="000000"/>
              </w:rPr>
              <w:t>ion describes some obligations which are currently not reportable and have limited consumer impact, as a Type 1 breach. For example:</w:t>
            </w:r>
          </w:p>
        </w:tc>
      </w:tr>
    </w:tbl>
    <w:p w:rsidR="00052E12" w:rsidRDefault="00052E12">
      <w:pPr>
        <w:sectPr w:rsidR="00052E12">
          <w:pgSz w:w="16838" w:h="11909" w:orient="landscape"/>
          <w:pgMar w:top="2000" w:right="1253" w:bottom="1193" w:left="1546" w:header="720" w:footer="720" w:gutter="0"/>
          <w:cols w:space="720"/>
        </w:sectPr>
      </w:pPr>
    </w:p>
    <w:tbl>
      <w:tblPr>
        <w:tblW w:w="0" w:type="auto"/>
        <w:tblInd w:w="14" w:type="dxa"/>
        <w:tblLayout w:type="fixed"/>
        <w:tblCellMar>
          <w:left w:w="0" w:type="dxa"/>
          <w:right w:w="0" w:type="dxa"/>
        </w:tblCellMar>
        <w:tblLook w:val="0000" w:firstRow="0" w:lastRow="0" w:firstColumn="0" w:lastColumn="0" w:noHBand="0" w:noVBand="0"/>
      </w:tblPr>
      <w:tblGrid>
        <w:gridCol w:w="394"/>
        <w:gridCol w:w="5529"/>
        <w:gridCol w:w="8088"/>
      </w:tblGrid>
      <w:tr w:rsidR="00052E12">
        <w:tblPrEx>
          <w:tblCellMar>
            <w:top w:w="0" w:type="dxa"/>
            <w:bottom w:w="0" w:type="dxa"/>
          </w:tblCellMar>
        </w:tblPrEx>
        <w:trPr>
          <w:trHeight w:hRule="exact" w:val="4334"/>
        </w:trPr>
        <w:tc>
          <w:tcPr>
            <w:tcW w:w="394" w:type="dxa"/>
            <w:tcBorders>
              <w:top w:val="single" w:sz="5" w:space="0" w:color="000000"/>
              <w:left w:val="single" w:sz="5" w:space="0" w:color="000000"/>
              <w:bottom w:val="single" w:sz="5" w:space="0" w:color="000000"/>
              <w:right w:val="single" w:sz="5" w:space="0" w:color="000000"/>
            </w:tcBorders>
          </w:tcPr>
          <w:p w:rsidR="00052E12" w:rsidRDefault="00B35890">
            <w:pPr>
              <w:textAlignment w:val="baseline"/>
              <w:rPr>
                <w:rFonts w:ascii="Segoe UI Symbol" w:eastAsia="Segoe UI Symbol" w:hAnsi="Segoe UI Symbol"/>
                <w:color w:val="000000"/>
                <w:sz w:val="24"/>
              </w:rPr>
            </w:pPr>
            <w:r>
              <w:rPr>
                <w:rFonts w:ascii="Segoe UI Symbol" w:eastAsia="Segoe UI Symbol" w:hAnsi="Segoe UI Symbol"/>
                <w:color w:val="000000"/>
                <w:sz w:val="24"/>
              </w:rPr>
              <w:lastRenderedPageBreak/>
              <w:t xml:space="preserve"> </w:t>
            </w:r>
          </w:p>
        </w:tc>
        <w:tc>
          <w:tcPr>
            <w:tcW w:w="5529" w:type="dxa"/>
            <w:tcBorders>
              <w:top w:val="single" w:sz="5" w:space="0" w:color="000000"/>
              <w:left w:val="single" w:sz="5" w:space="0" w:color="000000"/>
              <w:bottom w:val="single" w:sz="5" w:space="0" w:color="000000"/>
              <w:right w:val="single" w:sz="5" w:space="0" w:color="000000"/>
            </w:tcBorders>
          </w:tcPr>
          <w:p w:rsidR="00052E12" w:rsidRDefault="00B35890">
            <w:pPr>
              <w:textAlignment w:val="baseline"/>
              <w:rPr>
                <w:rFonts w:ascii="Segoe UI Symbol" w:eastAsia="Segoe UI Symbol" w:hAnsi="Segoe UI Symbol"/>
                <w:color w:val="000000"/>
                <w:sz w:val="24"/>
              </w:rPr>
            </w:pPr>
            <w:r>
              <w:rPr>
                <w:rFonts w:ascii="Segoe UI Symbol" w:eastAsia="Segoe UI Symbol" w:hAnsi="Segoe UI Symbol"/>
                <w:color w:val="000000"/>
                <w:sz w:val="24"/>
              </w:rPr>
              <w:t xml:space="preserve"> </w:t>
            </w:r>
          </w:p>
        </w:tc>
        <w:tc>
          <w:tcPr>
            <w:tcW w:w="8088" w:type="dxa"/>
            <w:tcBorders>
              <w:top w:val="single" w:sz="5" w:space="0" w:color="000000"/>
              <w:left w:val="single" w:sz="5" w:space="0" w:color="000000"/>
              <w:bottom w:val="single" w:sz="5" w:space="0" w:color="000000"/>
              <w:right w:val="single" w:sz="5" w:space="0" w:color="000000"/>
            </w:tcBorders>
          </w:tcPr>
          <w:p w:rsidR="00052E12" w:rsidRDefault="00B35890">
            <w:pPr>
              <w:numPr>
                <w:ilvl w:val="0"/>
                <w:numId w:val="2"/>
              </w:numPr>
              <w:tabs>
                <w:tab w:val="clear" w:pos="288"/>
                <w:tab w:val="left" w:pos="432"/>
              </w:tabs>
              <w:spacing w:before="32" w:line="254" w:lineRule="exact"/>
              <w:ind w:left="432" w:right="360" w:hanging="288"/>
              <w:textAlignment w:val="baseline"/>
              <w:rPr>
                <w:rFonts w:ascii="Arial" w:eastAsia="Arial" w:hAnsi="Arial"/>
                <w:color w:val="000000"/>
                <w:spacing w:val="-2"/>
              </w:rPr>
            </w:pPr>
            <w:proofErr w:type="gramStart"/>
            <w:r>
              <w:rPr>
                <w:rFonts w:ascii="Arial" w:eastAsia="Arial" w:hAnsi="Arial"/>
                <w:color w:val="000000"/>
                <w:spacing w:val="-2"/>
              </w:rPr>
              <w:t>section</w:t>
            </w:r>
            <w:proofErr w:type="gramEnd"/>
            <w:r>
              <w:rPr>
                <w:rFonts w:ascii="Arial" w:eastAsia="Arial" w:hAnsi="Arial"/>
                <w:color w:val="000000"/>
                <w:spacing w:val="-2"/>
              </w:rPr>
              <w:t xml:space="preserve"> 27 of the National Energy Retail Law (NERL) - Obligation for designated retailer to comply with terms and conditions of standard retail contract. Ergon Energy Retail considers that a breach that is not reportable, yet still attracts a civil penalty</w:t>
            </w:r>
            <w:r>
              <w:rPr>
                <w:rFonts w:ascii="Arial" w:eastAsia="Arial" w:hAnsi="Arial"/>
                <w:color w:val="000000"/>
                <w:spacing w:val="-2"/>
              </w:rPr>
              <w:t>, is more closely aligned to a Tier 3 penalty.</w:t>
            </w:r>
          </w:p>
          <w:p w:rsidR="00052E12" w:rsidRDefault="00B35890">
            <w:pPr>
              <w:numPr>
                <w:ilvl w:val="0"/>
                <w:numId w:val="2"/>
              </w:numPr>
              <w:tabs>
                <w:tab w:val="clear" w:pos="288"/>
                <w:tab w:val="left" w:pos="432"/>
              </w:tabs>
              <w:spacing w:before="8" w:line="254" w:lineRule="exact"/>
              <w:ind w:left="432" w:right="108" w:hanging="288"/>
              <w:textAlignment w:val="baseline"/>
              <w:rPr>
                <w:rFonts w:ascii="Arial" w:eastAsia="Arial" w:hAnsi="Arial"/>
                <w:color w:val="000000"/>
              </w:rPr>
            </w:pPr>
            <w:proofErr w:type="gramStart"/>
            <w:r>
              <w:rPr>
                <w:rFonts w:ascii="Arial" w:eastAsia="Arial" w:hAnsi="Arial"/>
                <w:color w:val="000000"/>
              </w:rPr>
              <w:t>section</w:t>
            </w:r>
            <w:proofErr w:type="gramEnd"/>
            <w:r>
              <w:rPr>
                <w:rFonts w:ascii="Arial" w:eastAsia="Arial" w:hAnsi="Arial"/>
                <w:color w:val="000000"/>
              </w:rPr>
              <w:t xml:space="preserve"> 38 of the NERL </w:t>
            </w:r>
            <w:r>
              <w:rPr>
                <w:rFonts w:ascii="Arial" w:eastAsia="Arial" w:hAnsi="Arial"/>
                <w:color w:val="000000"/>
                <w:sz w:val="24"/>
              </w:rPr>
              <w:t xml:space="preserve">– </w:t>
            </w:r>
            <w:r>
              <w:rPr>
                <w:rFonts w:ascii="Arial" w:eastAsia="Arial" w:hAnsi="Arial"/>
                <w:color w:val="000000"/>
              </w:rPr>
              <w:t>Requirement for Explicit Informed Consent (EIC) for certain transactions has also been proposed as a Customer Harm (Type 1) breach and subject to a Tier 1 penalty. This obligation enco</w:t>
            </w:r>
            <w:r>
              <w:rPr>
                <w:rFonts w:ascii="Arial" w:eastAsia="Arial" w:hAnsi="Arial"/>
                <w:color w:val="000000"/>
              </w:rPr>
              <w:t xml:space="preserve">mpasses several transactions, most of which the customer has requested and consented to however may </w:t>
            </w:r>
            <w:proofErr w:type="spellStart"/>
            <w:r>
              <w:rPr>
                <w:rFonts w:ascii="Arial" w:eastAsia="Arial" w:hAnsi="Arial"/>
                <w:color w:val="000000"/>
              </w:rPr>
              <w:t>crystallise</w:t>
            </w:r>
            <w:proofErr w:type="spellEnd"/>
            <w:r>
              <w:rPr>
                <w:rFonts w:ascii="Arial" w:eastAsia="Arial" w:hAnsi="Arial"/>
                <w:color w:val="000000"/>
              </w:rPr>
              <w:t xml:space="preserve"> as a breach if the exact EIC is not obtained </w:t>
            </w:r>
            <w:r>
              <w:rPr>
                <w:rFonts w:ascii="Arial" w:eastAsia="Arial" w:hAnsi="Arial"/>
                <w:color w:val="000000"/>
                <w:sz w:val="24"/>
              </w:rPr>
              <w:t xml:space="preserve">– </w:t>
            </w:r>
            <w:r>
              <w:rPr>
                <w:rFonts w:ascii="Arial" w:eastAsia="Arial" w:hAnsi="Arial"/>
                <w:color w:val="000000"/>
              </w:rPr>
              <w:t xml:space="preserve">e.g. a direct debit request or e-billing request. Ergon Energy Retail considers that a breach of </w:t>
            </w:r>
            <w:r>
              <w:rPr>
                <w:rFonts w:ascii="Arial" w:eastAsia="Arial" w:hAnsi="Arial"/>
                <w:color w:val="000000"/>
              </w:rPr>
              <w:t>this type is more closely aligned to the description of a Tier 2 Customer Harm (Type 2) breach.</w:t>
            </w:r>
          </w:p>
          <w:p w:rsidR="00052E12" w:rsidRDefault="00B35890">
            <w:pPr>
              <w:spacing w:before="116" w:after="100" w:line="254" w:lineRule="exact"/>
              <w:ind w:left="144" w:right="252"/>
              <w:textAlignment w:val="baseline"/>
              <w:rPr>
                <w:rFonts w:ascii="Arial" w:eastAsia="Arial" w:hAnsi="Arial"/>
                <w:color w:val="000000"/>
              </w:rPr>
            </w:pPr>
            <w:r>
              <w:rPr>
                <w:rFonts w:ascii="Arial" w:eastAsia="Arial" w:hAnsi="Arial"/>
                <w:color w:val="000000"/>
              </w:rPr>
              <w:t>As such, Ergon Energy Retail considers it may be more reasonable that a Tier 1 breach aligns to breaches currently classified as immediately reportable as per t</w:t>
            </w:r>
            <w:r>
              <w:rPr>
                <w:rFonts w:ascii="Arial" w:eastAsia="Arial" w:hAnsi="Arial"/>
                <w:color w:val="000000"/>
              </w:rPr>
              <w:t>he AER Compliance Procedures and Guidelines and breaches that are not reportable be downgraded to Tier 2 or 3.</w:t>
            </w:r>
          </w:p>
        </w:tc>
      </w:tr>
      <w:tr w:rsidR="00052E12">
        <w:tblPrEx>
          <w:tblCellMar>
            <w:top w:w="0" w:type="dxa"/>
            <w:bottom w:w="0" w:type="dxa"/>
          </w:tblCellMar>
        </w:tblPrEx>
        <w:trPr>
          <w:trHeight w:hRule="exact" w:val="3044"/>
        </w:trPr>
        <w:tc>
          <w:tcPr>
            <w:tcW w:w="394" w:type="dxa"/>
            <w:tcBorders>
              <w:top w:val="single" w:sz="5" w:space="0" w:color="000000"/>
              <w:left w:val="single" w:sz="5" w:space="0" w:color="000000"/>
              <w:bottom w:val="single" w:sz="5" w:space="0" w:color="000000"/>
              <w:right w:val="single" w:sz="5" w:space="0" w:color="000000"/>
            </w:tcBorders>
          </w:tcPr>
          <w:p w:rsidR="00052E12" w:rsidRDefault="00B35890">
            <w:pPr>
              <w:spacing w:before="132" w:after="2652" w:line="254" w:lineRule="exact"/>
              <w:jc w:val="center"/>
              <w:textAlignment w:val="baseline"/>
              <w:rPr>
                <w:rFonts w:ascii="Arial" w:eastAsia="Arial" w:hAnsi="Arial"/>
                <w:color w:val="000000"/>
              </w:rPr>
            </w:pPr>
            <w:r>
              <w:rPr>
                <w:rFonts w:ascii="Arial" w:eastAsia="Arial" w:hAnsi="Arial"/>
                <w:color w:val="000000"/>
              </w:rPr>
              <w:t>6.</w:t>
            </w:r>
          </w:p>
        </w:tc>
        <w:tc>
          <w:tcPr>
            <w:tcW w:w="5529" w:type="dxa"/>
            <w:tcBorders>
              <w:top w:val="single" w:sz="5" w:space="0" w:color="000000"/>
              <w:left w:val="single" w:sz="5" w:space="0" w:color="000000"/>
              <w:bottom w:val="single" w:sz="5" w:space="0" w:color="000000"/>
              <w:right w:val="single" w:sz="5" w:space="0" w:color="000000"/>
            </w:tcBorders>
          </w:tcPr>
          <w:p w:rsidR="00052E12" w:rsidRDefault="00B35890">
            <w:pPr>
              <w:spacing w:before="132" w:after="2398" w:line="254" w:lineRule="exact"/>
              <w:ind w:left="108" w:right="396"/>
              <w:textAlignment w:val="baseline"/>
              <w:rPr>
                <w:rFonts w:ascii="Arial" w:eastAsia="Arial" w:hAnsi="Arial"/>
                <w:color w:val="000000"/>
                <w:spacing w:val="-2"/>
              </w:rPr>
            </w:pPr>
            <w:r>
              <w:rPr>
                <w:rFonts w:ascii="Arial" w:eastAsia="Arial" w:hAnsi="Arial"/>
                <w:color w:val="000000"/>
                <w:spacing w:val="-2"/>
              </w:rPr>
              <w:t>Are there other matters related to the civil penalty regime you would like us to take into consideration?</w:t>
            </w:r>
          </w:p>
        </w:tc>
        <w:tc>
          <w:tcPr>
            <w:tcW w:w="8088" w:type="dxa"/>
            <w:tcBorders>
              <w:top w:val="single" w:sz="5" w:space="0" w:color="000000"/>
              <w:left w:val="single" w:sz="5" w:space="0" w:color="000000"/>
              <w:bottom w:val="single" w:sz="5" w:space="0" w:color="000000"/>
              <w:right w:val="single" w:sz="5" w:space="0" w:color="000000"/>
            </w:tcBorders>
          </w:tcPr>
          <w:p w:rsidR="00052E12" w:rsidRDefault="00B35890">
            <w:pPr>
              <w:spacing w:before="121" w:after="123" w:line="254" w:lineRule="exact"/>
              <w:ind w:left="108" w:right="252"/>
              <w:textAlignment w:val="baseline"/>
              <w:rPr>
                <w:rFonts w:ascii="Arial" w:eastAsia="Arial" w:hAnsi="Arial"/>
                <w:color w:val="000000"/>
              </w:rPr>
            </w:pPr>
            <w:r>
              <w:rPr>
                <w:rFonts w:ascii="Arial" w:eastAsia="Arial" w:hAnsi="Arial"/>
                <w:color w:val="000000"/>
              </w:rPr>
              <w:t>It is noted that the overarching purpose of the civil penalty regime is to promote the public interest in compliance with the law. However, we suggest the current regime serves this purpose with the current civil penalty acting as a significant deterrent t</w:t>
            </w:r>
            <w:r>
              <w:rPr>
                <w:rFonts w:ascii="Arial" w:eastAsia="Arial" w:hAnsi="Arial"/>
                <w:color w:val="000000"/>
              </w:rPr>
              <w:t xml:space="preserve">o contravening </w:t>
            </w:r>
            <w:proofErr w:type="spellStart"/>
            <w:r>
              <w:rPr>
                <w:rFonts w:ascii="Arial" w:eastAsia="Arial" w:hAnsi="Arial"/>
                <w:color w:val="000000"/>
              </w:rPr>
              <w:t>behaviour</w:t>
            </w:r>
            <w:proofErr w:type="spellEnd"/>
            <w:r>
              <w:rPr>
                <w:rFonts w:ascii="Arial" w:eastAsia="Arial" w:hAnsi="Arial"/>
                <w:color w:val="000000"/>
              </w:rPr>
              <w:t>. The proposed penalties are so large that there is a risk they may result in small to medium sized retail businesses which do not have the financial capacity to meet the penalty, exiting the retail market; particularly if the alleg</w:t>
            </w:r>
            <w:r>
              <w:rPr>
                <w:rFonts w:ascii="Arial" w:eastAsia="Arial" w:hAnsi="Arial"/>
                <w:color w:val="000000"/>
              </w:rPr>
              <w:t>ed harm does not align to the classification type. As such, we suggest the proposed civil penalty regime has the potential to reduce competition in the retail energy market and may lead to a contravention of the NERO as this outcome would not be in the lon</w:t>
            </w:r>
            <w:r>
              <w:rPr>
                <w:rFonts w:ascii="Arial" w:eastAsia="Arial" w:hAnsi="Arial"/>
                <w:color w:val="000000"/>
              </w:rPr>
              <w:t>g term interests of consumers of energy with respect to price and quality.</w:t>
            </w:r>
          </w:p>
        </w:tc>
      </w:tr>
    </w:tbl>
    <w:p w:rsidR="00000000" w:rsidRDefault="00B35890"/>
    <w:sectPr w:rsidR="00000000">
      <w:pgSz w:w="16838" w:h="11909" w:orient="landscape"/>
      <w:pgMar w:top="1420" w:right="1253" w:bottom="2673" w:left="1546"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10601000101010101"/>
    <w:charset w:val="88"/>
    <w:family w:val="auto"/>
    <w:notTrueType/>
    <w:pitch w:val="variable"/>
    <w:sig w:usb0="00000001" w:usb1="08080000" w:usb2="00000010" w:usb3="00000000" w:csb0="00100000"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Arial">
    <w:charset w:val="00"/>
    <w:pitch w:val="variable"/>
    <w:family w:val="swiss"/>
    <w:panose1 w:val="02020603050405020304"/>
  </w:font>
  <w:font w:name="Segoe UI Symbol">
    <w:charset w:val="00"/>
    <w:pitch w:val="variable"/>
    <w:family w:val="swiss"/>
    <w:panose1 w:val="02020603050405020304"/>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2178C"/>
    <w:multiLevelType w:val="multilevel"/>
    <w:tmpl w:val="26AE2822"/>
    <w:lvl w:ilvl="0">
      <w:start w:val="1"/>
      <w:numFmt w:val="decimal"/>
      <w:lvlText w:val="%1."/>
      <w:lvlJc w:val="left"/>
      <w:pPr>
        <w:tabs>
          <w:tab w:val="left" w:pos="144"/>
        </w:tabs>
      </w:pPr>
      <w:rPr>
        <w:rFonts w:ascii="Arial" w:eastAsia="Arial" w:hAnsi="Arial"/>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7F777A"/>
    <w:multiLevelType w:val="multilevel"/>
    <w:tmpl w:val="C21AEA12"/>
    <w:lvl w:ilvl="0">
      <w:numFmt w:val="bullet"/>
      <w:lvlText w:val="·"/>
      <w:lvlJc w:val="left"/>
      <w:pPr>
        <w:tabs>
          <w:tab w:val="left" w:pos="288"/>
        </w:tabs>
      </w:pPr>
      <w:rPr>
        <w:rFonts w:ascii="Symbol" w:eastAsia="Symbol" w:hAnsi="Symbol"/>
        <w:color w:val="000000"/>
        <w:spacing w:val="-2"/>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2E12"/>
    <w:rsid w:val="00052E12"/>
    <w:rsid w:val="00B3589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CAA09BF-5B57-4696-BAD7-887FDD63CC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hyperlink" Target="mailto:GPTSecretariat@industry.gov.au" TargetMode="External"/><Relationship Id="fId" Type="http://schemas.openxmlformats.org/wordprocessingml/2006/fontTable" Target="fontTable0.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rgon.com" TargetMode="External"/><Relationship Id="rId11" Type="http://schemas.openxmlformats.org/officeDocument/2006/relationships/theme" Target="theme/theme1.xml"/><Relationship Id="rId5" Type="http://schemas.openxmlformats.org/officeDocument/2006/relationships/image" Target="media/image1.jp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trudy.fraser@energyq.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932</Words>
  <Characters>5313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EEQ Letterhead (logo and address)</vt:lpstr>
    </vt:vector>
  </TitlesOfParts>
  <Company>Department of Industry, Innovation and Science</Company>
  <LinksUpToDate>false</LinksUpToDate>
  <CharactersWithSpaces>6233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EEQ Letterhead (logo and address)</dc:title>
  <dc:creator>bneil</dc:creator>
  <cp:keywords>Template; EEQ Letterhead; EQL; Energy Queensland; EEQ; The Wire</cp:keywords>
  <cp:lastModifiedBy>Hirscher, Andrew</cp:lastModifiedBy>
  <cp:revision>2</cp:revision>
  <dcterms:created xsi:type="dcterms:W3CDTF">2020-08-13T05:01:00Z</dcterms:created>
  <dcterms:modified xsi:type="dcterms:W3CDTF">2020-08-13T05:01:00Z</dcterms:modified>
</cp:coreProperties>
</file>