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0" w:type="dxa"/>
          <w:right w:w="0" w:type="dxa"/>
        </w:tblCellMar>
        <w:tblLook w:val="04A0" w:firstRow="1" w:lastRow="0" w:firstColumn="1" w:lastColumn="0" w:noHBand="0" w:noVBand="1"/>
      </w:tblPr>
      <w:tblGrid>
        <w:gridCol w:w="8463"/>
        <w:gridCol w:w="2357"/>
      </w:tblGrid>
      <w:tr w:rsidR="007036BD">
        <w:tblPrEx>
          <w:tblCellMar>
            <w:top w:w="0" w:type="dxa"/>
            <w:bottom w:w="0" w:type="dxa"/>
          </w:tblCellMar>
        </w:tblPrEx>
        <w:trPr>
          <w:trHeight w:hRule="exact" w:val="983"/>
        </w:trPr>
        <w:tc>
          <w:tcPr>
            <w:tcW w:w="8463" w:type="dxa"/>
            <w:tcBorders>
              <w:top w:val="none" w:sz="0" w:space="0" w:color="000000"/>
              <w:left w:val="none" w:sz="0" w:space="0" w:color="000000"/>
              <w:bottom w:val="none" w:sz="0" w:space="0" w:color="000000"/>
              <w:right w:val="none" w:sz="0" w:space="0" w:color="000000"/>
            </w:tcBorders>
          </w:tcPr>
          <w:p w:rsidR="007036BD" w:rsidRDefault="00093FAE">
            <w:pPr>
              <w:spacing w:before="56" w:after="66" w:line="171" w:lineRule="exact"/>
              <w:ind w:left="4680"/>
              <w:jc w:val="right"/>
              <w:textAlignment w:val="baseline"/>
              <w:rPr>
                <w:rFonts w:ascii="Century Gothic" w:eastAsia="Century Gothic" w:hAnsi="Century Gothic"/>
                <w:color w:val="000000"/>
                <w:spacing w:val="18"/>
                <w:sz w:val="14"/>
              </w:rPr>
            </w:pPr>
            <w:bookmarkStart w:id="0" w:name="_GoBack"/>
            <w:bookmarkEnd w:id="0"/>
            <w:r>
              <w:rPr>
                <w:rFonts w:ascii="Century Gothic" w:eastAsia="Century Gothic" w:hAnsi="Century Gothic"/>
                <w:color w:val="000000"/>
                <w:spacing w:val="18"/>
                <w:sz w:val="14"/>
              </w:rPr>
              <w:t xml:space="preserve">Australian Pipeline Limited ACN 091 344 704 Level 25, 580 George Street, Sydney NSW 2000 PO Box R41, Royal Exchange NSW 1225 P: +61 2 9693 0000 | F: +61 2 9693 0093 APA Group | </w:t>
            </w:r>
            <w:hyperlink r:id="rId5">
              <w:r>
                <w:rPr>
                  <w:rFonts w:ascii="Century Gothic" w:eastAsia="Century Gothic" w:hAnsi="Century Gothic"/>
                  <w:color w:val="0000FF"/>
                  <w:spacing w:val="18"/>
                  <w:sz w:val="14"/>
                  <w:u w:val="single"/>
                </w:rPr>
                <w:t>apa.com.au</w:t>
              </w:r>
            </w:hyperlink>
            <w:r>
              <w:rPr>
                <w:rFonts w:ascii="Century Gothic" w:eastAsia="Century Gothic" w:hAnsi="Century Gothic"/>
                <w:color w:val="000000"/>
                <w:spacing w:val="18"/>
                <w:sz w:val="14"/>
              </w:rPr>
              <w:t xml:space="preserve"> </w:t>
            </w:r>
          </w:p>
        </w:tc>
        <w:tc>
          <w:tcPr>
            <w:tcW w:w="2357" w:type="dxa"/>
            <w:tcBorders>
              <w:top w:val="none" w:sz="0" w:space="0" w:color="000000"/>
              <w:left w:val="none" w:sz="0" w:space="0" w:color="000000"/>
              <w:bottom w:val="none" w:sz="0" w:space="0" w:color="000000"/>
              <w:right w:val="none" w:sz="0" w:space="0" w:color="000000"/>
            </w:tcBorders>
          </w:tcPr>
          <w:p w:rsidR="007036BD" w:rsidRDefault="00093FAE">
            <w:pPr>
              <w:spacing w:before="18" w:after="5"/>
              <w:ind w:right="5"/>
              <w:jc w:val="center"/>
              <w:textAlignment w:val="baseline"/>
            </w:pPr>
            <w:r>
              <w:rPr>
                <w:noProof/>
                <w:lang w:val="en-AU" w:eastAsia="en-AU"/>
              </w:rPr>
              <w:drawing>
                <wp:inline distT="0" distB="0" distL="0" distR="0">
                  <wp:extent cx="1493520" cy="60960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6"/>
                          <a:stretch>
                            <a:fillRect/>
                          </a:stretch>
                        </pic:blipFill>
                        <pic:spPr>
                          <a:xfrm>
                            <a:off x="0" y="0"/>
                            <a:ext cx="1493520" cy="609600"/>
                          </a:xfrm>
                          <a:prstGeom prst="rect">
                            <a:avLst/>
                          </a:prstGeom>
                        </pic:spPr>
                      </pic:pic>
                    </a:graphicData>
                  </a:graphic>
                </wp:inline>
              </w:drawing>
            </w:r>
          </w:p>
        </w:tc>
      </w:tr>
    </w:tbl>
    <w:p w:rsidR="007036BD" w:rsidRDefault="007036BD">
      <w:pPr>
        <w:spacing w:after="304" w:line="20" w:lineRule="exact"/>
      </w:pPr>
    </w:p>
    <w:p w:rsidR="007036BD" w:rsidRDefault="00093FAE">
      <w:pPr>
        <w:spacing w:before="6" w:line="238" w:lineRule="exact"/>
        <w:textAlignment w:val="baseline"/>
        <w:rPr>
          <w:rFonts w:ascii="Century Gothic" w:eastAsia="Century Gothic" w:hAnsi="Century Gothic"/>
          <w:color w:val="000000"/>
          <w:spacing w:val="-1"/>
          <w:sz w:val="20"/>
        </w:rPr>
      </w:pPr>
      <w:r>
        <w:rPr>
          <w:rFonts w:ascii="Century Gothic" w:eastAsia="Century Gothic" w:hAnsi="Century Gothic"/>
          <w:color w:val="000000"/>
          <w:spacing w:val="-1"/>
          <w:sz w:val="20"/>
        </w:rPr>
        <w:t>10 August 2020</w:t>
      </w:r>
    </w:p>
    <w:p w:rsidR="007036BD" w:rsidRDefault="00093FAE">
      <w:pPr>
        <w:spacing w:before="242" w:line="238" w:lineRule="exact"/>
        <w:textAlignment w:val="baseline"/>
        <w:rPr>
          <w:rFonts w:ascii="Century Gothic" w:eastAsia="Century Gothic" w:hAnsi="Century Gothic"/>
          <w:color w:val="000000"/>
          <w:sz w:val="20"/>
        </w:rPr>
      </w:pPr>
      <w:r>
        <w:rPr>
          <w:rFonts w:ascii="Century Gothic" w:eastAsia="Century Gothic" w:hAnsi="Century Gothic"/>
          <w:color w:val="000000"/>
          <w:sz w:val="20"/>
        </w:rPr>
        <w:t>CoAG Energy Council Secretariat</w:t>
      </w:r>
    </w:p>
    <w:p w:rsidR="007036BD" w:rsidRDefault="00093FAE">
      <w:pPr>
        <w:spacing w:before="45" w:line="238" w:lineRule="exact"/>
        <w:textAlignment w:val="baseline"/>
        <w:rPr>
          <w:rFonts w:ascii="Century Gothic" w:eastAsia="Century Gothic" w:hAnsi="Century Gothic"/>
          <w:color w:val="000000"/>
          <w:sz w:val="20"/>
        </w:rPr>
      </w:pPr>
      <w:r>
        <w:rPr>
          <w:rFonts w:ascii="Century Gothic" w:eastAsia="Century Gothic" w:hAnsi="Century Gothic"/>
          <w:color w:val="000000"/>
          <w:sz w:val="20"/>
        </w:rPr>
        <w:t>Department of Industry, Science Energy and Resources</w:t>
      </w:r>
    </w:p>
    <w:p w:rsidR="007036BD" w:rsidRDefault="00093FAE">
      <w:pPr>
        <w:spacing w:before="45" w:line="238" w:lineRule="exact"/>
        <w:textAlignment w:val="baseline"/>
        <w:rPr>
          <w:rFonts w:ascii="Century Gothic" w:eastAsia="Century Gothic" w:hAnsi="Century Gothic"/>
          <w:color w:val="000000"/>
          <w:spacing w:val="-1"/>
          <w:sz w:val="20"/>
        </w:rPr>
      </w:pPr>
      <w:r>
        <w:rPr>
          <w:rFonts w:ascii="Century Gothic" w:eastAsia="Century Gothic" w:hAnsi="Century Gothic"/>
          <w:color w:val="000000"/>
          <w:spacing w:val="-1"/>
          <w:sz w:val="20"/>
        </w:rPr>
        <w:t>GP Box 787</w:t>
      </w:r>
    </w:p>
    <w:p w:rsidR="007036BD" w:rsidRDefault="00093FAE">
      <w:pPr>
        <w:spacing w:before="45" w:line="238" w:lineRule="exact"/>
        <w:textAlignment w:val="baseline"/>
        <w:rPr>
          <w:rFonts w:ascii="Century Gothic" w:eastAsia="Century Gothic" w:hAnsi="Century Gothic"/>
          <w:color w:val="000000"/>
          <w:spacing w:val="-2"/>
          <w:sz w:val="20"/>
        </w:rPr>
      </w:pPr>
      <w:r>
        <w:rPr>
          <w:rFonts w:ascii="Century Gothic" w:eastAsia="Century Gothic" w:hAnsi="Century Gothic"/>
          <w:color w:val="000000"/>
          <w:spacing w:val="-2"/>
          <w:sz w:val="20"/>
        </w:rPr>
        <w:t>Canberra ACT 2601</w:t>
      </w:r>
    </w:p>
    <w:p w:rsidR="007036BD" w:rsidRDefault="00093FAE">
      <w:pPr>
        <w:spacing w:before="242" w:line="238" w:lineRule="exact"/>
        <w:textAlignment w:val="baseline"/>
        <w:rPr>
          <w:rFonts w:ascii="Century Gothic" w:eastAsia="Century Gothic" w:hAnsi="Century Gothic"/>
          <w:color w:val="000000"/>
          <w:sz w:val="20"/>
        </w:rPr>
      </w:pPr>
      <w:r>
        <w:rPr>
          <w:rFonts w:ascii="Century Gothic" w:eastAsia="Century Gothic" w:hAnsi="Century Gothic"/>
          <w:color w:val="000000"/>
          <w:sz w:val="20"/>
        </w:rPr>
        <w:t>via email to</w:t>
      </w:r>
      <w:hyperlink r:id="rId7">
        <w:r>
          <w:rPr>
            <w:rFonts w:ascii="Century Gothic" w:eastAsia="Century Gothic" w:hAnsi="Century Gothic"/>
            <w:color w:val="0000FF"/>
            <w:sz w:val="20"/>
            <w:u w:val="single"/>
          </w:rPr>
          <w:t xml:space="preserve"> GPTSecretariat@industry.gov.au</w:t>
        </w:r>
      </w:hyperlink>
      <w:r>
        <w:rPr>
          <w:rFonts w:ascii="Century Gothic" w:eastAsia="Century Gothic" w:hAnsi="Century Gothic"/>
          <w:color w:val="000000"/>
          <w:sz w:val="20"/>
        </w:rPr>
        <w:t xml:space="preserve"> </w:t>
      </w:r>
    </w:p>
    <w:p w:rsidR="007036BD" w:rsidRDefault="00093FAE">
      <w:pPr>
        <w:spacing w:before="242" w:line="239" w:lineRule="exact"/>
        <w:textAlignment w:val="baseline"/>
        <w:rPr>
          <w:rFonts w:ascii="Century Gothic" w:eastAsia="Century Gothic" w:hAnsi="Century Gothic"/>
          <w:b/>
          <w:color w:val="000000"/>
          <w:sz w:val="20"/>
        </w:rPr>
      </w:pPr>
      <w:r>
        <w:rPr>
          <w:rFonts w:ascii="Century Gothic" w:eastAsia="Century Gothic" w:hAnsi="Century Gothic"/>
          <w:b/>
          <w:color w:val="000000"/>
          <w:sz w:val="20"/>
        </w:rPr>
        <w:t>APA Group submission to CoAG Energy Council consultation</w:t>
      </w:r>
    </w:p>
    <w:p w:rsidR="007036BD" w:rsidRDefault="00093FAE">
      <w:pPr>
        <w:spacing w:before="45" w:line="238" w:lineRule="exact"/>
        <w:textAlignment w:val="baseline"/>
        <w:rPr>
          <w:rFonts w:ascii="Century Gothic" w:eastAsia="Century Gothic" w:hAnsi="Century Gothic"/>
          <w:b/>
          <w:i/>
          <w:color w:val="000000"/>
          <w:sz w:val="20"/>
        </w:rPr>
      </w:pPr>
      <w:r>
        <w:rPr>
          <w:rFonts w:ascii="Century Gothic" w:eastAsia="Century Gothic" w:hAnsi="Century Gothic"/>
          <w:b/>
          <w:i/>
          <w:color w:val="000000"/>
          <w:sz w:val="20"/>
        </w:rPr>
        <w:t>Proposed Classification of Tiers for the reform of the Australian Energy Regulator Civil Penalty Regime</w:t>
      </w:r>
    </w:p>
    <w:p w:rsidR="007036BD" w:rsidRDefault="00093FAE">
      <w:pPr>
        <w:spacing w:before="192" w:line="288" w:lineRule="exact"/>
        <w:ind w:right="720"/>
        <w:textAlignment w:val="baseline"/>
        <w:rPr>
          <w:rFonts w:ascii="Century Gothic" w:eastAsia="Century Gothic" w:hAnsi="Century Gothic"/>
          <w:color w:val="000000"/>
          <w:sz w:val="20"/>
        </w:rPr>
      </w:pPr>
      <w:r>
        <w:rPr>
          <w:rFonts w:ascii="Century Gothic" w:eastAsia="Century Gothic" w:hAnsi="Century Gothic"/>
          <w:color w:val="000000"/>
          <w:sz w:val="20"/>
        </w:rPr>
        <w:t xml:space="preserve">APA Group welcomes the opportunity to comment on the CoAG Energy Council consultation </w:t>
      </w:r>
      <w:r>
        <w:rPr>
          <w:rFonts w:ascii="Century Gothic" w:eastAsia="Century Gothic" w:hAnsi="Century Gothic"/>
          <w:i/>
          <w:color w:val="000000"/>
          <w:sz w:val="20"/>
        </w:rPr>
        <w:t>Proposed Classification of Tiers for the reform of the Australian Energy Regulator Civil Penalty Regime.</w:t>
      </w:r>
    </w:p>
    <w:p w:rsidR="007036BD" w:rsidRDefault="00093FAE">
      <w:pPr>
        <w:spacing w:before="242" w:line="238" w:lineRule="exact"/>
        <w:textAlignment w:val="baseline"/>
        <w:rPr>
          <w:rFonts w:ascii="Century Gothic" w:eastAsia="Century Gothic" w:hAnsi="Century Gothic"/>
          <w:color w:val="000000"/>
          <w:sz w:val="20"/>
        </w:rPr>
      </w:pPr>
      <w:r>
        <w:rPr>
          <w:rFonts w:ascii="Century Gothic" w:eastAsia="Century Gothic" w:hAnsi="Century Gothic"/>
          <w:color w:val="000000"/>
          <w:sz w:val="20"/>
        </w:rPr>
        <w:t>The consultation guide addresses three themes on which APA values the opportunity to comment:</w:t>
      </w:r>
    </w:p>
    <w:p w:rsidR="007036BD" w:rsidRDefault="00093FAE">
      <w:pPr>
        <w:numPr>
          <w:ilvl w:val="0"/>
          <w:numId w:val="1"/>
        </w:numPr>
        <w:tabs>
          <w:tab w:val="clear" w:pos="360"/>
          <w:tab w:val="left" w:pos="720"/>
        </w:tabs>
        <w:spacing w:before="197" w:line="283" w:lineRule="exact"/>
        <w:ind w:left="720" w:right="648" w:hanging="360"/>
        <w:jc w:val="both"/>
        <w:textAlignment w:val="baseline"/>
        <w:rPr>
          <w:rFonts w:ascii="Century Gothic" w:eastAsia="Century Gothic" w:hAnsi="Century Gothic"/>
          <w:color w:val="000000"/>
          <w:sz w:val="20"/>
        </w:rPr>
      </w:pPr>
      <w:r>
        <w:rPr>
          <w:rFonts w:ascii="Century Gothic" w:eastAsia="Century Gothic" w:hAnsi="Century Gothic"/>
          <w:color w:val="000000"/>
          <w:sz w:val="20"/>
        </w:rPr>
        <w:t xml:space="preserve">updating the current provisions for inflation since they </w:t>
      </w:r>
      <w:r>
        <w:rPr>
          <w:rFonts w:ascii="Century Gothic" w:eastAsia="Century Gothic" w:hAnsi="Century Gothic"/>
          <w:color w:val="000000"/>
          <w:sz w:val="20"/>
        </w:rPr>
        <w:t>were first enacted, and ongoing indexation consistent with other penalty provisions;</w:t>
      </w:r>
    </w:p>
    <w:p w:rsidR="007036BD" w:rsidRDefault="00093FAE">
      <w:pPr>
        <w:numPr>
          <w:ilvl w:val="0"/>
          <w:numId w:val="1"/>
        </w:numPr>
        <w:tabs>
          <w:tab w:val="clear" w:pos="360"/>
          <w:tab w:val="left" w:pos="720"/>
        </w:tabs>
        <w:spacing w:before="197" w:line="283" w:lineRule="exact"/>
        <w:ind w:left="720" w:right="648" w:hanging="360"/>
        <w:jc w:val="both"/>
        <w:textAlignment w:val="baseline"/>
        <w:rPr>
          <w:rFonts w:ascii="Century Gothic" w:eastAsia="Century Gothic" w:hAnsi="Century Gothic"/>
          <w:color w:val="000000"/>
          <w:sz w:val="20"/>
        </w:rPr>
      </w:pPr>
      <w:r>
        <w:rPr>
          <w:rFonts w:ascii="Century Gothic" w:eastAsia="Century Gothic" w:hAnsi="Century Gothic"/>
          <w:color w:val="000000"/>
          <w:sz w:val="20"/>
        </w:rPr>
        <w:t>a system for assigning difference breaches of civil penalty provisions to different tiers based on the significance of the relevant provision; and</w:t>
      </w:r>
    </w:p>
    <w:p w:rsidR="007036BD" w:rsidRDefault="00093FAE">
      <w:pPr>
        <w:numPr>
          <w:ilvl w:val="0"/>
          <w:numId w:val="1"/>
        </w:numPr>
        <w:tabs>
          <w:tab w:val="clear" w:pos="360"/>
          <w:tab w:val="left" w:pos="720"/>
        </w:tabs>
        <w:spacing w:before="197" w:line="283" w:lineRule="exact"/>
        <w:ind w:left="720" w:right="1224" w:hanging="360"/>
        <w:textAlignment w:val="baseline"/>
        <w:rPr>
          <w:rFonts w:ascii="Century Gothic" w:eastAsia="Century Gothic" w:hAnsi="Century Gothic"/>
          <w:color w:val="000000"/>
          <w:sz w:val="20"/>
        </w:rPr>
      </w:pPr>
      <w:r>
        <w:rPr>
          <w:rFonts w:ascii="Century Gothic" w:eastAsia="Century Gothic" w:hAnsi="Century Gothic"/>
          <w:color w:val="000000"/>
          <w:sz w:val="20"/>
        </w:rPr>
        <w:t xml:space="preserve">the current proposal to </w:t>
      </w:r>
      <w:r>
        <w:rPr>
          <w:rFonts w:ascii="Century Gothic" w:eastAsia="Century Gothic" w:hAnsi="Century Gothic"/>
          <w:color w:val="000000"/>
          <w:sz w:val="20"/>
        </w:rPr>
        <w:t>assign existing National Gas Law and National Gas Rule civil penalty provisions to tiers.</w:t>
      </w:r>
    </w:p>
    <w:p w:rsidR="007036BD" w:rsidRDefault="00093FAE">
      <w:pPr>
        <w:spacing w:before="192" w:line="288" w:lineRule="exact"/>
        <w:ind w:right="1080"/>
        <w:textAlignment w:val="baseline"/>
        <w:rPr>
          <w:rFonts w:ascii="Century Gothic" w:eastAsia="Century Gothic" w:hAnsi="Century Gothic"/>
          <w:color w:val="000000"/>
          <w:sz w:val="20"/>
        </w:rPr>
      </w:pPr>
      <w:r>
        <w:rPr>
          <w:rFonts w:ascii="Century Gothic" w:eastAsia="Century Gothic" w:hAnsi="Century Gothic"/>
          <w:color w:val="000000"/>
          <w:sz w:val="20"/>
        </w:rPr>
        <w:t>APA supports updating the current levels of civil penalties to account for inflation since they were first enacted, and also supports ongoing adjustment for inflation</w:t>
      </w:r>
      <w:r>
        <w:rPr>
          <w:rFonts w:ascii="Century Gothic" w:eastAsia="Century Gothic" w:hAnsi="Century Gothic"/>
          <w:color w:val="000000"/>
          <w:sz w:val="20"/>
        </w:rPr>
        <w:t xml:space="preserve"> over time.</w:t>
      </w:r>
    </w:p>
    <w:p w:rsidR="007036BD" w:rsidRDefault="00093FAE">
      <w:pPr>
        <w:spacing w:before="198" w:line="283" w:lineRule="exact"/>
        <w:ind w:right="648"/>
        <w:textAlignment w:val="baseline"/>
        <w:rPr>
          <w:rFonts w:ascii="Century Gothic" w:eastAsia="Century Gothic" w:hAnsi="Century Gothic"/>
          <w:color w:val="000000"/>
          <w:sz w:val="20"/>
        </w:rPr>
      </w:pPr>
      <w:r>
        <w:rPr>
          <w:rFonts w:ascii="Century Gothic" w:eastAsia="Century Gothic" w:hAnsi="Century Gothic"/>
          <w:color w:val="000000"/>
          <w:sz w:val="20"/>
        </w:rPr>
        <w:t>APA supports the principle of the thought process that is reflected in the Civil Penalty Provisions Concepts Table and Decision Matrix. These documents, correctly in APA’s view, advance the promotion of the National Gas Objective.</w:t>
      </w:r>
    </w:p>
    <w:p w:rsidR="007036BD" w:rsidRDefault="00093FAE">
      <w:pPr>
        <w:spacing w:before="187" w:line="288" w:lineRule="exact"/>
        <w:ind w:right="720"/>
        <w:textAlignment w:val="baseline"/>
        <w:rPr>
          <w:rFonts w:ascii="Century Gothic" w:eastAsia="Century Gothic" w:hAnsi="Century Gothic"/>
          <w:color w:val="000000"/>
          <w:sz w:val="20"/>
        </w:rPr>
      </w:pPr>
      <w:r>
        <w:rPr>
          <w:rFonts w:ascii="Century Gothic" w:eastAsia="Century Gothic" w:hAnsi="Century Gothic"/>
          <w:color w:val="000000"/>
          <w:sz w:val="20"/>
        </w:rPr>
        <w:t xml:space="preserve">However, APA </w:t>
      </w:r>
      <w:r>
        <w:rPr>
          <w:rFonts w:ascii="Century Gothic" w:eastAsia="Century Gothic" w:hAnsi="Century Gothic"/>
          <w:color w:val="000000"/>
          <w:sz w:val="20"/>
        </w:rPr>
        <w:t>is concerned with an unexplained shift in policy, and the implications of that unexplained shift.</w:t>
      </w:r>
    </w:p>
    <w:p w:rsidR="007036BD" w:rsidRDefault="00093FAE">
      <w:pPr>
        <w:spacing w:before="241" w:line="238" w:lineRule="exact"/>
        <w:textAlignment w:val="baseline"/>
        <w:rPr>
          <w:rFonts w:ascii="Century Gothic" w:eastAsia="Century Gothic" w:hAnsi="Century Gothic"/>
          <w:color w:val="000000"/>
          <w:sz w:val="20"/>
        </w:rPr>
      </w:pPr>
      <w:r>
        <w:rPr>
          <w:rFonts w:ascii="Century Gothic" w:eastAsia="Century Gothic" w:hAnsi="Century Gothic"/>
          <w:color w:val="000000"/>
          <w:sz w:val="20"/>
        </w:rPr>
        <w:t>At the last opportunity for consultation,</w:t>
      </w:r>
      <w:r>
        <w:rPr>
          <w:rFonts w:ascii="Century Gothic" w:eastAsia="Century Gothic" w:hAnsi="Century Gothic"/>
          <w:color w:val="000000"/>
          <w:sz w:val="20"/>
          <w:vertAlign w:val="superscript"/>
        </w:rPr>
        <w:t>1</w:t>
      </w:r>
      <w:r>
        <w:rPr>
          <w:rFonts w:ascii="Century Gothic" w:eastAsia="Century Gothic" w:hAnsi="Century Gothic"/>
          <w:color w:val="000000"/>
          <w:sz w:val="20"/>
        </w:rPr>
        <w:t xml:space="preserve"> The CoAG Energy Council indicated:</w:t>
      </w:r>
    </w:p>
    <w:p w:rsidR="007036BD" w:rsidRDefault="00093FAE">
      <w:pPr>
        <w:spacing w:before="248" w:line="238" w:lineRule="exact"/>
        <w:ind w:left="720"/>
        <w:textAlignment w:val="baseline"/>
        <w:rPr>
          <w:rFonts w:ascii="Century Gothic" w:eastAsia="Century Gothic" w:hAnsi="Century Gothic"/>
          <w:i/>
          <w:color w:val="000000"/>
          <w:sz w:val="20"/>
        </w:rPr>
      </w:pPr>
      <w:r>
        <w:rPr>
          <w:rFonts w:ascii="Century Gothic" w:eastAsia="Century Gothic" w:hAnsi="Century Gothic"/>
          <w:i/>
          <w:color w:val="000000"/>
          <w:sz w:val="20"/>
        </w:rPr>
        <w:t>With some exceptions, existing civil penalty provisions will be subject to the bottom tier (tier 3).</w:t>
      </w:r>
    </w:p>
    <w:p w:rsidR="007036BD" w:rsidRDefault="00093FAE">
      <w:pPr>
        <w:spacing w:before="242" w:line="238" w:lineRule="exact"/>
        <w:textAlignment w:val="baseline"/>
        <w:rPr>
          <w:rFonts w:ascii="Century Gothic" w:eastAsia="Century Gothic" w:hAnsi="Century Gothic"/>
          <w:color w:val="000000"/>
          <w:sz w:val="20"/>
        </w:rPr>
      </w:pPr>
      <w:r>
        <w:rPr>
          <w:rFonts w:ascii="Century Gothic" w:eastAsia="Century Gothic" w:hAnsi="Century Gothic"/>
          <w:color w:val="000000"/>
          <w:sz w:val="20"/>
        </w:rPr>
        <w:t>The only exceptions identified at that time were related to the electricity market rebidding rules.</w:t>
      </w:r>
    </w:p>
    <w:p w:rsidR="007036BD" w:rsidRDefault="00093FAE">
      <w:pPr>
        <w:spacing w:before="195" w:line="284" w:lineRule="exact"/>
        <w:ind w:right="1440"/>
        <w:textAlignment w:val="baseline"/>
        <w:rPr>
          <w:rFonts w:ascii="Century Gothic" w:eastAsia="Century Gothic" w:hAnsi="Century Gothic"/>
          <w:color w:val="000000"/>
          <w:sz w:val="20"/>
        </w:rPr>
      </w:pPr>
      <w:r>
        <w:rPr>
          <w:rFonts w:ascii="Century Gothic" w:eastAsia="Century Gothic" w:hAnsi="Century Gothic"/>
          <w:color w:val="000000"/>
          <w:sz w:val="20"/>
        </w:rPr>
        <w:t>However, the current draft classification attachment to this consultation</w:t>
      </w:r>
      <w:r>
        <w:rPr>
          <w:rFonts w:ascii="Century Gothic" w:eastAsia="Century Gothic" w:hAnsi="Century Gothic"/>
          <w:color w:val="000000"/>
          <w:sz w:val="20"/>
          <w:vertAlign w:val="superscript"/>
        </w:rPr>
        <w:t>2</w:t>
      </w:r>
      <w:r>
        <w:rPr>
          <w:rFonts w:ascii="Century Gothic" w:eastAsia="Century Gothic" w:hAnsi="Century Gothic"/>
          <w:color w:val="000000"/>
          <w:sz w:val="20"/>
        </w:rPr>
        <w:t xml:space="preserve"> reflects the widespread application of existing civil penalty provisions to the Tier 1 and Tier 2 categories.</w:t>
      </w:r>
    </w:p>
    <w:p w:rsidR="007036BD" w:rsidRDefault="00093FAE">
      <w:pPr>
        <w:spacing w:before="197" w:after="617" w:line="283" w:lineRule="exact"/>
        <w:ind w:right="432"/>
        <w:textAlignment w:val="baseline"/>
        <w:rPr>
          <w:rFonts w:ascii="Century Gothic" w:eastAsia="Century Gothic" w:hAnsi="Century Gothic"/>
          <w:color w:val="000000"/>
          <w:sz w:val="20"/>
        </w:rPr>
      </w:pPr>
      <w:r>
        <w:rPr>
          <w:rFonts w:ascii="Century Gothic" w:eastAsia="Century Gothic" w:hAnsi="Century Gothic"/>
          <w:color w:val="000000"/>
          <w:sz w:val="20"/>
        </w:rPr>
        <w:t>The justification for this classification appears to be a view that the</w:t>
      </w:r>
      <w:r>
        <w:rPr>
          <w:rFonts w:ascii="Century Gothic" w:eastAsia="Century Gothic" w:hAnsi="Century Gothic"/>
          <w:color w:val="000000"/>
          <w:sz w:val="20"/>
        </w:rPr>
        <w:t>re is a greater need for deterrence of the harmful conduct addressed by the civil penalty provisions, and that the current level of penalty is insufficient to act as an adequate deterrent.</w:t>
      </w:r>
    </w:p>
    <w:p w:rsidR="007036BD" w:rsidRDefault="00093FAE">
      <w:pPr>
        <w:spacing w:before="132" w:line="207" w:lineRule="exact"/>
        <w:ind w:right="1152"/>
        <w:textAlignment w:val="baseline"/>
        <w:rPr>
          <w:rFonts w:ascii="Century Gothic" w:eastAsia="Century Gothic" w:hAnsi="Century Gothic"/>
          <w:color w:val="000000"/>
          <w:sz w:val="13"/>
        </w:rPr>
      </w:pPr>
      <w:r>
        <w:rPr>
          <w:noProof/>
          <w:lang w:val="en-AU" w:eastAsia="en-AU"/>
        </w:rPr>
        <mc:AlternateContent>
          <mc:Choice Requires="wps">
            <w:drawing>
              <wp:anchor distT="0" distB="0" distL="114300" distR="114300" simplePos="0" relativeHeight="251657216" behindDoc="0" locked="0" layoutInCell="1" allowOverlap="1">
                <wp:simplePos x="0" y="0"/>
                <wp:positionH relativeFrom="page">
                  <wp:posOffset>466090</wp:posOffset>
                </wp:positionH>
                <wp:positionV relativeFrom="page">
                  <wp:posOffset>9299575</wp:posOffset>
                </wp:positionV>
                <wp:extent cx="1832610" cy="0"/>
                <wp:effectExtent l="0" t="0" r="0" b="0"/>
                <wp:wrapNone/>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AAB52F" id="Line 3" o:spid="_x0000_s1026" style="position:absolute;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7pt,732.25pt" to="181pt,7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" strokeweight=".7pt">
                <w10:wrap anchorx="page" anchory="page"/>
              </v:line>
            </w:pict>
          </mc:Fallback>
        </mc:AlternateContent>
      </w:r>
      <w:r>
        <w:rPr>
          <w:rFonts w:ascii="Century Gothic" w:eastAsia="Century Gothic" w:hAnsi="Century Gothic"/>
          <w:color w:val="000000"/>
          <w:sz w:val="13"/>
        </w:rPr>
        <w:t xml:space="preserve">1 </w:t>
      </w:r>
      <w:r>
        <w:rPr>
          <w:rFonts w:ascii="Century Gothic" w:eastAsia="Century Gothic" w:hAnsi="Century Gothic"/>
          <w:color w:val="000000"/>
          <w:sz w:val="17"/>
        </w:rPr>
        <w:t>COAG Energy Council Senior Committee of Officials, National Ener</w:t>
      </w:r>
      <w:r>
        <w:rPr>
          <w:rFonts w:ascii="Century Gothic" w:eastAsia="Century Gothic" w:hAnsi="Century Gothic"/>
          <w:color w:val="000000"/>
          <w:sz w:val="17"/>
        </w:rPr>
        <w:t>gy Laws enforcement and penalties framework reforms - Explanatory note for stakeholder consultation, November 2019, p5.</w:t>
      </w:r>
    </w:p>
    <w:p w:rsidR="007036BD" w:rsidRDefault="00093FAE">
      <w:pPr>
        <w:spacing w:before="73" w:line="161" w:lineRule="exact"/>
        <w:textAlignment w:val="baseline"/>
        <w:rPr>
          <w:rFonts w:ascii="Century Gothic" w:eastAsia="Century Gothic" w:hAnsi="Century Gothic"/>
          <w:color w:val="000000"/>
          <w:spacing w:val="-3"/>
          <w:sz w:val="13"/>
        </w:rPr>
      </w:pPr>
      <w:r>
        <w:rPr>
          <w:rFonts w:ascii="Century Gothic" w:eastAsia="Century Gothic" w:hAnsi="Century Gothic"/>
          <w:color w:val="000000"/>
          <w:spacing w:val="-3"/>
          <w:sz w:val="13"/>
        </w:rPr>
        <w:t xml:space="preserve">2 </w:t>
      </w:r>
      <w:r>
        <w:rPr>
          <w:rFonts w:ascii="Century Gothic" w:eastAsia="Century Gothic" w:hAnsi="Century Gothic"/>
          <w:color w:val="000000"/>
          <w:spacing w:val="-3"/>
          <w:sz w:val="17"/>
        </w:rPr>
        <w:t>National Energy Laws - Civil Penalties - Draft Classification.</w:t>
      </w:r>
    </w:p>
    <w:p w:rsidR="007036BD" w:rsidRDefault="00093FAE">
      <w:pPr>
        <w:spacing w:before="74" w:after="125" w:line="161" w:lineRule="exact"/>
        <w:textAlignment w:val="baseline"/>
        <w:rPr>
          <w:rFonts w:ascii="Century Gothic" w:eastAsia="Century Gothic" w:hAnsi="Century Gothic"/>
          <w:color w:val="57575A"/>
          <w:sz w:val="13"/>
        </w:rPr>
      </w:pPr>
      <w:r>
        <w:rPr>
          <w:rFonts w:ascii="Century Gothic" w:eastAsia="Century Gothic" w:hAnsi="Century Gothic"/>
          <w:color w:val="57575A"/>
          <w:sz w:val="13"/>
        </w:rPr>
        <w:t xml:space="preserve">APA Group comprises two registered investment schemes, Australian Pipeline Trust (ARSN 091 678 778) and APT Investment </w:t>
      </w:r>
      <w:r>
        <w:rPr>
          <w:rFonts w:ascii="Century Gothic" w:eastAsia="Century Gothic" w:hAnsi="Century Gothic"/>
          <w:color w:val="57575A"/>
          <w:sz w:val="13"/>
        </w:rPr>
        <w:br/>
        <w:t xml:space="preserve">Trust (ARSN 115 585 441), the securities in which are stapled together. Australian Pipeline Limited (ACN 091 344 704) is the </w:t>
      </w:r>
      <w:r>
        <w:rPr>
          <w:rFonts w:ascii="Century Gothic" w:eastAsia="Century Gothic" w:hAnsi="Century Gothic"/>
          <w:color w:val="57575A"/>
          <w:sz w:val="13"/>
        </w:rPr>
        <w:br/>
        <w:t>responsibl</w:t>
      </w:r>
      <w:r>
        <w:rPr>
          <w:rFonts w:ascii="Century Gothic" w:eastAsia="Century Gothic" w:hAnsi="Century Gothic"/>
          <w:color w:val="57575A"/>
          <w:sz w:val="13"/>
        </w:rPr>
        <w:t>e entity of those trusts. The registered office is Level 25, 580 George Street, Sydney NSW 2000.</w:t>
      </w:r>
    </w:p>
    <w:p w:rsidR="007036BD" w:rsidRDefault="007036BD">
      <w:pPr>
        <w:spacing w:before="74" w:after="125" w:line="161" w:lineRule="exact"/>
        <w:sectPr w:rsidR="007036BD">
          <w:pgSz w:w="11909" w:h="16838"/>
          <w:pgMar w:top="520" w:right="355" w:bottom="209" w:left="734" w:header="720" w:footer="720" w:gutter="0"/>
          <w:cols w:space="720"/>
        </w:sectPr>
      </w:pPr>
    </w:p>
    <w:tbl>
      <w:tblPr>
        <w:tblW w:w="0" w:type="auto"/>
        <w:tblLayout w:type="fixed"/>
        <w:tblCellMar>
          <w:left w:w="0" w:type="dxa"/>
          <w:right w:w="0" w:type="dxa"/>
        </w:tblCellMar>
        <w:tblLook w:val="04A0" w:firstRow="1" w:lastRow="0" w:firstColumn="1" w:lastColumn="0" w:noHBand="0" w:noVBand="1"/>
      </w:tblPr>
      <w:tblGrid>
        <w:gridCol w:w="8429"/>
        <w:gridCol w:w="1891"/>
      </w:tblGrid>
      <w:tr w:rsidR="007036BD">
        <w:tblPrEx>
          <w:tblCellMar>
            <w:top w:w="0" w:type="dxa"/>
            <w:bottom w:w="0" w:type="dxa"/>
          </w:tblCellMar>
        </w:tblPrEx>
        <w:trPr>
          <w:trHeight w:hRule="exact" w:val="251"/>
        </w:trPr>
        <w:tc>
          <w:tcPr>
            <w:tcW w:w="8429" w:type="dxa"/>
            <w:tcBorders>
              <w:top w:val="none" w:sz="0" w:space="0" w:color="000000"/>
              <w:left w:val="none" w:sz="0" w:space="0" w:color="000000"/>
              <w:bottom w:val="none" w:sz="0" w:space="0" w:color="000000"/>
              <w:right w:val="none" w:sz="0" w:space="0" w:color="000000"/>
            </w:tcBorders>
            <w:vAlign w:val="center"/>
          </w:tcPr>
          <w:p w:rsidR="007036BD" w:rsidRDefault="00093FAE">
            <w:pPr>
              <w:spacing w:before="57" w:after="9" w:line="183" w:lineRule="exact"/>
              <w:ind w:right="7613"/>
              <w:jc w:val="right"/>
              <w:textAlignment w:val="baseline"/>
              <w:rPr>
                <w:rFonts w:ascii="Century Gothic" w:eastAsia="Century Gothic" w:hAnsi="Century Gothic"/>
                <w:color w:val="000000"/>
                <w:spacing w:val="-11"/>
                <w:sz w:val="15"/>
              </w:rPr>
            </w:pPr>
            <w:r>
              <w:rPr>
                <w:rFonts w:ascii="Century Gothic" w:eastAsia="Century Gothic" w:hAnsi="Century Gothic"/>
                <w:color w:val="000000"/>
                <w:spacing w:val="-11"/>
                <w:sz w:val="15"/>
              </w:rPr>
              <w:t>Page 1 of 2</w:t>
            </w:r>
          </w:p>
        </w:tc>
        <w:tc>
          <w:tcPr>
            <w:tcW w:w="1891" w:type="dxa"/>
            <w:tcBorders>
              <w:top w:val="none" w:sz="0" w:space="0" w:color="000000"/>
              <w:left w:val="none" w:sz="0" w:space="0" w:color="000000"/>
              <w:bottom w:val="none" w:sz="0" w:space="0" w:color="000000"/>
              <w:right w:val="none" w:sz="0" w:space="0" w:color="000000"/>
            </w:tcBorders>
          </w:tcPr>
          <w:p w:rsidR="007036BD" w:rsidRDefault="00093FAE">
            <w:pPr>
              <w:spacing w:after="6" w:line="245" w:lineRule="exact"/>
              <w:ind w:right="5"/>
              <w:jc w:val="center"/>
              <w:textAlignment w:val="baseline"/>
            </w:pPr>
            <w:r>
              <w:rPr>
                <w:noProof/>
                <w:lang w:val="en-AU" w:eastAsia="en-AU"/>
              </w:rPr>
              <w:drawing>
                <wp:inline distT="0" distB="0" distL="0" distR="0">
                  <wp:extent cx="1197610" cy="15557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8"/>
                          <a:stretch>
                            <a:fillRect/>
                          </a:stretch>
                        </pic:blipFill>
                        <pic:spPr>
                          <a:xfrm>
                            <a:off x="0" y="0"/>
                            <a:ext cx="1197610" cy="155575"/>
                          </a:xfrm>
                          <a:prstGeom prst="rect">
                            <a:avLst/>
                          </a:prstGeom>
                        </pic:spPr>
                      </pic:pic>
                    </a:graphicData>
                  </a:graphic>
                </wp:inline>
              </w:drawing>
            </w:r>
          </w:p>
        </w:tc>
      </w:tr>
    </w:tbl>
    <w:p w:rsidR="007036BD" w:rsidRDefault="007036BD">
      <w:pPr>
        <w:sectPr w:rsidR="007036BD">
          <w:type w:val="continuous"/>
          <w:pgSz w:w="11909" w:h="16838"/>
          <w:pgMar w:top="520" w:right="864" w:bottom="209" w:left="725" w:header="720" w:footer="720" w:gutter="0"/>
          <w:cols w:space="720"/>
        </w:sectPr>
      </w:pPr>
    </w:p>
    <w:p w:rsidR="007036BD" w:rsidRDefault="00093FAE">
      <w:pPr>
        <w:spacing w:line="255" w:lineRule="exact"/>
        <w:ind w:left="864" w:right="288"/>
        <w:textAlignment w:val="baseline"/>
        <w:rPr>
          <w:rFonts w:ascii="Century Gothic" w:eastAsia="Century Gothic" w:hAnsi="Century Gothic"/>
          <w:i/>
          <w:color w:val="000000"/>
          <w:sz w:val="18"/>
        </w:rPr>
      </w:pPr>
      <w:r>
        <w:rPr>
          <w:rFonts w:ascii="Century Gothic" w:eastAsia="Century Gothic" w:hAnsi="Century Gothic"/>
          <w:i/>
          <w:color w:val="000000"/>
          <w:sz w:val="18"/>
        </w:rPr>
        <w:lastRenderedPageBreak/>
        <w:t>The ACCC considers that the current civil penalty amounts are insufficient to impose a credible level of deterrence and provide meaningful consequences to businesses. Therefore, the ACCC considers that the penalties should be increased to provide the Austr</w:t>
      </w:r>
      <w:r>
        <w:rPr>
          <w:rFonts w:ascii="Century Gothic" w:eastAsia="Century Gothic" w:hAnsi="Century Gothic"/>
          <w:i/>
          <w:color w:val="000000"/>
          <w:sz w:val="18"/>
        </w:rPr>
        <w:t>alian Energy Regulator (AER) with a greater level of flexibility in its response to address breaches of the national energy laws.</w:t>
      </w:r>
      <w:r>
        <w:rPr>
          <w:rFonts w:ascii="Century Gothic" w:eastAsia="Century Gothic" w:hAnsi="Century Gothic"/>
          <w:i/>
          <w:color w:val="000000"/>
          <w:sz w:val="18"/>
          <w:vertAlign w:val="superscript"/>
        </w:rPr>
        <w:t>3</w:t>
      </w:r>
      <w:r>
        <w:rPr>
          <w:rFonts w:ascii="Century Gothic" w:eastAsia="Century Gothic" w:hAnsi="Century Gothic"/>
          <w:i/>
          <w:color w:val="000000"/>
          <w:sz w:val="12"/>
        </w:rPr>
        <w:t xml:space="preserve"> </w:t>
      </w:r>
    </w:p>
    <w:p w:rsidR="007036BD" w:rsidRDefault="00093FAE">
      <w:pPr>
        <w:spacing w:before="175" w:line="277" w:lineRule="exact"/>
        <w:ind w:left="864" w:right="288"/>
        <w:textAlignment w:val="baseline"/>
        <w:rPr>
          <w:rFonts w:ascii="Century Gothic" w:eastAsia="Century Gothic" w:hAnsi="Century Gothic"/>
          <w:i/>
          <w:color w:val="000000"/>
          <w:sz w:val="18"/>
        </w:rPr>
      </w:pPr>
      <w:r>
        <w:rPr>
          <w:rFonts w:ascii="Century Gothic" w:eastAsia="Century Gothic" w:hAnsi="Century Gothic"/>
          <w:i/>
          <w:color w:val="000000"/>
          <w:sz w:val="18"/>
        </w:rPr>
        <w:t xml:space="preserve">The concepts also reflect the objective of civil penalties, as articulated by the courts, being to provide specific and general deterrence of certain harmful conduct. </w:t>
      </w:r>
      <w:r>
        <w:rPr>
          <w:rFonts w:ascii="Century Gothic" w:eastAsia="Century Gothic" w:hAnsi="Century Gothic"/>
          <w:i/>
          <w:color w:val="000000"/>
          <w:sz w:val="13"/>
        </w:rPr>
        <w:t>4</w:t>
      </w:r>
    </w:p>
    <w:p w:rsidR="007036BD" w:rsidRDefault="00093FAE">
      <w:pPr>
        <w:spacing w:before="207" w:line="259" w:lineRule="exact"/>
        <w:ind w:left="864" w:right="360"/>
        <w:textAlignment w:val="baseline"/>
        <w:rPr>
          <w:rFonts w:ascii="Century Gothic" w:eastAsia="Century Gothic" w:hAnsi="Century Gothic"/>
          <w:i/>
          <w:color w:val="000000"/>
          <w:sz w:val="18"/>
        </w:rPr>
      </w:pPr>
      <w:r>
        <w:rPr>
          <w:rFonts w:ascii="Century Gothic" w:eastAsia="Century Gothic" w:hAnsi="Century Gothic"/>
          <w:i/>
          <w:color w:val="000000"/>
          <w:sz w:val="18"/>
        </w:rPr>
        <w:t>Overall, the proposed changes detailed in the draft Bill and regulations will strengthe</w:t>
      </w:r>
      <w:r>
        <w:rPr>
          <w:rFonts w:ascii="Century Gothic" w:eastAsia="Century Gothic" w:hAnsi="Century Gothic"/>
          <w:i/>
          <w:color w:val="000000"/>
          <w:sz w:val="18"/>
        </w:rPr>
        <w:t>n the AER’s enforcement powers and the penalty regime under the national energy laws and provide a stronger deterrent against breaches of the law and rules, particularly in the case of significant breaches, or breaches that impact the integrity of energy m</w:t>
      </w:r>
      <w:r>
        <w:rPr>
          <w:rFonts w:ascii="Century Gothic" w:eastAsia="Century Gothic" w:hAnsi="Century Gothic"/>
          <w:i/>
          <w:color w:val="000000"/>
          <w:sz w:val="18"/>
        </w:rPr>
        <w:t xml:space="preserve">arkets. </w:t>
      </w:r>
      <w:r>
        <w:rPr>
          <w:rFonts w:ascii="Century Gothic" w:eastAsia="Century Gothic" w:hAnsi="Century Gothic"/>
          <w:i/>
          <w:color w:val="000000"/>
          <w:sz w:val="13"/>
        </w:rPr>
        <w:t>5</w:t>
      </w:r>
    </w:p>
    <w:p w:rsidR="007036BD" w:rsidRDefault="00093FAE">
      <w:pPr>
        <w:spacing w:before="205" w:line="283" w:lineRule="exact"/>
        <w:ind w:left="144" w:right="216"/>
        <w:textAlignment w:val="baseline"/>
        <w:rPr>
          <w:rFonts w:ascii="Century Gothic" w:eastAsia="Century Gothic" w:hAnsi="Century Gothic"/>
          <w:color w:val="000000"/>
          <w:sz w:val="20"/>
        </w:rPr>
      </w:pPr>
      <w:r>
        <w:rPr>
          <w:rFonts w:ascii="Century Gothic" w:eastAsia="Century Gothic" w:hAnsi="Century Gothic"/>
          <w:color w:val="000000"/>
          <w:sz w:val="20"/>
        </w:rPr>
        <w:t xml:space="preserve">However, no evidence has been presented, including in the ACCC </w:t>
      </w:r>
      <w:r>
        <w:rPr>
          <w:rFonts w:ascii="Century Gothic" w:eastAsia="Century Gothic" w:hAnsi="Century Gothic"/>
          <w:i/>
          <w:color w:val="000000"/>
          <w:sz w:val="20"/>
        </w:rPr>
        <w:t xml:space="preserve">Retail Electricity Pricing Inquiry Report </w:t>
      </w:r>
      <w:r>
        <w:rPr>
          <w:rFonts w:ascii="Century Gothic" w:eastAsia="Century Gothic" w:hAnsi="Century Gothic"/>
          <w:color w:val="000000"/>
          <w:sz w:val="20"/>
        </w:rPr>
        <w:t xml:space="preserve">or the NERA/Allens </w:t>
      </w:r>
      <w:r>
        <w:rPr>
          <w:rFonts w:ascii="Century Gothic" w:eastAsia="Century Gothic" w:hAnsi="Century Gothic"/>
          <w:i/>
          <w:color w:val="000000"/>
          <w:sz w:val="20"/>
        </w:rPr>
        <w:t>Review of Enforcement Regimes under the National Energy Laws</w:t>
      </w:r>
      <w:r>
        <w:rPr>
          <w:rFonts w:ascii="Century Gothic" w:eastAsia="Century Gothic" w:hAnsi="Century Gothic"/>
          <w:i/>
          <w:color w:val="000000"/>
          <w:sz w:val="20"/>
          <w:vertAlign w:val="superscript"/>
        </w:rPr>
        <w:t>6</w:t>
      </w:r>
      <w:r>
        <w:rPr>
          <w:rFonts w:ascii="Century Gothic" w:eastAsia="Century Gothic" w:hAnsi="Century Gothic"/>
          <w:color w:val="000000"/>
          <w:sz w:val="20"/>
        </w:rPr>
        <w:t xml:space="preserve"> to suggest that there has been any pattern of deliberate or </w:t>
      </w:r>
      <w:r>
        <w:rPr>
          <w:rFonts w:ascii="Century Gothic" w:eastAsia="Century Gothic" w:hAnsi="Century Gothic"/>
          <w:color w:val="000000"/>
          <w:sz w:val="20"/>
        </w:rPr>
        <w:t>widespread breaches of the current civil penalty provisions to suggest that a greater deterrent is either required or appropriate.</w:t>
      </w:r>
    </w:p>
    <w:p w:rsidR="007036BD" w:rsidRDefault="00093FAE">
      <w:pPr>
        <w:spacing w:before="198" w:line="283" w:lineRule="exact"/>
        <w:ind w:left="144" w:right="360"/>
        <w:jc w:val="both"/>
        <w:textAlignment w:val="baseline"/>
        <w:rPr>
          <w:rFonts w:ascii="Century Gothic" w:eastAsia="Century Gothic" w:hAnsi="Century Gothic"/>
          <w:color w:val="000000"/>
          <w:sz w:val="20"/>
        </w:rPr>
      </w:pPr>
      <w:r>
        <w:rPr>
          <w:rFonts w:ascii="Century Gothic" w:eastAsia="Century Gothic" w:hAnsi="Century Gothic"/>
          <w:color w:val="000000"/>
          <w:sz w:val="20"/>
        </w:rPr>
        <w:t>In this light, APA submits that all current civil penalty provisions (save for the rebidding provisions) should be classified</w:t>
      </w:r>
      <w:r>
        <w:rPr>
          <w:rFonts w:ascii="Century Gothic" w:eastAsia="Century Gothic" w:hAnsi="Century Gothic"/>
          <w:color w:val="000000"/>
          <w:sz w:val="20"/>
        </w:rPr>
        <w:t xml:space="preserve"> as Tier 3, in line with the original policy signal, until such time as ongoing monitoring demonstrates that the current level of penalty is insufficient of serve as an adequate deterrent against breaches of those provisions.</w:t>
      </w:r>
    </w:p>
    <w:p w:rsidR="007036BD" w:rsidRDefault="00093FAE">
      <w:pPr>
        <w:spacing w:before="193" w:line="283" w:lineRule="exact"/>
        <w:ind w:left="144" w:right="504"/>
        <w:textAlignment w:val="baseline"/>
        <w:rPr>
          <w:rFonts w:ascii="Century Gothic" w:eastAsia="Century Gothic" w:hAnsi="Century Gothic"/>
          <w:color w:val="000000"/>
          <w:spacing w:val="-1"/>
          <w:sz w:val="20"/>
        </w:rPr>
      </w:pPr>
      <w:r>
        <w:rPr>
          <w:rFonts w:ascii="Century Gothic" w:eastAsia="Century Gothic" w:hAnsi="Century Gothic"/>
          <w:color w:val="000000"/>
          <w:spacing w:val="-1"/>
          <w:sz w:val="20"/>
        </w:rPr>
        <w:t>APA would support an ongoing c</w:t>
      </w:r>
      <w:r>
        <w:rPr>
          <w:rFonts w:ascii="Century Gothic" w:eastAsia="Century Gothic" w:hAnsi="Century Gothic"/>
          <w:color w:val="000000"/>
          <w:spacing w:val="-1"/>
          <w:sz w:val="20"/>
        </w:rPr>
        <w:t>ompliance monitoring regime in this regard, combined with a regular review of compliance behaviour to support any future reclassification of civil penalty provisions, applying the classification system proposed in this consultation, as may be shown to be a</w:t>
      </w:r>
      <w:r>
        <w:rPr>
          <w:rFonts w:ascii="Century Gothic" w:eastAsia="Century Gothic" w:hAnsi="Century Gothic"/>
          <w:color w:val="000000"/>
          <w:spacing w:val="-1"/>
          <w:sz w:val="20"/>
        </w:rPr>
        <w:t>ppropriate in the future.</w:t>
      </w:r>
    </w:p>
    <w:p w:rsidR="007036BD" w:rsidRDefault="00093FAE">
      <w:pPr>
        <w:spacing w:before="192" w:line="288" w:lineRule="exact"/>
        <w:ind w:left="144" w:right="864"/>
        <w:textAlignment w:val="baseline"/>
        <w:rPr>
          <w:rFonts w:ascii="Century Gothic" w:eastAsia="Century Gothic" w:hAnsi="Century Gothic"/>
          <w:color w:val="000000"/>
          <w:sz w:val="20"/>
        </w:rPr>
      </w:pPr>
      <w:r>
        <w:rPr>
          <w:rFonts w:ascii="Century Gothic" w:eastAsia="Century Gothic" w:hAnsi="Century Gothic"/>
          <w:color w:val="000000"/>
          <w:sz w:val="20"/>
        </w:rPr>
        <w:t>APA would be pleased to discuss this submission with you at your convenience. Please contact Scott Young, Manager Regulatory, at (02) 9275 0031 or at</w:t>
      </w:r>
      <w:hyperlink r:id="rId9">
        <w:r>
          <w:rPr>
            <w:rFonts w:ascii="Century Gothic" w:eastAsia="Century Gothic" w:hAnsi="Century Gothic"/>
            <w:color w:val="0000FF"/>
            <w:sz w:val="20"/>
            <w:u w:val="single"/>
          </w:rPr>
          <w:t xml:space="preserve"> scott.young@apa.com.au</w:t>
        </w:r>
      </w:hyperlink>
      <w:r>
        <w:rPr>
          <w:rFonts w:ascii="Century Gothic" w:eastAsia="Century Gothic" w:hAnsi="Century Gothic"/>
          <w:color w:val="0000FF"/>
          <w:sz w:val="20"/>
          <w:u w:val="single"/>
        </w:rPr>
        <w:t xml:space="preserve"> </w:t>
      </w:r>
      <w:r>
        <w:rPr>
          <w:rFonts w:ascii="Century Gothic" w:eastAsia="Century Gothic" w:hAnsi="Century Gothic"/>
          <w:color w:val="000000"/>
          <w:sz w:val="20"/>
        </w:rPr>
        <w:t>in the first instance.</w:t>
      </w:r>
    </w:p>
    <w:p w:rsidR="007036BD" w:rsidRDefault="00093FAE">
      <w:pPr>
        <w:spacing w:before="242" w:after="348" w:line="238" w:lineRule="exact"/>
        <w:ind w:left="144"/>
        <w:textAlignment w:val="baseline"/>
        <w:rPr>
          <w:rFonts w:ascii="Century Gothic" w:eastAsia="Century Gothic" w:hAnsi="Century Gothic"/>
          <w:color w:val="000000"/>
          <w:sz w:val="20"/>
        </w:rPr>
      </w:pPr>
      <w:r>
        <w:rPr>
          <w:rFonts w:ascii="Century Gothic" w:eastAsia="Century Gothic" w:hAnsi="Century Gothic"/>
          <w:color w:val="000000"/>
          <w:sz w:val="20"/>
        </w:rPr>
        <w:t>Yours faithfully</w:t>
      </w:r>
    </w:p>
    <w:p w:rsidR="007036BD" w:rsidRDefault="00093FAE">
      <w:pPr>
        <w:spacing w:after="180"/>
        <w:ind w:left="382" w:right="8638"/>
        <w:textAlignment w:val="baseline"/>
      </w:pPr>
      <w:r>
        <w:rPr>
          <w:noProof/>
          <w:lang w:val="en-AU" w:eastAsia="en-AU"/>
        </w:rPr>
        <w:drawing>
          <wp:inline distT="0" distB="0" distL="0" distR="0">
            <wp:extent cx="1143000" cy="42037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10"/>
                    <a:stretch>
                      <a:fillRect/>
                    </a:stretch>
                  </pic:blipFill>
                  <pic:spPr>
                    <a:xfrm>
                      <a:off x="0" y="0"/>
                      <a:ext cx="1143000" cy="420370"/>
                    </a:xfrm>
                    <a:prstGeom prst="rect">
                      <a:avLst/>
                    </a:prstGeom>
                  </pic:spPr>
                </pic:pic>
              </a:graphicData>
            </a:graphic>
          </wp:inline>
        </w:drawing>
      </w:r>
    </w:p>
    <w:p w:rsidR="007036BD" w:rsidRDefault="00093FAE">
      <w:pPr>
        <w:spacing w:before="6" w:line="238" w:lineRule="exact"/>
        <w:ind w:left="144"/>
        <w:textAlignment w:val="baseline"/>
        <w:rPr>
          <w:rFonts w:ascii="Century Gothic" w:eastAsia="Century Gothic" w:hAnsi="Century Gothic"/>
          <w:color w:val="000000"/>
          <w:spacing w:val="-1"/>
          <w:sz w:val="20"/>
        </w:rPr>
      </w:pPr>
      <w:r>
        <w:rPr>
          <w:rFonts w:ascii="Century Gothic" w:eastAsia="Century Gothic" w:hAnsi="Century Gothic"/>
          <w:color w:val="000000"/>
          <w:spacing w:val="-1"/>
          <w:sz w:val="20"/>
        </w:rPr>
        <w:t>Peter Bolding</w:t>
      </w:r>
    </w:p>
    <w:p w:rsidR="007036BD" w:rsidRDefault="00093FAE">
      <w:pPr>
        <w:spacing w:before="46" w:after="2479" w:line="238" w:lineRule="exact"/>
        <w:ind w:left="144"/>
        <w:textAlignment w:val="baseline"/>
        <w:rPr>
          <w:rFonts w:ascii="Century Gothic" w:eastAsia="Century Gothic" w:hAnsi="Century Gothic"/>
          <w:color w:val="000000"/>
          <w:sz w:val="20"/>
        </w:rPr>
      </w:pPr>
      <w:r>
        <w:rPr>
          <w:rFonts w:ascii="Century Gothic" w:eastAsia="Century Gothic" w:hAnsi="Century Gothic"/>
          <w:color w:val="000000"/>
          <w:sz w:val="20"/>
        </w:rPr>
        <w:t>General Manager Economic Regulation and External Policy</w:t>
      </w:r>
    </w:p>
    <w:p w:rsidR="007036BD" w:rsidRDefault="00093FAE">
      <w:pPr>
        <w:spacing w:before="147" w:line="193" w:lineRule="exact"/>
        <w:ind w:left="144"/>
        <w:textAlignment w:val="baseline"/>
        <w:rPr>
          <w:rFonts w:ascii="Century Gothic" w:eastAsia="Century Gothic" w:hAnsi="Century Gothic"/>
          <w:color w:val="000000"/>
          <w:spacing w:val="-2"/>
          <w:sz w:val="13"/>
        </w:rPr>
      </w:pPr>
      <w:r>
        <w:rPr>
          <w:noProof/>
          <w:lang w:val="en-AU" w:eastAsia="en-AU"/>
        </w:rPr>
        <mc:AlternateContent>
          <mc:Choice Requires="wps">
            <w:drawing>
              <wp:anchor distT="0" distB="0" distL="114300" distR="114300" simplePos="0" relativeHeight="251658240" behindDoc="0" locked="0" layoutInCell="1" allowOverlap="1">
                <wp:simplePos x="0" y="0"/>
                <wp:positionH relativeFrom="page">
                  <wp:posOffset>466090</wp:posOffset>
                </wp:positionH>
                <wp:positionV relativeFrom="page">
                  <wp:posOffset>8863330</wp:posOffset>
                </wp:positionV>
                <wp:extent cx="183261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89326" id="Line 2"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6.7pt,697.9pt" to="181pt,69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" strokeweight=".7pt">
                <w10:wrap anchorx="page" anchory="page"/>
              </v:line>
            </w:pict>
          </mc:Fallback>
        </mc:AlternateContent>
      </w:r>
      <w:r>
        <w:rPr>
          <w:rFonts w:ascii="Century Gothic" w:eastAsia="Century Gothic" w:hAnsi="Century Gothic"/>
          <w:color w:val="000000"/>
          <w:spacing w:val="-2"/>
          <w:sz w:val="13"/>
        </w:rPr>
        <w:t xml:space="preserve">3 </w:t>
      </w:r>
      <w:r>
        <w:rPr>
          <w:rFonts w:ascii="Century Gothic" w:eastAsia="Century Gothic" w:hAnsi="Century Gothic"/>
          <w:color w:val="000000"/>
          <w:spacing w:val="-2"/>
          <w:sz w:val="17"/>
        </w:rPr>
        <w:t xml:space="preserve">Australian Competition and Consumer Commission, </w:t>
      </w:r>
      <w:r>
        <w:rPr>
          <w:rFonts w:ascii="Century Gothic" w:eastAsia="Century Gothic" w:hAnsi="Century Gothic"/>
          <w:i/>
          <w:color w:val="000000"/>
          <w:spacing w:val="-2"/>
          <w:sz w:val="16"/>
        </w:rPr>
        <w:t>Retail Electricity Pricing Inquiry Report</w:t>
      </w:r>
      <w:r>
        <w:rPr>
          <w:rFonts w:ascii="Century Gothic" w:eastAsia="Century Gothic" w:hAnsi="Century Gothic"/>
          <w:color w:val="000000"/>
          <w:spacing w:val="-2"/>
          <w:sz w:val="17"/>
        </w:rPr>
        <w:t>, July 2018, p324</w:t>
      </w:r>
    </w:p>
    <w:p w:rsidR="007036BD" w:rsidRDefault="00093FAE">
      <w:pPr>
        <w:spacing w:before="52" w:line="193" w:lineRule="exact"/>
        <w:ind w:left="144"/>
        <w:textAlignment w:val="baseline"/>
        <w:rPr>
          <w:rFonts w:ascii="Century Gothic" w:eastAsia="Century Gothic" w:hAnsi="Century Gothic"/>
          <w:color w:val="000000"/>
          <w:spacing w:val="-3"/>
          <w:sz w:val="13"/>
        </w:rPr>
      </w:pPr>
      <w:r>
        <w:rPr>
          <w:rFonts w:ascii="Century Gothic" w:eastAsia="Century Gothic" w:hAnsi="Century Gothic"/>
          <w:color w:val="000000"/>
          <w:spacing w:val="-3"/>
          <w:sz w:val="13"/>
        </w:rPr>
        <w:t xml:space="preserve">4 </w:t>
      </w:r>
      <w:r>
        <w:rPr>
          <w:rFonts w:ascii="Century Gothic" w:eastAsia="Century Gothic" w:hAnsi="Century Gothic"/>
          <w:color w:val="000000"/>
          <w:spacing w:val="-3"/>
          <w:sz w:val="17"/>
        </w:rPr>
        <w:t xml:space="preserve">Civil Penalties Regime – </w:t>
      </w:r>
      <w:r>
        <w:rPr>
          <w:rFonts w:ascii="Century Gothic" w:eastAsia="Century Gothic" w:hAnsi="Century Gothic"/>
          <w:i/>
          <w:color w:val="000000"/>
          <w:spacing w:val="-3"/>
          <w:sz w:val="16"/>
        </w:rPr>
        <w:t xml:space="preserve">Consultation Guide </w:t>
      </w:r>
      <w:r>
        <w:rPr>
          <w:rFonts w:ascii="Century Gothic" w:eastAsia="Century Gothic" w:hAnsi="Century Gothic"/>
          <w:color w:val="000000"/>
          <w:spacing w:val="-3"/>
          <w:sz w:val="17"/>
        </w:rPr>
        <w:t>– Reform of the AER Civil Penalty Regime, s3.</w:t>
      </w:r>
    </w:p>
    <w:p w:rsidR="007036BD" w:rsidRDefault="00093FAE">
      <w:pPr>
        <w:spacing w:before="48" w:line="202" w:lineRule="exact"/>
        <w:ind w:left="144" w:right="936"/>
        <w:textAlignment w:val="baseline"/>
        <w:rPr>
          <w:rFonts w:ascii="Century Gothic" w:eastAsia="Century Gothic" w:hAnsi="Century Gothic"/>
          <w:color w:val="000000"/>
          <w:sz w:val="13"/>
        </w:rPr>
      </w:pPr>
      <w:r>
        <w:rPr>
          <w:rFonts w:ascii="Century Gothic" w:eastAsia="Century Gothic" w:hAnsi="Century Gothic"/>
          <w:color w:val="000000"/>
          <w:sz w:val="13"/>
        </w:rPr>
        <w:t xml:space="preserve">5 </w:t>
      </w:r>
      <w:r>
        <w:rPr>
          <w:rFonts w:ascii="Century Gothic" w:eastAsia="Century Gothic" w:hAnsi="Century Gothic"/>
          <w:color w:val="000000"/>
          <w:sz w:val="17"/>
        </w:rPr>
        <w:t xml:space="preserve">COAG Energy Council Senior Committee of Officials, National Energy Laws enforcement and penalties framework reforms - </w:t>
      </w:r>
      <w:r>
        <w:rPr>
          <w:rFonts w:ascii="Century Gothic" w:eastAsia="Century Gothic" w:hAnsi="Century Gothic"/>
          <w:i/>
          <w:color w:val="000000"/>
          <w:sz w:val="16"/>
        </w:rPr>
        <w:t>Explanatory note for stakeholder consultation</w:t>
      </w:r>
      <w:r>
        <w:rPr>
          <w:rFonts w:ascii="Century Gothic" w:eastAsia="Century Gothic" w:hAnsi="Century Gothic"/>
          <w:color w:val="000000"/>
          <w:sz w:val="17"/>
        </w:rPr>
        <w:t>, November 2019, p2.</w:t>
      </w:r>
    </w:p>
    <w:p w:rsidR="007036BD" w:rsidRDefault="00093FAE">
      <w:pPr>
        <w:spacing w:before="35" w:after="728" w:line="203" w:lineRule="exact"/>
        <w:ind w:left="144" w:right="216"/>
        <w:textAlignment w:val="baseline"/>
        <w:rPr>
          <w:rFonts w:ascii="Century Gothic" w:eastAsia="Century Gothic" w:hAnsi="Century Gothic"/>
          <w:color w:val="000000"/>
          <w:sz w:val="13"/>
        </w:rPr>
      </w:pPr>
      <w:r>
        <w:rPr>
          <w:rFonts w:ascii="Century Gothic" w:eastAsia="Century Gothic" w:hAnsi="Century Gothic"/>
          <w:color w:val="000000"/>
          <w:sz w:val="13"/>
        </w:rPr>
        <w:t xml:space="preserve">6 </w:t>
      </w:r>
      <w:r>
        <w:rPr>
          <w:rFonts w:ascii="Century Gothic" w:eastAsia="Century Gothic" w:hAnsi="Century Gothic"/>
          <w:color w:val="000000"/>
          <w:sz w:val="17"/>
        </w:rPr>
        <w:t>NER</w:t>
      </w:r>
      <w:r>
        <w:rPr>
          <w:rFonts w:ascii="Century Gothic" w:eastAsia="Century Gothic" w:hAnsi="Century Gothic"/>
          <w:color w:val="000000"/>
          <w:sz w:val="17"/>
        </w:rPr>
        <w:t xml:space="preserve">A Economic Consulting and Allens Linklaters, </w:t>
      </w:r>
      <w:r>
        <w:rPr>
          <w:rFonts w:ascii="Century Gothic" w:eastAsia="Century Gothic" w:hAnsi="Century Gothic"/>
          <w:i/>
          <w:color w:val="000000"/>
          <w:sz w:val="16"/>
        </w:rPr>
        <w:t xml:space="preserve">Review of Enforcement Regimes under the National Energy Laws </w:t>
      </w:r>
      <w:r>
        <w:rPr>
          <w:rFonts w:ascii="Century Gothic" w:eastAsia="Century Gothic" w:hAnsi="Century Gothic"/>
          <w:color w:val="000000"/>
          <w:sz w:val="17"/>
        </w:rPr>
        <w:t>A Report Prepared for the Standing Council on Energy and Resources, November 2013.</w:t>
      </w:r>
    </w:p>
    <w:p w:rsidR="007036BD" w:rsidRDefault="007036BD">
      <w:pPr>
        <w:spacing w:before="35" w:after="728" w:line="203" w:lineRule="exact"/>
        <w:sectPr w:rsidR="007036BD">
          <w:pgSz w:w="11909" w:h="16838"/>
          <w:pgMar w:top="1780" w:right="554" w:bottom="209" w:left="535" w:header="720" w:footer="720" w:gutter="0"/>
          <w:cols w:space="720"/>
        </w:sectPr>
      </w:pPr>
    </w:p>
    <w:p w:rsidR="007036BD" w:rsidRDefault="00093FAE">
      <w:pPr>
        <w:spacing w:before="2" w:line="183" w:lineRule="exact"/>
        <w:jc w:val="right"/>
        <w:textAlignment w:val="baseline"/>
        <w:rPr>
          <w:rFonts w:ascii="Century Gothic" w:eastAsia="Century Gothic" w:hAnsi="Century Gothic"/>
          <w:color w:val="000000"/>
          <w:sz w:val="15"/>
        </w:rPr>
      </w:pPr>
      <w:r>
        <w:rPr>
          <w:rFonts w:ascii="Century Gothic" w:eastAsia="Century Gothic" w:hAnsi="Century Gothic"/>
          <w:color w:val="000000"/>
          <w:sz w:val="15"/>
        </w:rPr>
        <w:t>Page 2 of 2</w:t>
      </w:r>
    </w:p>
    <w:sectPr w:rsidR="007036BD">
      <w:type w:val="continuous"/>
      <w:pgSz w:w="11909" w:h="16838"/>
      <w:pgMar w:top="1780" w:right="10344" w:bottom="209" w:left="53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entury Gothic">
    <w:charset w:val="00"/>
    <w:pitch w:val="variable"/>
    <w:family w:val="swiss"/>
    <w:panose1 w:val="020206030504050203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171C3F"/>
    <w:multiLevelType w:val="multilevel"/>
    <w:tmpl w:val="91421DAC"/>
    <w:lvl w:ilvl="0">
      <w:numFmt w:val="bullet"/>
      <w:lvlText w:val="·"/>
      <w:lvlJc w:val="left"/>
      <w:pPr>
        <w:tabs>
          <w:tab w:val="left" w:pos="360"/>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6BD"/>
    <w:rsid w:val="00093FAE"/>
    <w:rsid w:val="007036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B0953D11-11DB-481C-9347-492351904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hyperlink" Target="mailto:GPTSecretariat@industry.gov.au" TargetMode="External"/><Relationship Id="rId12" Type="http://schemas.openxmlformats.org/officeDocument/2006/relationships/theme" Target="theme/theme1.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fontTable" Target="fontTable.xml"/><Relationship Id="rId5" Type="http://schemas.openxmlformats.org/officeDocument/2006/relationships/hyperlink" Target="http://apa.com.au" TargetMode="Externa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mailto:scott.young@apa.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903</Words>
  <Characters>5152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6043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 Scott</dc:creator>
  <cp:lastModifiedBy>Hirscher, Andrew</cp:lastModifiedBy>
  <cp:revision>2</cp:revision>
  <dcterms:created xsi:type="dcterms:W3CDTF">2020-08-13T05:03:00Z</dcterms:created>
  <dcterms:modified xsi:type="dcterms:W3CDTF">2020-08-13T05:03:00Z</dcterms:modified>
</cp:coreProperties>
</file>