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583A16" w14:textId="77777777" w:rsidR="004F24B8" w:rsidRPr="00964595" w:rsidRDefault="00B940F4" w:rsidP="004F24B8">
      <w:pPr>
        <w:pStyle w:val="NoSpacing"/>
        <w:jc w:val="both"/>
        <w:rPr>
          <w:rFonts w:asciiTheme="minorHAnsi" w:hAnsiTheme="minorHAnsi" w:cstheme="minorHAnsi"/>
          <w:sz w:val="22"/>
          <w:szCs w:val="22"/>
        </w:rPr>
      </w:pPr>
      <w:r w:rsidRPr="00964595">
        <w:rPr>
          <w:rFonts w:asciiTheme="minorHAnsi" w:hAnsiTheme="minorHAnsi" w:cstheme="minorHAnsi"/>
          <w:noProof/>
          <w:sz w:val="22"/>
          <w:szCs w:val="22"/>
        </w:rPr>
        <mc:AlternateContent>
          <mc:Choice Requires="wps">
            <w:drawing>
              <wp:anchor distT="0" distB="0" distL="114300" distR="114300" simplePos="0" relativeHeight="251657728" behindDoc="0" locked="0" layoutInCell="1" allowOverlap="1" wp14:anchorId="0F914534" wp14:editId="5318A04D">
                <wp:simplePos x="0" y="0"/>
                <wp:positionH relativeFrom="margin">
                  <wp:posOffset>4505960</wp:posOffset>
                </wp:positionH>
                <wp:positionV relativeFrom="margin">
                  <wp:posOffset>-294640</wp:posOffset>
                </wp:positionV>
                <wp:extent cx="1364615" cy="2330450"/>
                <wp:effectExtent l="0" t="0" r="0" b="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4615" cy="2330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5D99F" w14:textId="77777777" w:rsidR="008D4897" w:rsidRDefault="008D4897" w:rsidP="00371589">
                            <w:pPr>
                              <w:rPr>
                                <w:noProof/>
                              </w:rPr>
                            </w:pPr>
                            <w:r>
                              <w:rPr>
                                <w:noProof/>
                                <w:lang w:eastAsia="en-AU"/>
                              </w:rPr>
                              <w:drawing>
                                <wp:inline distT="0" distB="0" distL="0" distR="0" wp14:anchorId="4BFE35BB" wp14:editId="7260159B">
                                  <wp:extent cx="1181735" cy="154178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C_letterhead logo.wm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81735" cy="1541780"/>
                                          </a:xfrm>
                                          <a:prstGeom prst="rect">
                                            <a:avLst/>
                                          </a:prstGeom>
                                        </pic:spPr>
                                      </pic:pic>
                                    </a:graphicData>
                                  </a:graphic>
                                </wp:inline>
                              </w:drawing>
                            </w:r>
                          </w:p>
                          <w:p w14:paraId="4C2A7E08" w14:textId="77777777" w:rsidR="00500084" w:rsidRPr="00500084" w:rsidRDefault="00500084" w:rsidP="00371589">
                            <w:r w:rsidRPr="00500084">
                              <w:t>Level 1,</w:t>
                            </w:r>
                          </w:p>
                          <w:p w14:paraId="1531C782" w14:textId="77777777" w:rsidR="00500084" w:rsidRPr="00500084" w:rsidRDefault="00500084" w:rsidP="00371589">
                            <w:r w:rsidRPr="00500084">
                              <w:t>18 National Circuit</w:t>
                            </w:r>
                          </w:p>
                          <w:p w14:paraId="31BF8E75" w14:textId="77777777" w:rsidR="008D4897" w:rsidRPr="00500084" w:rsidRDefault="00500084" w:rsidP="00371589">
                            <w:r w:rsidRPr="00500084">
                              <w:t>Barton ACT 2600</w:t>
                            </w:r>
                          </w:p>
                          <w:p w14:paraId="1CC8FC3E" w14:textId="77777777" w:rsidR="008D4897" w:rsidRPr="00500084" w:rsidRDefault="008D4897" w:rsidP="00371589">
                            <w:r w:rsidRPr="00500084">
                              <w:t>Ph: 6267 1800</w:t>
                            </w:r>
                          </w:p>
                          <w:p w14:paraId="658192EA" w14:textId="77777777" w:rsidR="008D4897" w:rsidRPr="00500084" w:rsidRDefault="00005720" w:rsidP="00371589">
                            <w:pPr>
                              <w:rPr>
                                <w:sz w:val="18"/>
                                <w:szCs w:val="18"/>
                              </w:rPr>
                            </w:pPr>
                            <w:hyperlink r:id="rId12" w:history="1">
                              <w:r w:rsidR="008D4897" w:rsidRPr="00500084">
                                <w:rPr>
                                  <w:rStyle w:val="Hyperlink"/>
                                  <w:sz w:val="18"/>
                                  <w:szCs w:val="18"/>
                                </w:rPr>
                                <w:t>info@aluminium.org.au</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914534" id="_x0000_t202" coordsize="21600,21600" o:spt="202" path="m,l,21600r21600,l21600,xe">
                <v:stroke joinstyle="miter"/>
                <v:path gradientshapeok="t" o:connecttype="rect"/>
              </v:shapetype>
              <v:shape id="Text Box 4" o:spid="_x0000_s1026" type="#_x0000_t202" style="position:absolute;left:0;text-align:left;margin-left:354.8pt;margin-top:-23.2pt;width:107.45pt;height:183.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" filled="f" stroked="f">
                <v:textbox>
                  <w:txbxContent>
                    <w:p w14:paraId="2875D99F" w14:textId="77777777" w:rsidR="008D4897" w:rsidRDefault="008D4897" w:rsidP="00371589">
                      <w:pPr>
                        <w:rPr>
                          <w:noProof/>
                        </w:rPr>
                      </w:pPr>
                      <w:r>
                        <w:rPr>
                          <w:noProof/>
                          <w:lang w:eastAsia="en-AU"/>
                        </w:rPr>
                        <w:drawing>
                          <wp:inline distT="0" distB="0" distL="0" distR="0" wp14:anchorId="4BFE35BB" wp14:editId="7260159B">
                            <wp:extent cx="1181735" cy="154178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C_letterhead logo.wm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81735" cy="1541780"/>
                                    </a:xfrm>
                                    <a:prstGeom prst="rect">
                                      <a:avLst/>
                                    </a:prstGeom>
                                  </pic:spPr>
                                </pic:pic>
                              </a:graphicData>
                            </a:graphic>
                          </wp:inline>
                        </w:drawing>
                      </w:r>
                    </w:p>
                    <w:p w14:paraId="4C2A7E08" w14:textId="77777777" w:rsidR="00500084" w:rsidRPr="00500084" w:rsidRDefault="00500084" w:rsidP="00371589">
                      <w:r w:rsidRPr="00500084">
                        <w:t>Level 1,</w:t>
                      </w:r>
                    </w:p>
                    <w:p w14:paraId="1531C782" w14:textId="77777777" w:rsidR="00500084" w:rsidRPr="00500084" w:rsidRDefault="00500084" w:rsidP="00371589">
                      <w:r w:rsidRPr="00500084">
                        <w:t>18 National Circuit</w:t>
                      </w:r>
                    </w:p>
                    <w:p w14:paraId="31BF8E75" w14:textId="77777777" w:rsidR="008D4897" w:rsidRPr="00500084" w:rsidRDefault="00500084" w:rsidP="00371589">
                      <w:r w:rsidRPr="00500084">
                        <w:t>Barton ACT 2600</w:t>
                      </w:r>
                    </w:p>
                    <w:p w14:paraId="1CC8FC3E" w14:textId="77777777" w:rsidR="008D4897" w:rsidRPr="00500084" w:rsidRDefault="008D4897" w:rsidP="00371589">
                      <w:r w:rsidRPr="00500084">
                        <w:t>Ph: 6267 1800</w:t>
                      </w:r>
                    </w:p>
                    <w:p w14:paraId="658192EA" w14:textId="77777777" w:rsidR="008D4897" w:rsidRPr="00500084" w:rsidRDefault="00005720" w:rsidP="00371589">
                      <w:pPr>
                        <w:rPr>
                          <w:sz w:val="18"/>
                          <w:szCs w:val="18"/>
                        </w:rPr>
                      </w:pPr>
                      <w:hyperlink r:id="rId13" w:history="1">
                        <w:r w:rsidR="008D4897" w:rsidRPr="00500084">
                          <w:rPr>
                            <w:rStyle w:val="Hyperlink"/>
                            <w:sz w:val="18"/>
                            <w:szCs w:val="18"/>
                          </w:rPr>
                          <w:t>info@aluminium.org.au</w:t>
                        </w:r>
                      </w:hyperlink>
                    </w:p>
                  </w:txbxContent>
                </v:textbox>
                <w10:wrap type="square" anchorx="margin" anchory="margin"/>
              </v:shape>
            </w:pict>
          </mc:Fallback>
        </mc:AlternateContent>
      </w:r>
    </w:p>
    <w:p w14:paraId="3CB962EA" w14:textId="4746EEA3" w:rsidR="004F24B8" w:rsidRPr="00964595" w:rsidRDefault="004F24B8" w:rsidP="004F24B8">
      <w:pPr>
        <w:pStyle w:val="NoSpacing"/>
        <w:jc w:val="both"/>
        <w:rPr>
          <w:rFonts w:asciiTheme="minorHAnsi" w:hAnsiTheme="minorHAnsi" w:cstheme="minorHAnsi"/>
          <w:sz w:val="22"/>
          <w:szCs w:val="22"/>
        </w:rPr>
      </w:pPr>
    </w:p>
    <w:p w14:paraId="073DADFF" w14:textId="57812D71" w:rsidR="00C53FC2" w:rsidRDefault="00C53FC2" w:rsidP="004F24B8">
      <w:pPr>
        <w:pStyle w:val="NoSpacing"/>
        <w:jc w:val="both"/>
        <w:rPr>
          <w:rFonts w:asciiTheme="minorHAnsi" w:hAnsiTheme="minorHAnsi" w:cstheme="minorHAnsi"/>
          <w:sz w:val="22"/>
          <w:szCs w:val="22"/>
        </w:rPr>
      </w:pPr>
    </w:p>
    <w:p w14:paraId="11B920C5" w14:textId="062ADB72" w:rsidR="00C81940" w:rsidRDefault="00C81940" w:rsidP="004F24B8">
      <w:pPr>
        <w:pStyle w:val="NoSpacing"/>
        <w:jc w:val="both"/>
        <w:rPr>
          <w:rFonts w:asciiTheme="minorHAnsi" w:hAnsiTheme="minorHAnsi" w:cstheme="minorHAnsi"/>
          <w:sz w:val="22"/>
          <w:szCs w:val="22"/>
        </w:rPr>
      </w:pPr>
    </w:p>
    <w:p w14:paraId="35314888" w14:textId="77777777" w:rsidR="00C81940" w:rsidRPr="00964595" w:rsidRDefault="00C81940" w:rsidP="004F24B8">
      <w:pPr>
        <w:pStyle w:val="NoSpacing"/>
        <w:jc w:val="both"/>
        <w:rPr>
          <w:rFonts w:asciiTheme="minorHAnsi" w:hAnsiTheme="minorHAnsi" w:cstheme="minorHAnsi"/>
          <w:sz w:val="22"/>
          <w:szCs w:val="22"/>
        </w:rPr>
      </w:pPr>
    </w:p>
    <w:p w14:paraId="2F148DD7" w14:textId="77777777" w:rsidR="005E5F13" w:rsidRPr="00964595" w:rsidRDefault="005E5F13" w:rsidP="00371589"/>
    <w:p w14:paraId="42923AFC" w14:textId="77777777" w:rsidR="00B8198F" w:rsidRPr="00964595" w:rsidRDefault="00B8198F" w:rsidP="00371589"/>
    <w:p w14:paraId="7FFDF42B" w14:textId="0942F603" w:rsidR="000F238A" w:rsidRPr="00964595" w:rsidRDefault="00476103" w:rsidP="000F238A">
      <w:pPr>
        <w:pStyle w:val="NoSpacing"/>
        <w:spacing w:before="40" w:after="100"/>
        <w:contextualSpacing/>
        <w:jc w:val="left"/>
        <w:outlineLvl w:val="0"/>
        <w:rPr>
          <w:rFonts w:asciiTheme="minorHAnsi" w:hAnsiTheme="minorHAnsi" w:cstheme="minorHAnsi"/>
          <w:sz w:val="22"/>
          <w:szCs w:val="22"/>
        </w:rPr>
      </w:pPr>
      <w:r>
        <w:rPr>
          <w:rFonts w:asciiTheme="minorHAnsi" w:hAnsiTheme="minorHAnsi" w:cstheme="minorHAnsi"/>
          <w:sz w:val="22"/>
          <w:szCs w:val="22"/>
        </w:rPr>
        <w:t>Energy Security Board</w:t>
      </w:r>
    </w:p>
    <w:p w14:paraId="2E451BEC" w14:textId="4D483A02" w:rsidR="00EC4044" w:rsidRPr="00BD7EB3" w:rsidRDefault="00EC4044" w:rsidP="000F238A">
      <w:pPr>
        <w:pStyle w:val="NoSpacing"/>
        <w:spacing w:before="40" w:after="100"/>
        <w:contextualSpacing/>
        <w:jc w:val="left"/>
        <w:outlineLvl w:val="0"/>
        <w:rPr>
          <w:rFonts w:asciiTheme="minorHAnsi" w:hAnsiTheme="minorHAnsi" w:cstheme="minorHAnsi"/>
          <w:sz w:val="22"/>
          <w:szCs w:val="22"/>
        </w:rPr>
      </w:pPr>
      <w:r w:rsidRPr="00BD7EB3">
        <w:rPr>
          <w:rFonts w:asciiTheme="minorHAnsi" w:hAnsiTheme="minorHAnsi" w:cstheme="minorHAnsi"/>
          <w:sz w:val="22"/>
          <w:szCs w:val="22"/>
        </w:rPr>
        <w:t xml:space="preserve">Via </w:t>
      </w:r>
      <w:hyperlink r:id="rId14" w:history="1">
        <w:r w:rsidR="00BD7EB3" w:rsidRPr="00BD7EB3">
          <w:rPr>
            <w:rStyle w:val="Hyperlink"/>
            <w:rFonts w:asciiTheme="minorHAnsi" w:hAnsiTheme="minorHAnsi" w:cstheme="minorHAnsi"/>
            <w:sz w:val="22"/>
            <w:szCs w:val="22"/>
          </w:rPr>
          <w:t>info@esb.org.au</w:t>
        </w:r>
      </w:hyperlink>
      <w:r w:rsidR="00BD7EB3" w:rsidRPr="00BD7EB3">
        <w:rPr>
          <w:rFonts w:asciiTheme="minorHAnsi" w:hAnsiTheme="minorHAnsi" w:cstheme="minorHAnsi"/>
          <w:sz w:val="22"/>
          <w:szCs w:val="22"/>
        </w:rPr>
        <w:t xml:space="preserve"> </w:t>
      </w:r>
    </w:p>
    <w:p w14:paraId="5957AABF" w14:textId="77777777" w:rsidR="00B8198F" w:rsidRPr="00964595" w:rsidRDefault="00B8198F" w:rsidP="00371589"/>
    <w:p w14:paraId="133E43D8" w14:textId="24429024" w:rsidR="009A5311" w:rsidRPr="00964595" w:rsidRDefault="00BC133A" w:rsidP="00371589">
      <w:r w:rsidRPr="004D4E6F">
        <w:t>12 February 2021</w:t>
      </w:r>
    </w:p>
    <w:p w14:paraId="56BD82DE" w14:textId="402F174E" w:rsidR="00900182" w:rsidRDefault="00900182" w:rsidP="00371589"/>
    <w:p w14:paraId="699DD97C" w14:textId="77777777" w:rsidR="00C81940" w:rsidRPr="00964595" w:rsidRDefault="00C81940" w:rsidP="00371589"/>
    <w:p w14:paraId="3F5270D7" w14:textId="77777777" w:rsidR="00900182" w:rsidRPr="00964595" w:rsidRDefault="00233286" w:rsidP="00371589">
      <w:r w:rsidRPr="00964595">
        <w:t xml:space="preserve">Dear </w:t>
      </w:r>
      <w:r w:rsidR="00644775" w:rsidRPr="00964595">
        <w:t>Chair</w:t>
      </w:r>
    </w:p>
    <w:p w14:paraId="58BFBB0D" w14:textId="77777777" w:rsidR="00233286" w:rsidRPr="00964595" w:rsidRDefault="00233286" w:rsidP="00371589"/>
    <w:p w14:paraId="4E77BE7C" w14:textId="3564034E" w:rsidR="0054588C" w:rsidRPr="00964595" w:rsidRDefault="004B1F52" w:rsidP="00F77CE9">
      <w:pPr>
        <w:ind w:left="720"/>
        <w:rPr>
          <w:b/>
          <w:bCs/>
          <w:i/>
          <w:iCs/>
        </w:rPr>
      </w:pPr>
      <w:r w:rsidRPr="00964595">
        <w:rPr>
          <w:b/>
          <w:bCs/>
          <w:i/>
          <w:iCs/>
        </w:rPr>
        <w:t>Re</w:t>
      </w:r>
      <w:r w:rsidR="00084903" w:rsidRPr="00964595">
        <w:rPr>
          <w:b/>
          <w:bCs/>
          <w:i/>
          <w:iCs/>
        </w:rPr>
        <w:t xml:space="preserve"> – </w:t>
      </w:r>
      <w:r w:rsidR="00B2602B" w:rsidRPr="00B2602B">
        <w:rPr>
          <w:b/>
          <w:bCs/>
          <w:i/>
          <w:iCs/>
        </w:rPr>
        <w:t xml:space="preserve">Response to Consultation Paper on </w:t>
      </w:r>
      <w:r w:rsidR="00B2602B">
        <w:rPr>
          <w:b/>
          <w:bCs/>
          <w:i/>
          <w:iCs/>
        </w:rPr>
        <w:t>I</w:t>
      </w:r>
      <w:r w:rsidR="00B2602B" w:rsidRPr="00B2602B">
        <w:rPr>
          <w:b/>
          <w:bCs/>
          <w:i/>
          <w:iCs/>
        </w:rPr>
        <w:t xml:space="preserve">nterim REZ </w:t>
      </w:r>
      <w:r w:rsidR="00B2602B">
        <w:rPr>
          <w:b/>
          <w:bCs/>
          <w:i/>
          <w:iCs/>
        </w:rPr>
        <w:t>F</w:t>
      </w:r>
      <w:r w:rsidR="00B2602B" w:rsidRPr="00B2602B">
        <w:rPr>
          <w:b/>
          <w:bCs/>
          <w:i/>
          <w:iCs/>
        </w:rPr>
        <w:t>ramework</w:t>
      </w:r>
    </w:p>
    <w:p w14:paraId="62D36FF0" w14:textId="77777777" w:rsidR="00E66FB4" w:rsidRPr="00964595" w:rsidRDefault="00E66FB4" w:rsidP="00371589"/>
    <w:p w14:paraId="647A42AC" w14:textId="2D3DCB4E" w:rsidR="004456AA" w:rsidRPr="00964595" w:rsidRDefault="001519ED" w:rsidP="00371589">
      <w:r w:rsidRPr="00964595">
        <w:t>The Australian Aluminium Council (the Council) represents Australia’s bauxite mining, alumina refining</w:t>
      </w:r>
      <w:r w:rsidR="009341EC">
        <w:t xml:space="preserve">, </w:t>
      </w:r>
      <w:r w:rsidRPr="00964595">
        <w:t>aluminium smelting</w:t>
      </w:r>
      <w:r w:rsidR="009341EC">
        <w:t xml:space="preserve"> and aluminium extrusion</w:t>
      </w:r>
      <w:r w:rsidRPr="00964595">
        <w:t xml:space="preserve"> industries. The Australian aluminium industry has been operating in Australia </w:t>
      </w:r>
      <w:r w:rsidR="000C02AE" w:rsidRPr="00964595">
        <w:t>since 1955</w:t>
      </w:r>
      <w:r w:rsidRPr="00964595">
        <w:t xml:space="preserve">, and </w:t>
      </w:r>
      <w:r w:rsidR="00603313" w:rsidRPr="00964595">
        <w:t xml:space="preserve">over </w:t>
      </w:r>
      <w:r w:rsidR="001064E0" w:rsidRPr="00964595">
        <w:t xml:space="preserve">the </w:t>
      </w:r>
      <w:r w:rsidR="00603313" w:rsidRPr="00964595">
        <w:t>decades</w:t>
      </w:r>
      <w:r w:rsidRPr="00964595">
        <w:t xml:space="preserve"> has been a significant contributor to the Australian economy. </w:t>
      </w:r>
      <w:r w:rsidR="00F831D3" w:rsidRPr="00964595">
        <w:t>Alongside</w:t>
      </w:r>
      <w:r w:rsidR="00EB54C0" w:rsidRPr="00964595">
        <w:t xml:space="preserve"> many decades of economic contribution, the industry is globally comparatively young and well maintained. </w:t>
      </w:r>
      <w:r w:rsidRPr="00964595">
        <w:t>The industry includes five bauxite mines</w:t>
      </w:r>
      <w:r w:rsidR="000E3391" w:rsidRPr="00964595">
        <w:t xml:space="preserve"> (&gt;10 Mt per annum)</w:t>
      </w:r>
      <w:r w:rsidRPr="00964595">
        <w:t xml:space="preserve">, six alumina refineries and four aluminium smelters. Australia is </w:t>
      </w:r>
      <w:r w:rsidR="00EB54C0" w:rsidRPr="00964595">
        <w:t>the</w:t>
      </w:r>
      <w:r w:rsidRPr="00964595">
        <w:t xml:space="preserve"> world’</w:t>
      </w:r>
      <w:r w:rsidR="00311F6E" w:rsidRPr="00964595">
        <w:t>s largest</w:t>
      </w:r>
      <w:r w:rsidRPr="00964595">
        <w:t xml:space="preserve"> producer of bauxite and the world’s largest exporter of alumina, and the </w:t>
      </w:r>
      <w:r w:rsidR="00311F6E" w:rsidRPr="00964595">
        <w:t xml:space="preserve">sixth </w:t>
      </w:r>
      <w:r w:rsidRPr="00964595">
        <w:t>largest producer of aluminium</w:t>
      </w:r>
      <w:r w:rsidR="00311F6E" w:rsidRPr="00964595">
        <w:t xml:space="preserve">. </w:t>
      </w:r>
      <w:r w:rsidRPr="00964595">
        <w:t xml:space="preserve">The industry directly employs </w:t>
      </w:r>
      <w:r w:rsidR="000501F4">
        <w:t>more than 15,000</w:t>
      </w:r>
      <w:r w:rsidRPr="00964595">
        <w:t xml:space="preserve"> people, including 4,000 full time equivalent contractors. The industry also indirectly supports around 40,000 families in regional Australia.</w:t>
      </w:r>
      <w:r w:rsidR="00F965FC" w:rsidRPr="00964595">
        <w:t xml:space="preserve"> </w:t>
      </w:r>
    </w:p>
    <w:p w14:paraId="415C9D52" w14:textId="6578B19C" w:rsidR="004456AA" w:rsidRDefault="004456AA" w:rsidP="00371589"/>
    <w:p w14:paraId="2DF39726" w14:textId="046D48A1" w:rsidR="00EE7409" w:rsidRDefault="00EE7409" w:rsidP="00EE7409">
      <w:pPr>
        <w:rPr>
          <w:b/>
          <w:bCs/>
          <w:u w:val="single"/>
        </w:rPr>
      </w:pPr>
      <w:r>
        <w:rPr>
          <w:b/>
          <w:bCs/>
          <w:u w:val="single"/>
        </w:rPr>
        <w:t>Aluminium industry and the National Electricity Market</w:t>
      </w:r>
    </w:p>
    <w:p w14:paraId="190C2EA7" w14:textId="3CA4F0B5" w:rsidR="004D72E4" w:rsidRPr="00964595" w:rsidRDefault="00750065" w:rsidP="00371589">
      <w:r w:rsidRPr="00964595">
        <w:t xml:space="preserve">Within the National Electricity Market (NEM) the Australian </w:t>
      </w:r>
      <w:r w:rsidR="0006277C" w:rsidRPr="00964595">
        <w:t>aluminium industry has four aluminium smelters and two alumina refineries</w:t>
      </w:r>
      <w:r w:rsidR="00F831D3" w:rsidRPr="00964595">
        <w:t xml:space="preserve"> and uses more than 10% of the electricity consumed in the NEM</w:t>
      </w:r>
      <w:r w:rsidR="0006277C" w:rsidRPr="00964595">
        <w:t xml:space="preserve">. </w:t>
      </w:r>
      <w:r w:rsidR="0010508B" w:rsidRPr="00964595">
        <w:t>Accordingly,</w:t>
      </w:r>
      <w:r w:rsidR="00F831D3" w:rsidRPr="00964595">
        <w:t xml:space="preserve"> t</w:t>
      </w:r>
      <w:r w:rsidR="001D1DAA" w:rsidRPr="00964595">
        <w:t xml:space="preserve">he Australian aluminium industry has a strong interest in electricity policy. </w:t>
      </w:r>
      <w:r w:rsidR="0017636D" w:rsidRPr="00964595">
        <w:t xml:space="preserve">Electricity </w:t>
      </w:r>
      <w:r w:rsidR="006266CE" w:rsidRPr="00964595">
        <w:t xml:space="preserve">typically </w:t>
      </w:r>
      <w:r w:rsidR="0017636D" w:rsidRPr="00964595">
        <w:t xml:space="preserve">accounts for around 30-40% of </w:t>
      </w:r>
      <w:r w:rsidR="007117EA" w:rsidRPr="00964595">
        <w:t>a</w:t>
      </w:r>
      <w:r w:rsidR="001D1DAA" w:rsidRPr="00964595">
        <w:t>luminium smelters</w:t>
      </w:r>
      <w:r w:rsidR="006266CE" w:rsidRPr="00964595">
        <w:t>’</w:t>
      </w:r>
      <w:r w:rsidR="007117EA" w:rsidRPr="00964595">
        <w:t xml:space="preserve"> cost base, and therefore </w:t>
      </w:r>
      <w:r w:rsidR="001D1DAA" w:rsidRPr="00964595">
        <w:t>it is a key determinant of</w:t>
      </w:r>
      <w:r w:rsidR="00F831D3" w:rsidRPr="00964595">
        <w:t xml:space="preserve"> their</w:t>
      </w:r>
      <w:r w:rsidR="001D1DAA" w:rsidRPr="00964595">
        <w:t xml:space="preserve"> international competitiveness. Alumina refineries, while not as electricity intensive as smelters, are also significantly exposed to electricity policy.</w:t>
      </w:r>
      <w:r w:rsidR="004D72E4" w:rsidRPr="00964595">
        <w:t xml:space="preserve"> The electricity supply requirements of the aluminium industry, can be summarised as follows:</w:t>
      </w:r>
    </w:p>
    <w:p w14:paraId="03668AAC" w14:textId="72FFD69C" w:rsidR="004D72E4" w:rsidRPr="00964595" w:rsidRDefault="004D72E4" w:rsidP="00371589">
      <w:pPr>
        <w:pStyle w:val="ListParagraph"/>
        <w:numPr>
          <w:ilvl w:val="0"/>
          <w:numId w:val="3"/>
        </w:numPr>
      </w:pPr>
      <w:r w:rsidRPr="00964595">
        <w:t xml:space="preserve">least cost, and an internationally competitive </w:t>
      </w:r>
      <w:r w:rsidR="0083245F">
        <w:t xml:space="preserve">delivered </w:t>
      </w:r>
      <w:r w:rsidRPr="00964595">
        <w:t>electricity cost, as a minimum;</w:t>
      </w:r>
    </w:p>
    <w:p w14:paraId="0FE29F56" w14:textId="47A5F9AE" w:rsidR="004D72E4" w:rsidRPr="00964595" w:rsidRDefault="004D72E4" w:rsidP="00371589">
      <w:pPr>
        <w:pStyle w:val="ListParagraph"/>
        <w:numPr>
          <w:ilvl w:val="0"/>
          <w:numId w:val="3"/>
        </w:numPr>
      </w:pPr>
      <w:r w:rsidRPr="00964595">
        <w:t xml:space="preserve">consistent uninterrupted electricity supply; </w:t>
      </w:r>
      <w:r w:rsidR="004A503C">
        <w:t>and</w:t>
      </w:r>
    </w:p>
    <w:p w14:paraId="7C84342C" w14:textId="5271E847" w:rsidR="004A503C" w:rsidRDefault="004D72E4" w:rsidP="00432F2D">
      <w:pPr>
        <w:pStyle w:val="ListParagraph"/>
        <w:numPr>
          <w:ilvl w:val="0"/>
          <w:numId w:val="3"/>
        </w:numPr>
      </w:pPr>
      <w:r w:rsidRPr="002759C8">
        <w:t>an ability to secure electricity supply under long-term contractual arrangements</w:t>
      </w:r>
      <w:r w:rsidR="004A503C">
        <w:t>.</w:t>
      </w:r>
    </w:p>
    <w:p w14:paraId="28D03C1B" w14:textId="74861372" w:rsidR="00D67955" w:rsidRPr="00964595" w:rsidRDefault="00F831D3" w:rsidP="00371589">
      <w:r w:rsidRPr="00964595">
        <w:t xml:space="preserve">These outcomes need to be delivered within the framework of Australia’s Paris Agreement emission targets. </w:t>
      </w:r>
    </w:p>
    <w:p w14:paraId="219C8BF2" w14:textId="45BF5F37" w:rsidR="00255C40" w:rsidRDefault="00255C40" w:rsidP="00255C40"/>
    <w:p w14:paraId="275CCF92" w14:textId="77777777" w:rsidR="002A7DCF" w:rsidRPr="00964595" w:rsidRDefault="00255C40" w:rsidP="002A7DCF">
      <w:r w:rsidRPr="00964595">
        <w:t xml:space="preserve">Australia’s industry is seeking a restoration of international competitiveness. </w:t>
      </w:r>
      <w:r w:rsidR="002A7DCF" w:rsidRPr="00964595">
        <w:t xml:space="preserve">For the aluminium industry, it is the delivered cost (including transmission) of electricity which drives international competitiveness. </w:t>
      </w:r>
      <w:r w:rsidR="002A7DCF">
        <w:t xml:space="preserve">Therefore, the potential for any additional transmissions costs to be passed through </w:t>
      </w:r>
      <w:r w:rsidR="002A7DCF" w:rsidRPr="00D73A01">
        <w:t>by the Australian Energy Regulator (AER) when it assesses the operating expenditure allowance as part of a revenue determination</w:t>
      </w:r>
      <w:r w:rsidR="002A7DCF">
        <w:t>, are of concern to the Council</w:t>
      </w:r>
      <w:r w:rsidR="002A7DCF" w:rsidRPr="00D73A01">
        <w:t>.</w:t>
      </w:r>
    </w:p>
    <w:p w14:paraId="56A4E1CA" w14:textId="77777777" w:rsidR="00E84966" w:rsidRPr="00964595" w:rsidRDefault="00E84966" w:rsidP="00371589"/>
    <w:p w14:paraId="0EE8A8E8" w14:textId="00764FB6" w:rsidR="00EE7409" w:rsidRDefault="002A7DCF" w:rsidP="0000571D">
      <w:pPr>
        <w:keepNext/>
        <w:rPr>
          <w:b/>
          <w:bCs/>
          <w:u w:val="single"/>
        </w:rPr>
      </w:pPr>
      <w:r>
        <w:rPr>
          <w:b/>
          <w:bCs/>
          <w:u w:val="single"/>
        </w:rPr>
        <w:t>Renewable Energy Zones (REZs)</w:t>
      </w:r>
    </w:p>
    <w:p w14:paraId="67B24AC0" w14:textId="310E1A05" w:rsidR="00F55C41" w:rsidRDefault="00A254EE" w:rsidP="00371589">
      <w:r w:rsidRPr="00964595">
        <w:t xml:space="preserve">The Council </w:t>
      </w:r>
      <w:r w:rsidR="00666D2C" w:rsidRPr="00964595">
        <w:t xml:space="preserve">welcomes the opportunity to provide feedback </w:t>
      </w:r>
      <w:r w:rsidR="00956B75" w:rsidRPr="00964595">
        <w:t xml:space="preserve">to the </w:t>
      </w:r>
      <w:r w:rsidR="00375893">
        <w:t>January 2021</w:t>
      </w:r>
      <w:r w:rsidR="00956B75" w:rsidRPr="00964595">
        <w:t xml:space="preserve"> </w:t>
      </w:r>
      <w:r w:rsidR="00F472C0">
        <w:t>Energy Security Board (ESB)</w:t>
      </w:r>
      <w:r w:rsidR="00432DDD" w:rsidRPr="00964595">
        <w:t xml:space="preserve"> </w:t>
      </w:r>
      <w:r w:rsidR="00956B75" w:rsidRPr="00964595">
        <w:t>discussion paper “</w:t>
      </w:r>
      <w:r w:rsidR="00F472C0" w:rsidRPr="00F472C0">
        <w:t xml:space="preserve">Consultation Paper </w:t>
      </w:r>
      <w:r w:rsidR="00BC64AA">
        <w:t>Renewable Energy Zones</w:t>
      </w:r>
      <w:r w:rsidR="000E5F21" w:rsidRPr="00964595">
        <w:t>” (the Paper</w:t>
      </w:r>
      <w:r w:rsidR="002D0DE1">
        <w:t>)</w:t>
      </w:r>
      <w:r w:rsidR="00221389">
        <w:t>.</w:t>
      </w:r>
      <w:r w:rsidR="003618BB" w:rsidRPr="00964595">
        <w:t xml:space="preserve"> </w:t>
      </w:r>
      <w:r w:rsidR="00CE4AED">
        <w:t>T</w:t>
      </w:r>
      <w:r w:rsidR="00CE4AED" w:rsidRPr="00964595">
        <w:t xml:space="preserve">he Council has considered how the Paper contributes towards meeting the needs of the aluminium industry and </w:t>
      </w:r>
      <w:r w:rsidR="00CE4AED">
        <w:t xml:space="preserve">the content has been tested against </w:t>
      </w:r>
      <w:r w:rsidR="00CE4AED" w:rsidRPr="00964595">
        <w:t xml:space="preserve">the </w:t>
      </w:r>
      <w:r w:rsidR="00CE4AED">
        <w:t xml:space="preserve">Council’s view of </w:t>
      </w:r>
      <w:r w:rsidR="00CE4AED" w:rsidRPr="00964595">
        <w:t>design principles for</w:t>
      </w:r>
      <w:r w:rsidR="00CE4AED">
        <w:t xml:space="preserve"> an electricity system </w:t>
      </w:r>
      <w:r w:rsidR="00CE4AED" w:rsidRPr="00964595">
        <w:t xml:space="preserve">(See </w:t>
      </w:r>
      <w:r w:rsidR="00CE4AED" w:rsidRPr="00964595">
        <w:rPr>
          <w:i/>
          <w:iCs/>
        </w:rPr>
        <w:t>Attachment 1</w:t>
      </w:r>
      <w:r w:rsidR="00CE4AED" w:rsidRPr="00964595">
        <w:t>).</w:t>
      </w:r>
    </w:p>
    <w:p w14:paraId="6CF25C0E" w14:textId="77777777" w:rsidR="00F55C41" w:rsidRDefault="00F55C41" w:rsidP="00371589"/>
    <w:p w14:paraId="66965EE7" w14:textId="52366338" w:rsidR="00733383" w:rsidRDefault="001436FC" w:rsidP="003B666F">
      <w:r>
        <w:lastRenderedPageBreak/>
        <w:t xml:space="preserve">The Council welcomes the recognition of the need for a consistent </w:t>
      </w:r>
      <w:r w:rsidR="0088373F">
        <w:t xml:space="preserve">national framework for REZs, given much of their </w:t>
      </w:r>
      <w:r w:rsidR="006A7B3D">
        <w:t xml:space="preserve">development is being led at a State level. </w:t>
      </w:r>
      <w:r w:rsidR="003A11D5">
        <w:t>Acknowledging that the</w:t>
      </w:r>
      <w:r w:rsidR="002B3995">
        <w:t xml:space="preserve"> </w:t>
      </w:r>
      <w:r w:rsidR="00A760EA">
        <w:t xml:space="preserve">current transmission network is insufficient to support the additional connection of </w:t>
      </w:r>
      <w:r w:rsidR="00F55C41">
        <w:t xml:space="preserve">large quantities of renewable generation </w:t>
      </w:r>
      <w:r w:rsidR="00A760EA">
        <w:t>which will occur over the next twenty years</w:t>
      </w:r>
      <w:r w:rsidR="002B3995">
        <w:t xml:space="preserve">, </w:t>
      </w:r>
      <w:r w:rsidR="003A11D5">
        <w:t xml:space="preserve">a </w:t>
      </w:r>
      <w:r w:rsidR="002B3995">
        <w:t xml:space="preserve">more orderly development </w:t>
      </w:r>
      <w:r w:rsidR="003A11D5">
        <w:t xml:space="preserve">should </w:t>
      </w:r>
      <w:r w:rsidR="002B3995">
        <w:t xml:space="preserve">benefit both </w:t>
      </w:r>
      <w:r w:rsidR="00733383">
        <w:t>renewable investors and electricity consumers.</w:t>
      </w:r>
      <w:r w:rsidR="009F0849">
        <w:t xml:space="preserve"> Development of </w:t>
      </w:r>
      <w:r w:rsidR="00E1105E">
        <w:t xml:space="preserve">a </w:t>
      </w:r>
      <w:r w:rsidR="001156D5">
        <w:t>REZ</w:t>
      </w:r>
      <w:r w:rsidR="00E1105E">
        <w:t xml:space="preserve"> framework can also provide an appropriate</w:t>
      </w:r>
      <w:r w:rsidR="001156D5">
        <w:t xml:space="preserve"> </w:t>
      </w:r>
      <w:r w:rsidR="00F81E65">
        <w:t>steppingstone</w:t>
      </w:r>
      <w:r w:rsidR="001156D5">
        <w:t xml:space="preserve"> to a </w:t>
      </w:r>
      <w:r w:rsidR="0094213F">
        <w:t>long-term</w:t>
      </w:r>
      <w:r w:rsidR="001156D5">
        <w:t xml:space="preserve"> solution for transmission access reform</w:t>
      </w:r>
      <w:r w:rsidR="00EF4E0E">
        <w:t xml:space="preserve">. </w:t>
      </w:r>
    </w:p>
    <w:p w14:paraId="257262A5" w14:textId="1FAAF7FB" w:rsidR="00E1105E" w:rsidRDefault="00E1105E" w:rsidP="003B666F"/>
    <w:p w14:paraId="5B9E8D66" w14:textId="791D8C02" w:rsidR="00686510" w:rsidRDefault="00F81E65" w:rsidP="001D44E9">
      <w:r>
        <w:t>While the Council does not have specific views on the draft amendments to the National Electricity Rules (NER) to support the design of Renewable Energy Zones (REZs), the Council does have views on the need to ensure co-ordinated changes in the transmission and generation investments align with the optimal development path for the power system in a way that has regard to the needs of electricity consumers</w:t>
      </w:r>
      <w:r w:rsidR="00EF5D37">
        <w:t xml:space="preserve"> while advancing Australia’s Paris Agreement goals</w:t>
      </w:r>
      <w:r>
        <w:t xml:space="preserve">. </w:t>
      </w:r>
    </w:p>
    <w:p w14:paraId="529EAB23" w14:textId="77777777" w:rsidR="00686510" w:rsidRDefault="00686510" w:rsidP="001D44E9"/>
    <w:p w14:paraId="3A6DF95C" w14:textId="6DDE8D91" w:rsidR="00686510" w:rsidRDefault="00F81E65" w:rsidP="001D44E9">
      <w:r w:rsidRPr="00BE6E42">
        <w:t>The current regime</w:t>
      </w:r>
      <w:r>
        <w:t>, which</w:t>
      </w:r>
      <w:r w:rsidRPr="00BE6E42">
        <w:t xml:space="preserve"> requires </w:t>
      </w:r>
      <w:r w:rsidR="00EB2105">
        <w:t>the Australian Energy Market Operator (</w:t>
      </w:r>
      <w:r w:rsidRPr="00BE6E42">
        <w:t>AEMO</w:t>
      </w:r>
      <w:r w:rsidR="00EB2105">
        <w:t>)</w:t>
      </w:r>
      <w:r w:rsidRPr="00BE6E42">
        <w:t xml:space="preserve"> and </w:t>
      </w:r>
      <w:r w:rsidR="00DD7BB0">
        <w:t>Transmission Network Service Providers (</w:t>
      </w:r>
      <w:r w:rsidRPr="00BE6E42">
        <w:t>TNSPs</w:t>
      </w:r>
      <w:r w:rsidR="00DD7BB0">
        <w:t>)</w:t>
      </w:r>
      <w:r w:rsidRPr="00BE6E42">
        <w:t xml:space="preserve"> to connect new generators</w:t>
      </w:r>
      <w:r>
        <w:t xml:space="preserve"> </w:t>
      </w:r>
      <w:r w:rsidRPr="00BE6E42">
        <w:t>even if transmission capacity is limited</w:t>
      </w:r>
      <w:r>
        <w:t>,</w:t>
      </w:r>
      <w:r w:rsidRPr="00BE6E42">
        <w:t xml:space="preserve"> </w:t>
      </w:r>
      <w:r>
        <w:t>has</w:t>
      </w:r>
      <w:r w:rsidRPr="00BE6E42">
        <w:t xml:space="preserve"> </w:t>
      </w:r>
      <w:r>
        <w:t xml:space="preserve">resulted in passed </w:t>
      </w:r>
      <w:r w:rsidRPr="00BE6E42">
        <w:t xml:space="preserve">increased cost </w:t>
      </w:r>
      <w:r>
        <w:t>to consumers</w:t>
      </w:r>
      <w:r w:rsidRPr="00BE6E42">
        <w:t>.</w:t>
      </w:r>
      <w:r>
        <w:t xml:space="preserve"> </w:t>
      </w:r>
      <w:r w:rsidR="001D44E9" w:rsidRPr="001D44E9">
        <w:t xml:space="preserve">Under the current framework, if a transmission investment associated with a REZ is classified as an actionable </w:t>
      </w:r>
      <w:r w:rsidR="00771372">
        <w:t>Integrated System Plan (ISP)</w:t>
      </w:r>
      <w:r w:rsidR="001D44E9" w:rsidRPr="001D44E9">
        <w:t xml:space="preserve"> project and passes the </w:t>
      </w:r>
      <w:r w:rsidR="00EE627D" w:rsidRPr="00EE627D">
        <w:t>Regulatory Investment Test for Transmission (RIT-T)</w:t>
      </w:r>
      <w:r w:rsidR="001D44E9" w:rsidRPr="001D44E9">
        <w:t>, it proceed</w:t>
      </w:r>
      <w:r w:rsidR="004262F0">
        <w:t>s</w:t>
      </w:r>
      <w:r w:rsidR="001D44E9" w:rsidRPr="001D44E9">
        <w:t xml:space="preserve"> on a regulated basis funded </w:t>
      </w:r>
      <w:r w:rsidR="004262F0">
        <w:t>by electricity consumers</w:t>
      </w:r>
      <w:r w:rsidR="001D44E9" w:rsidRPr="001D44E9">
        <w:t xml:space="preserve">. </w:t>
      </w:r>
      <w:r w:rsidR="0035054A">
        <w:t xml:space="preserve">The Paper notes that </w:t>
      </w:r>
      <w:r w:rsidR="008F4F44">
        <w:t>historic major transmission investments</w:t>
      </w:r>
      <w:r w:rsidR="00C252CE">
        <w:t xml:space="preserve">, arising from ad hoc developments, have results in </w:t>
      </w:r>
      <w:r>
        <w:t xml:space="preserve">these costs being passed to consumers through the AER. </w:t>
      </w:r>
    </w:p>
    <w:p w14:paraId="3E186B8D" w14:textId="77777777" w:rsidR="00686510" w:rsidRDefault="00686510" w:rsidP="001D44E9"/>
    <w:p w14:paraId="1A9EE2AA" w14:textId="38903162" w:rsidR="000F271F" w:rsidRDefault="004262F0" w:rsidP="001D44E9">
      <w:r>
        <w:t xml:space="preserve">The Paper proposes </w:t>
      </w:r>
      <w:r w:rsidR="008F7AE4">
        <w:t xml:space="preserve">an alternate model whereby </w:t>
      </w:r>
      <w:r w:rsidR="000F271F" w:rsidRPr="001D44E9">
        <w:t>generators would contribute to the cost of the REZ’s shared transmission infrastructure</w:t>
      </w:r>
      <w:r w:rsidR="000F271F">
        <w:t xml:space="preserve">, through </w:t>
      </w:r>
      <w:r w:rsidR="007D421E">
        <w:t>a REZ auction. The Council would support this model</w:t>
      </w:r>
      <w:r w:rsidR="00160283">
        <w:t xml:space="preserve">, as it should ensure that the group of projects which become part of a REZ is selected on the basis that aligns with the </w:t>
      </w:r>
      <w:r w:rsidR="001D537C">
        <w:t>long-term</w:t>
      </w:r>
      <w:r w:rsidR="00160283">
        <w:t xml:space="preserve"> interests of electricity consumers, therefore reducing the cost and risk ultimately borne by customers.</w:t>
      </w:r>
    </w:p>
    <w:p w14:paraId="2862F8D2" w14:textId="77777777" w:rsidR="009F0849" w:rsidRDefault="009F0849" w:rsidP="001D44E9"/>
    <w:p w14:paraId="6E78D900" w14:textId="50441C68" w:rsidR="00FC50D2" w:rsidRPr="00964595" w:rsidRDefault="00501071" w:rsidP="00371589">
      <w:r w:rsidRPr="00964595">
        <w:t>The Council is</w:t>
      </w:r>
      <w:r w:rsidR="00FC50D2" w:rsidRPr="00964595">
        <w:t xml:space="preserve"> happy to provide further information on any of the issues raised in this letter and look</w:t>
      </w:r>
      <w:r w:rsidR="001308F5">
        <w:t>s</w:t>
      </w:r>
      <w:r w:rsidR="00FC50D2" w:rsidRPr="00964595">
        <w:t xml:space="preserve"> forward to </w:t>
      </w:r>
      <w:r w:rsidR="00400B1E" w:rsidRPr="00964595">
        <w:t xml:space="preserve">continuing to </w:t>
      </w:r>
      <w:r w:rsidR="00FC50D2" w:rsidRPr="00964595">
        <w:t xml:space="preserve">work further with the </w:t>
      </w:r>
      <w:r w:rsidR="00CE4AED">
        <w:t>Energy Security Board</w:t>
      </w:r>
      <w:r w:rsidR="00FC50D2" w:rsidRPr="00964595">
        <w:t xml:space="preserve"> on matters</w:t>
      </w:r>
      <w:r w:rsidR="00C06ED1" w:rsidRPr="00964595">
        <w:t xml:space="preserve"> to improve </w:t>
      </w:r>
      <w:r w:rsidR="00706153" w:rsidRPr="00964595">
        <w:t xml:space="preserve">the commercial arrangements supporting a competitive, reliable and secure </w:t>
      </w:r>
      <w:r w:rsidR="00404754" w:rsidRPr="00964595">
        <w:t>NEM</w:t>
      </w:r>
      <w:r w:rsidR="00FC50D2" w:rsidRPr="00964595">
        <w:t xml:space="preserve">. </w:t>
      </w:r>
    </w:p>
    <w:p w14:paraId="2D29B8E2" w14:textId="77777777" w:rsidR="00FC50D2" w:rsidRPr="00964595" w:rsidRDefault="00FC50D2" w:rsidP="00371589"/>
    <w:p w14:paraId="34A67A10" w14:textId="77777777" w:rsidR="00DA1B20" w:rsidRPr="00964595" w:rsidRDefault="00DA1B20" w:rsidP="00371589">
      <w:r w:rsidRPr="00964595">
        <w:t>Kind regards,</w:t>
      </w:r>
    </w:p>
    <w:p w14:paraId="5A207634" w14:textId="77777777" w:rsidR="00B37F36" w:rsidRDefault="00B37F36" w:rsidP="00371589"/>
    <w:p w14:paraId="765EB605" w14:textId="0C0FEDBF" w:rsidR="00B376E8" w:rsidRPr="00964595" w:rsidRDefault="00B376E8" w:rsidP="00371589">
      <w:pPr>
        <w:rPr>
          <w:rFonts w:eastAsiaTheme="minorHAnsi"/>
        </w:rPr>
      </w:pPr>
      <w:r w:rsidRPr="00964595">
        <w:t xml:space="preserve">Marghanita </w:t>
      </w:r>
      <w:r w:rsidR="00726F99" w:rsidRPr="00964595">
        <w:t>Johnson</w:t>
      </w:r>
    </w:p>
    <w:p w14:paraId="2A79D82D" w14:textId="77777777" w:rsidR="00B376E8" w:rsidRPr="00964595" w:rsidRDefault="00B376E8" w:rsidP="00371589">
      <w:r w:rsidRPr="00964595">
        <w:t>Executive Director</w:t>
      </w:r>
    </w:p>
    <w:p w14:paraId="1F6701A7" w14:textId="77777777" w:rsidR="00B376E8" w:rsidRPr="00964595" w:rsidRDefault="00B376E8" w:rsidP="00371589">
      <w:r w:rsidRPr="00964595">
        <w:t>Australian Aluminium Council</w:t>
      </w:r>
    </w:p>
    <w:p w14:paraId="4DB72C33" w14:textId="77777777" w:rsidR="0057217D" w:rsidRPr="00964595" w:rsidRDefault="0057217D" w:rsidP="00371589">
      <w:r w:rsidRPr="00964595">
        <w:t>M +61 (0)466 224 636</w:t>
      </w:r>
    </w:p>
    <w:p w14:paraId="072773C7" w14:textId="1223DABB" w:rsidR="00E55808" w:rsidRPr="00964595" w:rsidRDefault="00005720" w:rsidP="00371589">
      <w:pPr>
        <w:rPr>
          <w:rStyle w:val="Hyperlink"/>
        </w:rPr>
      </w:pPr>
      <w:hyperlink r:id="rId15" w:history="1">
        <w:r w:rsidR="00B376E8" w:rsidRPr="00964595">
          <w:rPr>
            <w:rStyle w:val="Hyperlink"/>
          </w:rPr>
          <w:t>marghanita.johnson@aluminium.org.au</w:t>
        </w:r>
      </w:hyperlink>
    </w:p>
    <w:p w14:paraId="048B033E" w14:textId="22338F4A" w:rsidR="00555C3E" w:rsidRDefault="00555C3E" w:rsidP="00555C3E">
      <w:pPr>
        <w:rPr>
          <w:rStyle w:val="Hyperlink"/>
          <w:color w:val="auto"/>
        </w:rPr>
      </w:pPr>
    </w:p>
    <w:p w14:paraId="2F0CCF6B" w14:textId="33084F44" w:rsidR="003C757A" w:rsidRDefault="003C757A">
      <w:pPr>
        <w:jc w:val="left"/>
        <w:rPr>
          <w:rStyle w:val="Hyperlink"/>
          <w:color w:val="auto"/>
        </w:rPr>
      </w:pPr>
      <w:r>
        <w:rPr>
          <w:rStyle w:val="Hyperlink"/>
          <w:color w:val="auto"/>
        </w:rPr>
        <w:br w:type="page"/>
      </w:r>
    </w:p>
    <w:p w14:paraId="722F48D8" w14:textId="6065909C" w:rsidR="00FF48DA" w:rsidRPr="00964595" w:rsidRDefault="00FF48DA" w:rsidP="00D26A47">
      <w:pPr>
        <w:autoSpaceDE w:val="0"/>
        <w:autoSpaceDN w:val="0"/>
        <w:spacing w:after="120" w:line="264" w:lineRule="auto"/>
        <w:outlineLvl w:val="0"/>
        <w:rPr>
          <w:b/>
          <w:sz w:val="28"/>
          <w:szCs w:val="28"/>
          <w:u w:val="single"/>
        </w:rPr>
      </w:pPr>
      <w:r w:rsidRPr="00964595">
        <w:rPr>
          <w:b/>
          <w:sz w:val="28"/>
          <w:szCs w:val="28"/>
          <w:u w:val="single"/>
        </w:rPr>
        <w:lastRenderedPageBreak/>
        <w:t>Attachment 1</w:t>
      </w:r>
    </w:p>
    <w:p w14:paraId="34FE37C3" w14:textId="08E271AA" w:rsidR="00D26A47" w:rsidRPr="00964595" w:rsidRDefault="001C5EEC" w:rsidP="00D26A47">
      <w:pPr>
        <w:autoSpaceDE w:val="0"/>
        <w:autoSpaceDN w:val="0"/>
        <w:spacing w:after="120" w:line="264" w:lineRule="auto"/>
        <w:outlineLvl w:val="0"/>
        <w:rPr>
          <w:b/>
          <w:sz w:val="28"/>
          <w:szCs w:val="28"/>
        </w:rPr>
      </w:pPr>
      <w:r w:rsidRPr="00964595">
        <w:rPr>
          <w:b/>
          <w:sz w:val="28"/>
          <w:szCs w:val="28"/>
        </w:rPr>
        <w:t xml:space="preserve">Australian Aluminium Council - </w:t>
      </w:r>
      <w:r w:rsidR="00D26A47" w:rsidRPr="00964595">
        <w:rPr>
          <w:b/>
          <w:sz w:val="28"/>
          <w:szCs w:val="28"/>
        </w:rPr>
        <w:t xml:space="preserve">Electricity System Design Principles </w:t>
      </w:r>
    </w:p>
    <w:p w14:paraId="17ADFF38" w14:textId="77777777" w:rsidR="00D26A47" w:rsidRPr="00964595" w:rsidRDefault="00D26A47" w:rsidP="00D26A47">
      <w:pPr>
        <w:rPr>
          <w:bCs/>
        </w:rPr>
      </w:pPr>
    </w:p>
    <w:p w14:paraId="0924D6D9" w14:textId="77777777" w:rsidR="00D26A47" w:rsidRPr="00964595" w:rsidRDefault="00D26A47" w:rsidP="00D26A47">
      <w:pPr>
        <w:rPr>
          <w:b/>
          <w:i/>
          <w:iCs/>
        </w:rPr>
      </w:pPr>
      <w:r w:rsidRPr="00964595">
        <w:rPr>
          <w:b/>
          <w:i/>
          <w:iCs/>
        </w:rPr>
        <w:t>Engender Australian advantage</w:t>
      </w:r>
    </w:p>
    <w:p w14:paraId="6552EB97" w14:textId="28A70E35" w:rsidR="00D26A47" w:rsidRPr="00964595" w:rsidRDefault="00D26A47" w:rsidP="00D26A47">
      <w:r w:rsidRPr="00964595">
        <w:rPr>
          <w:bCs/>
        </w:rPr>
        <w:t xml:space="preserve">Support </w:t>
      </w:r>
      <w:r w:rsidRPr="00964595">
        <w:t xml:space="preserve">a future where Australia’s world class energy resources are translated into internationally competitive, low emissions, reliable energy to ensure industrial production, emissions and jobs are not exported to other countries. </w:t>
      </w:r>
      <w:r w:rsidRPr="00964595">
        <w:rPr>
          <w:bCs/>
        </w:rPr>
        <w:t xml:space="preserve">As Australia transitions away from a thermal fleet and towards increasingly variable and distributed generation, industrial load provides a physical and commercial </w:t>
      </w:r>
      <w:r w:rsidR="005C7AB9">
        <w:rPr>
          <w:bCs/>
        </w:rPr>
        <w:t>“</w:t>
      </w:r>
      <w:r w:rsidRPr="00964595">
        <w:rPr>
          <w:bCs/>
        </w:rPr>
        <w:t>ballast</w:t>
      </w:r>
      <w:r w:rsidR="005C7AB9">
        <w:rPr>
          <w:bCs/>
        </w:rPr>
        <w:t>”</w:t>
      </w:r>
      <w:r w:rsidRPr="00964595">
        <w:rPr>
          <w:bCs/>
        </w:rPr>
        <w:t xml:space="preserve"> to the grid. The value of this load as both ballast and interruptible supply needs to be recognised in the development of competitive frameworks.</w:t>
      </w:r>
    </w:p>
    <w:p w14:paraId="3924F8DE" w14:textId="77777777" w:rsidR="00D26A47" w:rsidRPr="00964595" w:rsidRDefault="00D26A47" w:rsidP="00D26A47">
      <w:pPr>
        <w:rPr>
          <w:bCs/>
        </w:rPr>
      </w:pPr>
    </w:p>
    <w:p w14:paraId="5A6C1D89" w14:textId="77777777" w:rsidR="00D26A47" w:rsidRPr="00964595" w:rsidRDefault="00D26A47" w:rsidP="00D26A47">
      <w:pPr>
        <w:rPr>
          <w:b/>
          <w:i/>
          <w:iCs/>
        </w:rPr>
      </w:pPr>
      <w:r w:rsidRPr="00964595">
        <w:rPr>
          <w:b/>
          <w:i/>
          <w:iCs/>
        </w:rPr>
        <w:t xml:space="preserve">Avoid shocks to all market participants, including consumers </w:t>
      </w:r>
    </w:p>
    <w:p w14:paraId="00B5F627" w14:textId="4D1565B0" w:rsidR="00D26A47" w:rsidRPr="00964595" w:rsidRDefault="00D26A47" w:rsidP="00D26A47">
      <w:pPr>
        <w:rPr>
          <w:bCs/>
        </w:rPr>
      </w:pPr>
      <w:r w:rsidRPr="00964595">
        <w:rPr>
          <w:bCs/>
        </w:rPr>
        <w:t>The approach to transition should be consistent with a rapid evolution, rather than revolution</w:t>
      </w:r>
      <w:r w:rsidR="005C7AB9">
        <w:rPr>
          <w:bCs/>
        </w:rPr>
        <w:t>,</w:t>
      </w:r>
      <w:r w:rsidRPr="00964595">
        <w:rPr>
          <w:bCs/>
        </w:rPr>
        <w:t xml:space="preserve"> in electricity reform processes. Transition should seek to avoid shocks and discontinuities where possible and rule makers should work to ensure the preservation of existing commercial contracts (grandfathering) to prevent disadvantage to all market participants who are willing to invest and contract for the long term. </w:t>
      </w:r>
    </w:p>
    <w:p w14:paraId="5FB0E06D" w14:textId="77777777" w:rsidR="00D26A47" w:rsidRPr="00964595" w:rsidRDefault="00D26A47" w:rsidP="00D26A47">
      <w:pPr>
        <w:rPr>
          <w:bCs/>
        </w:rPr>
      </w:pPr>
    </w:p>
    <w:p w14:paraId="1F9EA086" w14:textId="77777777" w:rsidR="00D26A47" w:rsidRPr="00964595" w:rsidRDefault="00D26A47" w:rsidP="00D26A47">
      <w:pPr>
        <w:rPr>
          <w:b/>
          <w:i/>
          <w:iCs/>
        </w:rPr>
      </w:pPr>
      <w:r w:rsidRPr="00964595">
        <w:rPr>
          <w:b/>
          <w:i/>
          <w:iCs/>
        </w:rPr>
        <w:t>Deliver improvements throughout the transition, not just in the long term</w:t>
      </w:r>
    </w:p>
    <w:p w14:paraId="2380FB57" w14:textId="15E22339" w:rsidR="00D26A47" w:rsidRPr="00964595" w:rsidRDefault="00D26A47" w:rsidP="00D26A47">
      <w:pPr>
        <w:rPr>
          <w:bCs/>
        </w:rPr>
      </w:pPr>
      <w:r w:rsidRPr="00964595">
        <w:rPr>
          <w:bCs/>
        </w:rPr>
        <w:t>The short term versus long term balance in interpreting the National Electricity Objective is skewed in favour of the long term, which can lead to short term disadvantage.</w:t>
      </w:r>
      <w:r w:rsidR="00852BC0">
        <w:rPr>
          <w:bCs/>
        </w:rPr>
        <w:t xml:space="preserve"> </w:t>
      </w:r>
      <w:r w:rsidRPr="00964595">
        <w:rPr>
          <w:bCs/>
        </w:rPr>
        <w:t>There needs to be a more risk-based approach</w:t>
      </w:r>
      <w:r w:rsidR="005C7AB9">
        <w:rPr>
          <w:bCs/>
        </w:rPr>
        <w:t xml:space="preserve"> to changes</w:t>
      </w:r>
      <w:r w:rsidRPr="00964595">
        <w:rPr>
          <w:bCs/>
        </w:rPr>
        <w:t xml:space="preserve"> which reflects the certainty around short term costs and the uncertainty of long-term benefits. The staging of the transition must be recognised, as well as the final outcome, looking for benefits along the pathway. In considering the most beneficial end point, the benefits and costs of the transition, should also be considered.</w:t>
      </w:r>
    </w:p>
    <w:p w14:paraId="2636F719" w14:textId="77777777" w:rsidR="00D26A47" w:rsidRPr="00964595" w:rsidRDefault="00D26A47" w:rsidP="00D26A47">
      <w:pPr>
        <w:rPr>
          <w:bCs/>
        </w:rPr>
      </w:pPr>
    </w:p>
    <w:p w14:paraId="25B2404B" w14:textId="77777777" w:rsidR="00D26A47" w:rsidRPr="00964595" w:rsidRDefault="00D26A47" w:rsidP="00D26A47">
      <w:pPr>
        <w:rPr>
          <w:b/>
          <w:i/>
          <w:iCs/>
        </w:rPr>
      </w:pPr>
      <w:r w:rsidRPr="00964595">
        <w:rPr>
          <w:b/>
          <w:i/>
          <w:iCs/>
        </w:rPr>
        <w:t>Recognise the starting point and state-by-state variation in any design</w:t>
      </w:r>
    </w:p>
    <w:p w14:paraId="4259384A" w14:textId="77777777" w:rsidR="00D26A47" w:rsidRPr="00964595" w:rsidRDefault="00D26A47" w:rsidP="00D26A47">
      <w:pPr>
        <w:rPr>
          <w:bCs/>
        </w:rPr>
      </w:pPr>
      <w:r w:rsidRPr="00964595">
        <w:rPr>
          <w:bCs/>
        </w:rPr>
        <w:t>The current energy-only market has not been able to deliver perfect competition, some regions are more balanced than others and many regions have relied on major Government investment to provide supply and manage the transition. Future market reforms need to recognise that the playing field within the market does not start from a basis of levelized competition, regulations will be required which encourage competition in the services which are needed to balance the current imperfections and in jurisdictions where the current market competition levels are unable to drive efficient outcomes. In designing new structures that recognise the reality of the starting point an important principle of design is that the cost of regulation should not exceed the private benefits.</w:t>
      </w:r>
    </w:p>
    <w:p w14:paraId="73D14DD0" w14:textId="77777777" w:rsidR="00D26A47" w:rsidRPr="00964595" w:rsidRDefault="00D26A47" w:rsidP="00D26A47">
      <w:pPr>
        <w:rPr>
          <w:bCs/>
        </w:rPr>
      </w:pPr>
    </w:p>
    <w:p w14:paraId="3FA32A16" w14:textId="77777777" w:rsidR="00D26A47" w:rsidRPr="00964595" w:rsidRDefault="00D26A47" w:rsidP="00D26A47">
      <w:pPr>
        <w:rPr>
          <w:b/>
          <w:i/>
          <w:iCs/>
        </w:rPr>
      </w:pPr>
      <w:r w:rsidRPr="00964595">
        <w:rPr>
          <w:b/>
          <w:i/>
          <w:iCs/>
        </w:rPr>
        <w:t>User participation should be voluntary and recognise the complexity of participation</w:t>
      </w:r>
    </w:p>
    <w:p w14:paraId="71925BD7" w14:textId="6209BB03" w:rsidR="00D26A47" w:rsidRPr="00964595" w:rsidRDefault="00D26A47" w:rsidP="00D26A47">
      <w:pPr>
        <w:rPr>
          <w:bCs/>
        </w:rPr>
      </w:pPr>
      <w:r w:rsidRPr="00964595">
        <w:rPr>
          <w:bCs/>
        </w:rPr>
        <w:t xml:space="preserve">Even for large, sophisticated industrial users, the procurement of electricity is primarily seen as an input into production; rather than being the core process for the business itself. As the emphasis in market design switches to more demand side participation, assumptions need to be continually tested regarding the </w:t>
      </w:r>
      <w:r w:rsidRPr="005C7AB9">
        <w:rPr>
          <w:bCs/>
        </w:rPr>
        <w:t>complexity of requirements to participate. It is important to recognise that demand site participation will impact on</w:t>
      </w:r>
      <w:r w:rsidR="0052116C" w:rsidRPr="005C7AB9">
        <w:rPr>
          <w:bCs/>
        </w:rPr>
        <w:t xml:space="preserve"> </w:t>
      </w:r>
      <w:r w:rsidR="0052116C" w:rsidRPr="006D6D73">
        <w:rPr>
          <w:bCs/>
        </w:rPr>
        <w:t>both</w:t>
      </w:r>
      <w:r w:rsidRPr="006D6D73">
        <w:rPr>
          <w:bCs/>
        </w:rPr>
        <w:t xml:space="preserve"> operational processes </w:t>
      </w:r>
      <w:r w:rsidR="00EE1D76" w:rsidRPr="006D6D73">
        <w:rPr>
          <w:bCs/>
        </w:rPr>
        <w:t xml:space="preserve">and </w:t>
      </w:r>
      <w:r w:rsidR="0052116C" w:rsidRPr="006D6D73">
        <w:rPr>
          <w:bCs/>
        </w:rPr>
        <w:t>safety; and</w:t>
      </w:r>
      <w:r w:rsidRPr="006D6D73">
        <w:rPr>
          <w:bCs/>
        </w:rPr>
        <w:t xml:space="preserve"> </w:t>
      </w:r>
      <w:r w:rsidR="0052116C" w:rsidRPr="006D6D73">
        <w:rPr>
          <w:bCs/>
        </w:rPr>
        <w:t xml:space="preserve">has the potential to </w:t>
      </w:r>
      <w:r w:rsidRPr="006D6D73">
        <w:rPr>
          <w:bCs/>
        </w:rPr>
        <w:t>distract f</w:t>
      </w:r>
      <w:r w:rsidRPr="005C7AB9">
        <w:rPr>
          <w:bCs/>
        </w:rPr>
        <w:t>rom the core business processes of end users. It requires complex technical considerations within the businesses of industrial</w:t>
      </w:r>
      <w:r w:rsidRPr="00964595">
        <w:rPr>
          <w:bCs/>
        </w:rPr>
        <w:t xml:space="preserve"> users that interact with the market. Outsourcing participation to an intermediary does not remove the need for the business to manage its physical interface with the market. Accordingly, services that industrial users could provide – such as demand management, stability, ancillary services, and emergency response – should be provided on a voluntary basis and need to be adequately compensated for. </w:t>
      </w:r>
    </w:p>
    <w:p w14:paraId="284B9055" w14:textId="77777777" w:rsidR="00555C3E" w:rsidRPr="00964595" w:rsidRDefault="00555C3E" w:rsidP="00555C3E">
      <w:pPr>
        <w:rPr>
          <w:rStyle w:val="Hyperlink"/>
          <w:color w:val="auto"/>
        </w:rPr>
      </w:pPr>
    </w:p>
    <w:sectPr w:rsidR="00555C3E" w:rsidRPr="00964595" w:rsidSect="00323119">
      <w:footerReference w:type="defaul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005A9B" w14:textId="77777777" w:rsidR="00005720" w:rsidRDefault="00005720" w:rsidP="00371589">
      <w:r>
        <w:separator/>
      </w:r>
    </w:p>
  </w:endnote>
  <w:endnote w:type="continuationSeparator" w:id="0">
    <w:p w14:paraId="41795379" w14:textId="77777777" w:rsidR="00005720" w:rsidRDefault="00005720" w:rsidP="00371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0FF1D" w14:textId="77777777" w:rsidR="00A53A2C" w:rsidRDefault="00A53A2C" w:rsidP="00371589">
    <w:pPr>
      <w:pStyle w:val="Footer"/>
    </w:pPr>
    <w:r>
      <w:rPr>
        <w:noProof/>
      </w:rPr>
      <w:drawing>
        <wp:inline distT="0" distB="0" distL="0" distR="0" wp14:anchorId="79F14BB0" wp14:editId="38F19F37">
          <wp:extent cx="6146800" cy="227457"/>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bmission foot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541084" cy="242047"/>
                  </a:xfrm>
                  <a:prstGeom prst="rect">
                    <a:avLst/>
                  </a:prstGeom>
                </pic:spPr>
              </pic:pic>
            </a:graphicData>
          </a:graphic>
        </wp:inline>
      </w:drawing>
    </w:r>
  </w:p>
  <w:p w14:paraId="12F7C591" w14:textId="2CC38328" w:rsidR="008D4897" w:rsidRPr="00FB78E0" w:rsidRDefault="00A53A2C" w:rsidP="00A365AC">
    <w:pPr>
      <w:pStyle w:val="Footer"/>
      <w:jc w:val="center"/>
      <w:rPr>
        <w:rFonts w:ascii="Times New Roman" w:hAnsi="Times New Roman" w:cs="Times New Roman"/>
        <w:sz w:val="18"/>
        <w:szCs w:val="18"/>
        <w:lang w:eastAsia="en-GB"/>
      </w:rPr>
    </w:pPr>
    <w:r w:rsidRPr="00FB78E0">
      <w:rPr>
        <w:sz w:val="18"/>
        <w:szCs w:val="18"/>
      </w:rPr>
      <w:t>Australian Aluminium Council</w:t>
    </w:r>
    <w:r w:rsidRPr="00FB78E0">
      <w:rPr>
        <w:sz w:val="18"/>
        <w:szCs w:val="18"/>
      </w:rPr>
      <w:tab/>
    </w:r>
    <w:r w:rsidRPr="00FB78E0">
      <w:rPr>
        <w:sz w:val="18"/>
        <w:szCs w:val="18"/>
      </w:rPr>
      <w:tab/>
    </w:r>
    <w:sdt>
      <w:sdtPr>
        <w:rPr>
          <w:sz w:val="18"/>
          <w:szCs w:val="18"/>
        </w:rPr>
        <w:id w:val="-1705238520"/>
        <w:docPartObj>
          <w:docPartGallery w:val="Page Numbers (Top of Page)"/>
          <w:docPartUnique/>
        </w:docPartObj>
      </w:sdtPr>
      <w:sdtEndPr/>
      <w:sdtContent>
        <w:r w:rsidRPr="00FB78E0">
          <w:rPr>
            <w:sz w:val="18"/>
            <w:szCs w:val="18"/>
          </w:rPr>
          <w:t xml:space="preserve">Page </w:t>
        </w:r>
        <w:r w:rsidRPr="00FB78E0">
          <w:rPr>
            <w:sz w:val="18"/>
            <w:szCs w:val="18"/>
          </w:rPr>
          <w:fldChar w:fldCharType="begin"/>
        </w:r>
        <w:r w:rsidRPr="00FB78E0">
          <w:rPr>
            <w:sz w:val="18"/>
            <w:szCs w:val="18"/>
          </w:rPr>
          <w:instrText xml:space="preserve"> PAGE </w:instrText>
        </w:r>
        <w:r w:rsidRPr="00FB78E0">
          <w:rPr>
            <w:sz w:val="18"/>
            <w:szCs w:val="18"/>
          </w:rPr>
          <w:fldChar w:fldCharType="separate"/>
        </w:r>
        <w:r w:rsidR="005B4C9B" w:rsidRPr="00FB78E0">
          <w:rPr>
            <w:noProof/>
            <w:sz w:val="18"/>
            <w:szCs w:val="18"/>
          </w:rPr>
          <w:t>3</w:t>
        </w:r>
        <w:r w:rsidRPr="00FB78E0">
          <w:rPr>
            <w:sz w:val="18"/>
            <w:szCs w:val="18"/>
          </w:rPr>
          <w:fldChar w:fldCharType="end"/>
        </w:r>
        <w:r w:rsidRPr="00FB78E0">
          <w:rPr>
            <w:sz w:val="18"/>
            <w:szCs w:val="18"/>
          </w:rPr>
          <w:t xml:space="preserve"> of </w:t>
        </w:r>
        <w:r w:rsidR="001308F5" w:rsidRPr="00FB78E0">
          <w:rPr>
            <w:sz w:val="18"/>
            <w:szCs w:val="18"/>
          </w:rPr>
          <w:fldChar w:fldCharType="begin"/>
        </w:r>
        <w:r w:rsidR="001308F5" w:rsidRPr="00FB78E0">
          <w:rPr>
            <w:sz w:val="18"/>
            <w:szCs w:val="18"/>
          </w:rPr>
          <w:instrText xml:space="preserve"> NUMPAGES  </w:instrText>
        </w:r>
        <w:r w:rsidR="001308F5" w:rsidRPr="00FB78E0">
          <w:rPr>
            <w:sz w:val="18"/>
            <w:szCs w:val="18"/>
          </w:rPr>
          <w:fldChar w:fldCharType="separate"/>
        </w:r>
        <w:r w:rsidR="005B4C9B" w:rsidRPr="00FB78E0">
          <w:rPr>
            <w:noProof/>
            <w:sz w:val="18"/>
            <w:szCs w:val="18"/>
          </w:rPr>
          <w:t>3</w:t>
        </w:r>
        <w:r w:rsidR="001308F5" w:rsidRPr="00FB78E0">
          <w:rPr>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3D6160" w14:textId="77777777" w:rsidR="00005720" w:rsidRDefault="00005720" w:rsidP="00371589">
      <w:r>
        <w:separator/>
      </w:r>
    </w:p>
  </w:footnote>
  <w:footnote w:type="continuationSeparator" w:id="0">
    <w:p w14:paraId="1C75EDAB" w14:textId="77777777" w:rsidR="00005720" w:rsidRDefault="00005720" w:rsidP="003715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33E52"/>
    <w:multiLevelType w:val="hybridMultilevel"/>
    <w:tmpl w:val="1286EF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77B313B"/>
    <w:multiLevelType w:val="hybridMultilevel"/>
    <w:tmpl w:val="45703E0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82C43D8"/>
    <w:multiLevelType w:val="hybridMultilevel"/>
    <w:tmpl w:val="B5BC893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2822EC0"/>
    <w:multiLevelType w:val="hybridMultilevel"/>
    <w:tmpl w:val="68BC580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9B729BF"/>
    <w:multiLevelType w:val="hybridMultilevel"/>
    <w:tmpl w:val="6C9AF2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1D354F4"/>
    <w:multiLevelType w:val="hybridMultilevel"/>
    <w:tmpl w:val="CB62F7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5306482"/>
    <w:multiLevelType w:val="hybridMultilevel"/>
    <w:tmpl w:val="516E42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0D501B"/>
    <w:multiLevelType w:val="hybridMultilevel"/>
    <w:tmpl w:val="76B0DE7A"/>
    <w:lvl w:ilvl="0" w:tplc="0C090001">
      <w:start w:val="1"/>
      <w:numFmt w:val="bullet"/>
      <w:lvlText w:val=""/>
      <w:lvlJc w:val="left"/>
      <w:pPr>
        <w:ind w:left="360" w:hanging="360"/>
      </w:pPr>
      <w:rPr>
        <w:rFonts w:ascii="Symbol" w:hAnsi="Symbol" w:hint="default"/>
      </w:rPr>
    </w:lvl>
    <w:lvl w:ilvl="1" w:tplc="6F9C5048">
      <w:numFmt w:val="bullet"/>
      <w:lvlText w:val="•"/>
      <w:lvlJc w:val="left"/>
      <w:pPr>
        <w:ind w:left="1440" w:hanging="720"/>
      </w:pPr>
      <w:rPr>
        <w:rFonts w:ascii="Calibri" w:eastAsia="Times New Roman" w:hAnsi="Calibri"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B334093"/>
    <w:multiLevelType w:val="hybridMultilevel"/>
    <w:tmpl w:val="2EB88E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40B04F46"/>
    <w:multiLevelType w:val="hybridMultilevel"/>
    <w:tmpl w:val="CDC497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2BE41E0"/>
    <w:multiLevelType w:val="hybridMultilevel"/>
    <w:tmpl w:val="C23067B8"/>
    <w:lvl w:ilvl="0" w:tplc="54CA4A22">
      <w:numFmt w:val="bullet"/>
      <w:lvlText w:val="•"/>
      <w:lvlJc w:val="left"/>
      <w:pPr>
        <w:ind w:left="720" w:hanging="72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4A8F1A0D"/>
    <w:multiLevelType w:val="hybridMultilevel"/>
    <w:tmpl w:val="4A8401A4"/>
    <w:lvl w:ilvl="0" w:tplc="F1E0CDD8">
      <w:start w:val="5"/>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E0C97D4"/>
    <w:multiLevelType w:val="hybridMultilevel"/>
    <w:tmpl w:val="4FCE4C7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29F6826"/>
    <w:multiLevelType w:val="hybridMultilevel"/>
    <w:tmpl w:val="9230C044"/>
    <w:lvl w:ilvl="0" w:tplc="54CA4A22">
      <w:numFmt w:val="bullet"/>
      <w:lvlText w:val="•"/>
      <w:lvlJc w:val="left"/>
      <w:pPr>
        <w:ind w:left="720" w:hanging="72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67E6380"/>
    <w:multiLevelType w:val="hybridMultilevel"/>
    <w:tmpl w:val="B5BC893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80E48B1"/>
    <w:multiLevelType w:val="hybridMultilevel"/>
    <w:tmpl w:val="FF40EE8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4FF4AA2"/>
    <w:multiLevelType w:val="hybridMultilevel"/>
    <w:tmpl w:val="F6CA488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67282F74"/>
    <w:multiLevelType w:val="hybridMultilevel"/>
    <w:tmpl w:val="5D0E4FBE"/>
    <w:lvl w:ilvl="0" w:tplc="54CA4A22">
      <w:numFmt w:val="bullet"/>
      <w:lvlText w:val="•"/>
      <w:lvlJc w:val="left"/>
      <w:pPr>
        <w:ind w:left="720" w:hanging="720"/>
      </w:pPr>
      <w:rPr>
        <w:rFonts w:ascii="Calibri" w:eastAsia="Times New Roman" w:hAnsi="Calibri" w:cs="Calibr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cs="Wingdings" w:hint="default"/>
      </w:rPr>
    </w:lvl>
    <w:lvl w:ilvl="3" w:tplc="0C090001" w:tentative="1">
      <w:start w:val="1"/>
      <w:numFmt w:val="bullet"/>
      <w:lvlText w:val=""/>
      <w:lvlJc w:val="left"/>
      <w:pPr>
        <w:ind w:left="2520" w:hanging="360"/>
      </w:pPr>
      <w:rPr>
        <w:rFonts w:ascii="Symbol" w:hAnsi="Symbol" w:cs="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cs="Wingdings" w:hint="default"/>
      </w:rPr>
    </w:lvl>
    <w:lvl w:ilvl="6" w:tplc="0C090001" w:tentative="1">
      <w:start w:val="1"/>
      <w:numFmt w:val="bullet"/>
      <w:lvlText w:val=""/>
      <w:lvlJc w:val="left"/>
      <w:pPr>
        <w:ind w:left="4680" w:hanging="360"/>
      </w:pPr>
      <w:rPr>
        <w:rFonts w:ascii="Symbol" w:hAnsi="Symbol" w:cs="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739C69C2"/>
    <w:multiLevelType w:val="multilevel"/>
    <w:tmpl w:val="CB200824"/>
    <w:lvl w:ilvl="0">
      <w:start w:val="1"/>
      <w:numFmt w:val="bullet"/>
      <w:pStyle w:val="BCAExhibitBullet1"/>
      <w:lvlText w:val=""/>
      <w:lvlJc w:val="left"/>
      <w:pPr>
        <w:ind w:left="170" w:hanging="170"/>
      </w:pPr>
      <w:rPr>
        <w:rFonts w:ascii="Symbol" w:hAnsi="Symbol" w:hint="default"/>
        <w:color w:val="000000"/>
        <w:sz w:val="16"/>
      </w:rPr>
    </w:lvl>
    <w:lvl w:ilvl="1">
      <w:start w:val="1"/>
      <w:numFmt w:val="bullet"/>
      <w:pStyle w:val="BCAExhibitBullet2"/>
      <w:lvlText w:val=""/>
      <w:lvlJc w:val="left"/>
      <w:pPr>
        <w:ind w:left="340" w:hanging="17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C7320CD"/>
    <w:multiLevelType w:val="hybridMultilevel"/>
    <w:tmpl w:val="22F0BE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8"/>
  </w:num>
  <w:num w:numId="2">
    <w:abstractNumId w:val="3"/>
  </w:num>
  <w:num w:numId="3">
    <w:abstractNumId w:val="17"/>
  </w:num>
  <w:num w:numId="4">
    <w:abstractNumId w:val="15"/>
  </w:num>
  <w:num w:numId="5">
    <w:abstractNumId w:val="13"/>
  </w:num>
  <w:num w:numId="6">
    <w:abstractNumId w:val="14"/>
  </w:num>
  <w:num w:numId="7">
    <w:abstractNumId w:val="5"/>
  </w:num>
  <w:num w:numId="8">
    <w:abstractNumId w:val="2"/>
  </w:num>
  <w:num w:numId="9">
    <w:abstractNumId w:val="10"/>
  </w:num>
  <w:num w:numId="10">
    <w:abstractNumId w:val="7"/>
  </w:num>
  <w:num w:numId="11">
    <w:abstractNumId w:val="6"/>
  </w:num>
  <w:num w:numId="12">
    <w:abstractNumId w:val="16"/>
  </w:num>
  <w:num w:numId="13">
    <w:abstractNumId w:val="12"/>
  </w:num>
  <w:num w:numId="14">
    <w:abstractNumId w:val="11"/>
  </w:num>
  <w:num w:numId="15">
    <w:abstractNumId w:val="9"/>
  </w:num>
  <w:num w:numId="16">
    <w:abstractNumId w:val="1"/>
  </w:num>
  <w:num w:numId="17">
    <w:abstractNumId w:val="19"/>
  </w:num>
  <w:num w:numId="18">
    <w:abstractNumId w:val="0"/>
  </w:num>
  <w:num w:numId="19">
    <w:abstractNumId w:val="8"/>
  </w:num>
  <w:num w:numId="2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6" w:nlCheck="1" w:checkStyle="0"/>
  <w:activeWritingStyle w:appName="MSWord" w:lang="en-AU" w:vendorID="64" w:dllVersion="6" w:nlCheck="1" w:checkStyle="1"/>
  <w:activeWritingStyle w:appName="MSWord" w:lang="en-AU" w:vendorID="64" w:dllVersion="0" w:nlCheck="1" w:checkStyle="0"/>
  <w:activeWritingStyle w:appName="MSWord" w:lang="fr-FR" w:vendorID="64" w:dllVersion="0" w:nlCheck="1" w:checkStyle="0"/>
  <w:activeWritingStyle w:appName="MSWord" w:lang="en-AU" w:vendorID="64" w:dllVersion="4096" w:nlCheck="1" w:checkStyle="0"/>
  <w:proofState w:spelling="clean" w:grammar="clean"/>
  <w:defaultTabStop w:val="720"/>
  <w:drawingGridHorizontalSpacing w:val="8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794"/>
    <w:rsid w:val="000003AE"/>
    <w:rsid w:val="00002C55"/>
    <w:rsid w:val="0000324E"/>
    <w:rsid w:val="0000363B"/>
    <w:rsid w:val="0000571D"/>
    <w:rsid w:val="00005720"/>
    <w:rsid w:val="000069A0"/>
    <w:rsid w:val="000072F8"/>
    <w:rsid w:val="00012485"/>
    <w:rsid w:val="00017D42"/>
    <w:rsid w:val="000202A6"/>
    <w:rsid w:val="0002257A"/>
    <w:rsid w:val="0002377B"/>
    <w:rsid w:val="000246FB"/>
    <w:rsid w:val="00026D79"/>
    <w:rsid w:val="00030612"/>
    <w:rsid w:val="000368A0"/>
    <w:rsid w:val="00037284"/>
    <w:rsid w:val="00042FAF"/>
    <w:rsid w:val="00043417"/>
    <w:rsid w:val="00045084"/>
    <w:rsid w:val="00047012"/>
    <w:rsid w:val="000501F4"/>
    <w:rsid w:val="00052F4E"/>
    <w:rsid w:val="0005434D"/>
    <w:rsid w:val="000604B6"/>
    <w:rsid w:val="00060A1B"/>
    <w:rsid w:val="0006277C"/>
    <w:rsid w:val="000639B7"/>
    <w:rsid w:val="00070CAA"/>
    <w:rsid w:val="00072B27"/>
    <w:rsid w:val="0007454A"/>
    <w:rsid w:val="00075B48"/>
    <w:rsid w:val="000767F7"/>
    <w:rsid w:val="0007695C"/>
    <w:rsid w:val="0008032B"/>
    <w:rsid w:val="0008212C"/>
    <w:rsid w:val="00084903"/>
    <w:rsid w:val="00085DF0"/>
    <w:rsid w:val="00086158"/>
    <w:rsid w:val="00086334"/>
    <w:rsid w:val="00092B69"/>
    <w:rsid w:val="00093E08"/>
    <w:rsid w:val="00093F45"/>
    <w:rsid w:val="000945C7"/>
    <w:rsid w:val="00096719"/>
    <w:rsid w:val="00097DFD"/>
    <w:rsid w:val="000A3508"/>
    <w:rsid w:val="000A40CD"/>
    <w:rsid w:val="000A4555"/>
    <w:rsid w:val="000A6636"/>
    <w:rsid w:val="000B2CC5"/>
    <w:rsid w:val="000B6907"/>
    <w:rsid w:val="000B73AA"/>
    <w:rsid w:val="000C02AE"/>
    <w:rsid w:val="000C11BD"/>
    <w:rsid w:val="000C148F"/>
    <w:rsid w:val="000C3DAF"/>
    <w:rsid w:val="000C4BC1"/>
    <w:rsid w:val="000C704A"/>
    <w:rsid w:val="000D183E"/>
    <w:rsid w:val="000D489D"/>
    <w:rsid w:val="000D4E9B"/>
    <w:rsid w:val="000D6818"/>
    <w:rsid w:val="000E3391"/>
    <w:rsid w:val="000E3C5A"/>
    <w:rsid w:val="000E4FC6"/>
    <w:rsid w:val="000E5F21"/>
    <w:rsid w:val="000F0152"/>
    <w:rsid w:val="000F11A5"/>
    <w:rsid w:val="000F238A"/>
    <w:rsid w:val="000F271F"/>
    <w:rsid w:val="000F2728"/>
    <w:rsid w:val="000F5100"/>
    <w:rsid w:val="000F6D60"/>
    <w:rsid w:val="00101174"/>
    <w:rsid w:val="00102A9C"/>
    <w:rsid w:val="00104520"/>
    <w:rsid w:val="0010508B"/>
    <w:rsid w:val="00105EDD"/>
    <w:rsid w:val="001064E0"/>
    <w:rsid w:val="00106853"/>
    <w:rsid w:val="001075C4"/>
    <w:rsid w:val="001075F4"/>
    <w:rsid w:val="00111A16"/>
    <w:rsid w:val="00112688"/>
    <w:rsid w:val="001137B8"/>
    <w:rsid w:val="001156D5"/>
    <w:rsid w:val="00116ECE"/>
    <w:rsid w:val="00117D3B"/>
    <w:rsid w:val="00123406"/>
    <w:rsid w:val="00123A1E"/>
    <w:rsid w:val="00124344"/>
    <w:rsid w:val="00124BC0"/>
    <w:rsid w:val="001262B8"/>
    <w:rsid w:val="0012662E"/>
    <w:rsid w:val="001308F5"/>
    <w:rsid w:val="00135FD6"/>
    <w:rsid w:val="001436FC"/>
    <w:rsid w:val="001438E2"/>
    <w:rsid w:val="001447A3"/>
    <w:rsid w:val="00144A6D"/>
    <w:rsid w:val="001455E0"/>
    <w:rsid w:val="00150577"/>
    <w:rsid w:val="00151370"/>
    <w:rsid w:val="001519ED"/>
    <w:rsid w:val="00155878"/>
    <w:rsid w:val="00160283"/>
    <w:rsid w:val="00161051"/>
    <w:rsid w:val="00164096"/>
    <w:rsid w:val="0016466E"/>
    <w:rsid w:val="001666E1"/>
    <w:rsid w:val="001675F2"/>
    <w:rsid w:val="00171718"/>
    <w:rsid w:val="00172D77"/>
    <w:rsid w:val="00175AD1"/>
    <w:rsid w:val="0017636D"/>
    <w:rsid w:val="00177703"/>
    <w:rsid w:val="001811C8"/>
    <w:rsid w:val="00185AF5"/>
    <w:rsid w:val="00185B9A"/>
    <w:rsid w:val="00187558"/>
    <w:rsid w:val="00190771"/>
    <w:rsid w:val="00190E53"/>
    <w:rsid w:val="00193A3E"/>
    <w:rsid w:val="00194E85"/>
    <w:rsid w:val="00196507"/>
    <w:rsid w:val="00197675"/>
    <w:rsid w:val="00197CC2"/>
    <w:rsid w:val="001A0646"/>
    <w:rsid w:val="001A095A"/>
    <w:rsid w:val="001A1AD7"/>
    <w:rsid w:val="001A2EE2"/>
    <w:rsid w:val="001A3DC4"/>
    <w:rsid w:val="001A5715"/>
    <w:rsid w:val="001A5BBC"/>
    <w:rsid w:val="001A759D"/>
    <w:rsid w:val="001B1246"/>
    <w:rsid w:val="001B4A79"/>
    <w:rsid w:val="001B7CDF"/>
    <w:rsid w:val="001C37B7"/>
    <w:rsid w:val="001C4DA2"/>
    <w:rsid w:val="001C5EEC"/>
    <w:rsid w:val="001C70E1"/>
    <w:rsid w:val="001D1DAA"/>
    <w:rsid w:val="001D3783"/>
    <w:rsid w:val="001D44E9"/>
    <w:rsid w:val="001D537C"/>
    <w:rsid w:val="001E0136"/>
    <w:rsid w:val="001E2763"/>
    <w:rsid w:val="001E3686"/>
    <w:rsid w:val="001E638F"/>
    <w:rsid w:val="001E6980"/>
    <w:rsid w:val="001E6CFC"/>
    <w:rsid w:val="001E7CA7"/>
    <w:rsid w:val="001F0915"/>
    <w:rsid w:val="001F2680"/>
    <w:rsid w:val="001F6243"/>
    <w:rsid w:val="001F6A84"/>
    <w:rsid w:val="002035D0"/>
    <w:rsid w:val="002055B0"/>
    <w:rsid w:val="00205DEA"/>
    <w:rsid w:val="0020735F"/>
    <w:rsid w:val="0021172D"/>
    <w:rsid w:val="00213AB1"/>
    <w:rsid w:val="0021624F"/>
    <w:rsid w:val="002173F4"/>
    <w:rsid w:val="00217878"/>
    <w:rsid w:val="00221389"/>
    <w:rsid w:val="00221E7C"/>
    <w:rsid w:val="00225599"/>
    <w:rsid w:val="00227C32"/>
    <w:rsid w:val="002323D9"/>
    <w:rsid w:val="002331ED"/>
    <w:rsid w:val="00233286"/>
    <w:rsid w:val="00237398"/>
    <w:rsid w:val="00237D97"/>
    <w:rsid w:val="0024292E"/>
    <w:rsid w:val="00242F4B"/>
    <w:rsid w:val="00245FA6"/>
    <w:rsid w:val="00253C89"/>
    <w:rsid w:val="00255C40"/>
    <w:rsid w:val="00256273"/>
    <w:rsid w:val="00256318"/>
    <w:rsid w:val="002564F5"/>
    <w:rsid w:val="00260461"/>
    <w:rsid w:val="002606AE"/>
    <w:rsid w:val="00266E88"/>
    <w:rsid w:val="002721D6"/>
    <w:rsid w:val="00272982"/>
    <w:rsid w:val="00275028"/>
    <w:rsid w:val="002759C8"/>
    <w:rsid w:val="00276D75"/>
    <w:rsid w:val="002817E1"/>
    <w:rsid w:val="00283334"/>
    <w:rsid w:val="00283F32"/>
    <w:rsid w:val="002865DE"/>
    <w:rsid w:val="002914C1"/>
    <w:rsid w:val="002927BF"/>
    <w:rsid w:val="002939C7"/>
    <w:rsid w:val="0029414E"/>
    <w:rsid w:val="002A406C"/>
    <w:rsid w:val="002A686F"/>
    <w:rsid w:val="002A6937"/>
    <w:rsid w:val="002A7746"/>
    <w:rsid w:val="002A7DCF"/>
    <w:rsid w:val="002B1836"/>
    <w:rsid w:val="002B19B8"/>
    <w:rsid w:val="002B387D"/>
    <w:rsid w:val="002B3995"/>
    <w:rsid w:val="002B4B96"/>
    <w:rsid w:val="002B7D96"/>
    <w:rsid w:val="002C1A8C"/>
    <w:rsid w:val="002C1CC3"/>
    <w:rsid w:val="002C2DB8"/>
    <w:rsid w:val="002C4A0F"/>
    <w:rsid w:val="002C68DB"/>
    <w:rsid w:val="002C743A"/>
    <w:rsid w:val="002C79A9"/>
    <w:rsid w:val="002D0959"/>
    <w:rsid w:val="002D0DE1"/>
    <w:rsid w:val="002E4BE2"/>
    <w:rsid w:val="002E53C9"/>
    <w:rsid w:val="002F026A"/>
    <w:rsid w:val="002F077D"/>
    <w:rsid w:val="002F17E8"/>
    <w:rsid w:val="002F249A"/>
    <w:rsid w:val="002F4B43"/>
    <w:rsid w:val="002F64E6"/>
    <w:rsid w:val="002F698E"/>
    <w:rsid w:val="002F7426"/>
    <w:rsid w:val="002F7C35"/>
    <w:rsid w:val="003001DC"/>
    <w:rsid w:val="00301965"/>
    <w:rsid w:val="003022DC"/>
    <w:rsid w:val="003037CB"/>
    <w:rsid w:val="003042C7"/>
    <w:rsid w:val="003047E3"/>
    <w:rsid w:val="00304AE0"/>
    <w:rsid w:val="00307F30"/>
    <w:rsid w:val="0031040E"/>
    <w:rsid w:val="00311103"/>
    <w:rsid w:val="00311F6E"/>
    <w:rsid w:val="003128BE"/>
    <w:rsid w:val="00313FD4"/>
    <w:rsid w:val="003204ED"/>
    <w:rsid w:val="0032123A"/>
    <w:rsid w:val="003225C8"/>
    <w:rsid w:val="00323119"/>
    <w:rsid w:val="00324064"/>
    <w:rsid w:val="00325862"/>
    <w:rsid w:val="0032672C"/>
    <w:rsid w:val="003268AB"/>
    <w:rsid w:val="0033410D"/>
    <w:rsid w:val="003343C6"/>
    <w:rsid w:val="0033759A"/>
    <w:rsid w:val="00337D11"/>
    <w:rsid w:val="003404CC"/>
    <w:rsid w:val="003411EA"/>
    <w:rsid w:val="00343EC1"/>
    <w:rsid w:val="003446FF"/>
    <w:rsid w:val="00346F53"/>
    <w:rsid w:val="0034758F"/>
    <w:rsid w:val="0035054A"/>
    <w:rsid w:val="00350AAC"/>
    <w:rsid w:val="003522E6"/>
    <w:rsid w:val="00352654"/>
    <w:rsid w:val="003526CB"/>
    <w:rsid w:val="00352A82"/>
    <w:rsid w:val="00352D53"/>
    <w:rsid w:val="003544B5"/>
    <w:rsid w:val="00356831"/>
    <w:rsid w:val="003618BB"/>
    <w:rsid w:val="00363197"/>
    <w:rsid w:val="0036547B"/>
    <w:rsid w:val="00365492"/>
    <w:rsid w:val="00371589"/>
    <w:rsid w:val="003723CD"/>
    <w:rsid w:val="003735CD"/>
    <w:rsid w:val="00373CE7"/>
    <w:rsid w:val="00373D5B"/>
    <w:rsid w:val="00373E33"/>
    <w:rsid w:val="00375893"/>
    <w:rsid w:val="003761FA"/>
    <w:rsid w:val="00376239"/>
    <w:rsid w:val="00377BF2"/>
    <w:rsid w:val="00380EF6"/>
    <w:rsid w:val="00385CED"/>
    <w:rsid w:val="00390687"/>
    <w:rsid w:val="00395CEA"/>
    <w:rsid w:val="003A11D5"/>
    <w:rsid w:val="003A1A1F"/>
    <w:rsid w:val="003A1A70"/>
    <w:rsid w:val="003A1A86"/>
    <w:rsid w:val="003A2305"/>
    <w:rsid w:val="003A3153"/>
    <w:rsid w:val="003A58ED"/>
    <w:rsid w:val="003A7829"/>
    <w:rsid w:val="003B0DFC"/>
    <w:rsid w:val="003B170C"/>
    <w:rsid w:val="003B366C"/>
    <w:rsid w:val="003B6391"/>
    <w:rsid w:val="003B666F"/>
    <w:rsid w:val="003B7073"/>
    <w:rsid w:val="003C196C"/>
    <w:rsid w:val="003C5D32"/>
    <w:rsid w:val="003C72EF"/>
    <w:rsid w:val="003C757A"/>
    <w:rsid w:val="003D2640"/>
    <w:rsid w:val="003D7C67"/>
    <w:rsid w:val="003E0B6C"/>
    <w:rsid w:val="003E43BB"/>
    <w:rsid w:val="003E614E"/>
    <w:rsid w:val="003E744E"/>
    <w:rsid w:val="003F163E"/>
    <w:rsid w:val="003F1AC7"/>
    <w:rsid w:val="003F1BF7"/>
    <w:rsid w:val="003F3444"/>
    <w:rsid w:val="003F369E"/>
    <w:rsid w:val="003F3803"/>
    <w:rsid w:val="003F39A6"/>
    <w:rsid w:val="003F770E"/>
    <w:rsid w:val="004009CD"/>
    <w:rsid w:val="00400B1E"/>
    <w:rsid w:val="00401387"/>
    <w:rsid w:val="00404754"/>
    <w:rsid w:val="00405759"/>
    <w:rsid w:val="004072C9"/>
    <w:rsid w:val="00411D3D"/>
    <w:rsid w:val="004137EA"/>
    <w:rsid w:val="0041542F"/>
    <w:rsid w:val="00415FBF"/>
    <w:rsid w:val="004200E0"/>
    <w:rsid w:val="004203B3"/>
    <w:rsid w:val="004204D9"/>
    <w:rsid w:val="0042243E"/>
    <w:rsid w:val="004235F4"/>
    <w:rsid w:val="004262F0"/>
    <w:rsid w:val="00427D46"/>
    <w:rsid w:val="004308DA"/>
    <w:rsid w:val="004316F8"/>
    <w:rsid w:val="00432DDD"/>
    <w:rsid w:val="00440454"/>
    <w:rsid w:val="00441200"/>
    <w:rsid w:val="0044284F"/>
    <w:rsid w:val="00443E41"/>
    <w:rsid w:val="00445320"/>
    <w:rsid w:val="004456AA"/>
    <w:rsid w:val="00447D8D"/>
    <w:rsid w:val="004525EA"/>
    <w:rsid w:val="00452FE8"/>
    <w:rsid w:val="00453625"/>
    <w:rsid w:val="00454467"/>
    <w:rsid w:val="004567E8"/>
    <w:rsid w:val="00457F8E"/>
    <w:rsid w:val="00463574"/>
    <w:rsid w:val="00465ADA"/>
    <w:rsid w:val="004709CC"/>
    <w:rsid w:val="00471AB4"/>
    <w:rsid w:val="004726FD"/>
    <w:rsid w:val="00472827"/>
    <w:rsid w:val="00476103"/>
    <w:rsid w:val="0047736B"/>
    <w:rsid w:val="004837C2"/>
    <w:rsid w:val="00483850"/>
    <w:rsid w:val="00486A72"/>
    <w:rsid w:val="004916CE"/>
    <w:rsid w:val="004926BB"/>
    <w:rsid w:val="00494BEB"/>
    <w:rsid w:val="00496671"/>
    <w:rsid w:val="004A2626"/>
    <w:rsid w:val="004A3532"/>
    <w:rsid w:val="004A3C56"/>
    <w:rsid w:val="004A4071"/>
    <w:rsid w:val="004A4A50"/>
    <w:rsid w:val="004A503C"/>
    <w:rsid w:val="004B11F4"/>
    <w:rsid w:val="004B1F52"/>
    <w:rsid w:val="004B2255"/>
    <w:rsid w:val="004B37AE"/>
    <w:rsid w:val="004C01F1"/>
    <w:rsid w:val="004C2C53"/>
    <w:rsid w:val="004C3D00"/>
    <w:rsid w:val="004C3E9C"/>
    <w:rsid w:val="004C7288"/>
    <w:rsid w:val="004C73EC"/>
    <w:rsid w:val="004D2EE4"/>
    <w:rsid w:val="004D371F"/>
    <w:rsid w:val="004D4E6F"/>
    <w:rsid w:val="004D4FF2"/>
    <w:rsid w:val="004D5667"/>
    <w:rsid w:val="004D6A66"/>
    <w:rsid w:val="004D72E4"/>
    <w:rsid w:val="004D781E"/>
    <w:rsid w:val="004E0AC6"/>
    <w:rsid w:val="004E25B6"/>
    <w:rsid w:val="004E49AC"/>
    <w:rsid w:val="004F1303"/>
    <w:rsid w:val="004F24B8"/>
    <w:rsid w:val="004F29B3"/>
    <w:rsid w:val="004F3863"/>
    <w:rsid w:val="004F42D0"/>
    <w:rsid w:val="004F5152"/>
    <w:rsid w:val="004F66BF"/>
    <w:rsid w:val="00500084"/>
    <w:rsid w:val="00501071"/>
    <w:rsid w:val="00501807"/>
    <w:rsid w:val="00507C3E"/>
    <w:rsid w:val="00512B5B"/>
    <w:rsid w:val="00512F40"/>
    <w:rsid w:val="00515731"/>
    <w:rsid w:val="00520693"/>
    <w:rsid w:val="0052116C"/>
    <w:rsid w:val="00522A20"/>
    <w:rsid w:val="00527087"/>
    <w:rsid w:val="005309DD"/>
    <w:rsid w:val="00533D8A"/>
    <w:rsid w:val="00535372"/>
    <w:rsid w:val="00535443"/>
    <w:rsid w:val="005362D1"/>
    <w:rsid w:val="00540CC0"/>
    <w:rsid w:val="00542700"/>
    <w:rsid w:val="0054391B"/>
    <w:rsid w:val="005444C2"/>
    <w:rsid w:val="005445BA"/>
    <w:rsid w:val="0054588C"/>
    <w:rsid w:val="00545B00"/>
    <w:rsid w:val="005466CA"/>
    <w:rsid w:val="0054759A"/>
    <w:rsid w:val="00554BDF"/>
    <w:rsid w:val="00555BBD"/>
    <w:rsid w:val="00555C3E"/>
    <w:rsid w:val="00562146"/>
    <w:rsid w:val="005645DC"/>
    <w:rsid w:val="0057217D"/>
    <w:rsid w:val="00573627"/>
    <w:rsid w:val="00573857"/>
    <w:rsid w:val="00574860"/>
    <w:rsid w:val="00574F95"/>
    <w:rsid w:val="00576055"/>
    <w:rsid w:val="00576C5F"/>
    <w:rsid w:val="00577DC3"/>
    <w:rsid w:val="00581882"/>
    <w:rsid w:val="00585C1B"/>
    <w:rsid w:val="00590E04"/>
    <w:rsid w:val="00590F1D"/>
    <w:rsid w:val="0059199C"/>
    <w:rsid w:val="005923DE"/>
    <w:rsid w:val="005925DF"/>
    <w:rsid w:val="005941A4"/>
    <w:rsid w:val="005959AB"/>
    <w:rsid w:val="0059650B"/>
    <w:rsid w:val="00597086"/>
    <w:rsid w:val="005A12DE"/>
    <w:rsid w:val="005A5876"/>
    <w:rsid w:val="005B4C9B"/>
    <w:rsid w:val="005B57AF"/>
    <w:rsid w:val="005B605C"/>
    <w:rsid w:val="005B67E0"/>
    <w:rsid w:val="005C09E8"/>
    <w:rsid w:val="005C0F0A"/>
    <w:rsid w:val="005C3026"/>
    <w:rsid w:val="005C361F"/>
    <w:rsid w:val="005C48E0"/>
    <w:rsid w:val="005C55DF"/>
    <w:rsid w:val="005C7AB9"/>
    <w:rsid w:val="005D317F"/>
    <w:rsid w:val="005D358F"/>
    <w:rsid w:val="005D588E"/>
    <w:rsid w:val="005D60BB"/>
    <w:rsid w:val="005D6143"/>
    <w:rsid w:val="005D7740"/>
    <w:rsid w:val="005E0263"/>
    <w:rsid w:val="005E0F58"/>
    <w:rsid w:val="005E3961"/>
    <w:rsid w:val="005E3E54"/>
    <w:rsid w:val="005E5C63"/>
    <w:rsid w:val="005E5F13"/>
    <w:rsid w:val="005E7F72"/>
    <w:rsid w:val="005F1530"/>
    <w:rsid w:val="005F3A47"/>
    <w:rsid w:val="005F42C4"/>
    <w:rsid w:val="00601D8F"/>
    <w:rsid w:val="00602188"/>
    <w:rsid w:val="00603248"/>
    <w:rsid w:val="00603313"/>
    <w:rsid w:val="00603EA0"/>
    <w:rsid w:val="006079E0"/>
    <w:rsid w:val="00607FAC"/>
    <w:rsid w:val="0061042A"/>
    <w:rsid w:val="006115CB"/>
    <w:rsid w:val="00615889"/>
    <w:rsid w:val="00616A7D"/>
    <w:rsid w:val="00617C10"/>
    <w:rsid w:val="006208BF"/>
    <w:rsid w:val="00621D8D"/>
    <w:rsid w:val="0062343C"/>
    <w:rsid w:val="006266CE"/>
    <w:rsid w:val="006273A5"/>
    <w:rsid w:val="00627C98"/>
    <w:rsid w:val="00630C23"/>
    <w:rsid w:val="00631DDE"/>
    <w:rsid w:val="00632B33"/>
    <w:rsid w:val="00636EEA"/>
    <w:rsid w:val="0063740B"/>
    <w:rsid w:val="00643C5D"/>
    <w:rsid w:val="00644775"/>
    <w:rsid w:val="006468B0"/>
    <w:rsid w:val="00654072"/>
    <w:rsid w:val="00654FA0"/>
    <w:rsid w:val="00655211"/>
    <w:rsid w:val="0065562F"/>
    <w:rsid w:val="00655DE9"/>
    <w:rsid w:val="00656986"/>
    <w:rsid w:val="00656A74"/>
    <w:rsid w:val="00660FEF"/>
    <w:rsid w:val="006612CB"/>
    <w:rsid w:val="006615B2"/>
    <w:rsid w:val="00661FCE"/>
    <w:rsid w:val="00666320"/>
    <w:rsid w:val="00666D2C"/>
    <w:rsid w:val="006705C8"/>
    <w:rsid w:val="00670618"/>
    <w:rsid w:val="00671EF5"/>
    <w:rsid w:val="006722A7"/>
    <w:rsid w:val="00673266"/>
    <w:rsid w:val="006800ED"/>
    <w:rsid w:val="00680F56"/>
    <w:rsid w:val="00682DA9"/>
    <w:rsid w:val="0068464A"/>
    <w:rsid w:val="00686510"/>
    <w:rsid w:val="00694AFC"/>
    <w:rsid w:val="006A1E9E"/>
    <w:rsid w:val="006A20A3"/>
    <w:rsid w:val="006A2B8E"/>
    <w:rsid w:val="006A34E5"/>
    <w:rsid w:val="006A38CE"/>
    <w:rsid w:val="006A5CAC"/>
    <w:rsid w:val="006A7B3D"/>
    <w:rsid w:val="006A7BEF"/>
    <w:rsid w:val="006B1BB4"/>
    <w:rsid w:val="006B2ED9"/>
    <w:rsid w:val="006B56DB"/>
    <w:rsid w:val="006B6AE8"/>
    <w:rsid w:val="006C192F"/>
    <w:rsid w:val="006C47AA"/>
    <w:rsid w:val="006D0899"/>
    <w:rsid w:val="006D20F4"/>
    <w:rsid w:val="006D478F"/>
    <w:rsid w:val="006D548C"/>
    <w:rsid w:val="006D624C"/>
    <w:rsid w:val="006D6D73"/>
    <w:rsid w:val="006E1063"/>
    <w:rsid w:val="006E427B"/>
    <w:rsid w:val="006E71B7"/>
    <w:rsid w:val="006E7AC0"/>
    <w:rsid w:val="006F223F"/>
    <w:rsid w:val="006F2E98"/>
    <w:rsid w:val="006F7012"/>
    <w:rsid w:val="0070137C"/>
    <w:rsid w:val="007015E7"/>
    <w:rsid w:val="007017CA"/>
    <w:rsid w:val="00701EE9"/>
    <w:rsid w:val="00703443"/>
    <w:rsid w:val="00703866"/>
    <w:rsid w:val="00706153"/>
    <w:rsid w:val="00707B80"/>
    <w:rsid w:val="0071103C"/>
    <w:rsid w:val="007117EA"/>
    <w:rsid w:val="007124CB"/>
    <w:rsid w:val="007126CD"/>
    <w:rsid w:val="007137DE"/>
    <w:rsid w:val="00720830"/>
    <w:rsid w:val="00723360"/>
    <w:rsid w:val="00723DD9"/>
    <w:rsid w:val="00726448"/>
    <w:rsid w:val="00726F99"/>
    <w:rsid w:val="0073087B"/>
    <w:rsid w:val="00730E77"/>
    <w:rsid w:val="00731C81"/>
    <w:rsid w:val="0073336C"/>
    <w:rsid w:val="00733383"/>
    <w:rsid w:val="0073538D"/>
    <w:rsid w:val="007354CC"/>
    <w:rsid w:val="007417E3"/>
    <w:rsid w:val="00741AE3"/>
    <w:rsid w:val="00744649"/>
    <w:rsid w:val="00746B73"/>
    <w:rsid w:val="007474D0"/>
    <w:rsid w:val="00750065"/>
    <w:rsid w:val="00761B63"/>
    <w:rsid w:val="007633FB"/>
    <w:rsid w:val="00765176"/>
    <w:rsid w:val="007658E7"/>
    <w:rsid w:val="0076645F"/>
    <w:rsid w:val="0076740D"/>
    <w:rsid w:val="00770114"/>
    <w:rsid w:val="00770301"/>
    <w:rsid w:val="00770C9F"/>
    <w:rsid w:val="00771372"/>
    <w:rsid w:val="00772771"/>
    <w:rsid w:val="00772F4E"/>
    <w:rsid w:val="00775794"/>
    <w:rsid w:val="00776206"/>
    <w:rsid w:val="0077777E"/>
    <w:rsid w:val="0078534E"/>
    <w:rsid w:val="007856B1"/>
    <w:rsid w:val="0078640F"/>
    <w:rsid w:val="00787543"/>
    <w:rsid w:val="0079068F"/>
    <w:rsid w:val="00790929"/>
    <w:rsid w:val="00794403"/>
    <w:rsid w:val="00797360"/>
    <w:rsid w:val="007A2125"/>
    <w:rsid w:val="007A2D6E"/>
    <w:rsid w:val="007A5296"/>
    <w:rsid w:val="007A52A2"/>
    <w:rsid w:val="007A5DEB"/>
    <w:rsid w:val="007A73DF"/>
    <w:rsid w:val="007B16F4"/>
    <w:rsid w:val="007B5B96"/>
    <w:rsid w:val="007C1C7A"/>
    <w:rsid w:val="007C2D73"/>
    <w:rsid w:val="007C32D5"/>
    <w:rsid w:val="007C335E"/>
    <w:rsid w:val="007C5F46"/>
    <w:rsid w:val="007D3466"/>
    <w:rsid w:val="007D36C1"/>
    <w:rsid w:val="007D3FDB"/>
    <w:rsid w:val="007D410D"/>
    <w:rsid w:val="007D421E"/>
    <w:rsid w:val="007D6F4E"/>
    <w:rsid w:val="007D7851"/>
    <w:rsid w:val="007D7F2E"/>
    <w:rsid w:val="007E0341"/>
    <w:rsid w:val="007E2F9E"/>
    <w:rsid w:val="007E35B0"/>
    <w:rsid w:val="007E6F34"/>
    <w:rsid w:val="007E76B7"/>
    <w:rsid w:val="007F0DCF"/>
    <w:rsid w:val="007F236B"/>
    <w:rsid w:val="007F279E"/>
    <w:rsid w:val="007F2E31"/>
    <w:rsid w:val="007F4427"/>
    <w:rsid w:val="007F56B2"/>
    <w:rsid w:val="007F5FE4"/>
    <w:rsid w:val="008015C1"/>
    <w:rsid w:val="00801974"/>
    <w:rsid w:val="00801F04"/>
    <w:rsid w:val="00802568"/>
    <w:rsid w:val="008049D1"/>
    <w:rsid w:val="0080525E"/>
    <w:rsid w:val="008078DC"/>
    <w:rsid w:val="00810BDA"/>
    <w:rsid w:val="00811354"/>
    <w:rsid w:val="00812732"/>
    <w:rsid w:val="00814964"/>
    <w:rsid w:val="008151F1"/>
    <w:rsid w:val="00815950"/>
    <w:rsid w:val="00821E8E"/>
    <w:rsid w:val="00822093"/>
    <w:rsid w:val="0082228A"/>
    <w:rsid w:val="0082661B"/>
    <w:rsid w:val="00827740"/>
    <w:rsid w:val="00830C99"/>
    <w:rsid w:val="0083245F"/>
    <w:rsid w:val="0083355F"/>
    <w:rsid w:val="0083570A"/>
    <w:rsid w:val="008366ED"/>
    <w:rsid w:val="008420FF"/>
    <w:rsid w:val="0084595D"/>
    <w:rsid w:val="008459FA"/>
    <w:rsid w:val="00845C8F"/>
    <w:rsid w:val="008472AB"/>
    <w:rsid w:val="008479A2"/>
    <w:rsid w:val="00852BC0"/>
    <w:rsid w:val="00855513"/>
    <w:rsid w:val="00861922"/>
    <w:rsid w:val="00862FFC"/>
    <w:rsid w:val="00865800"/>
    <w:rsid w:val="00866255"/>
    <w:rsid w:val="0086709C"/>
    <w:rsid w:val="00867336"/>
    <w:rsid w:val="00867CE2"/>
    <w:rsid w:val="008728D3"/>
    <w:rsid w:val="00873ACA"/>
    <w:rsid w:val="0087438B"/>
    <w:rsid w:val="00875206"/>
    <w:rsid w:val="00876231"/>
    <w:rsid w:val="00880954"/>
    <w:rsid w:val="00880F32"/>
    <w:rsid w:val="00881D01"/>
    <w:rsid w:val="00881D61"/>
    <w:rsid w:val="0088373F"/>
    <w:rsid w:val="00884698"/>
    <w:rsid w:val="00886AE8"/>
    <w:rsid w:val="00886F99"/>
    <w:rsid w:val="0088774E"/>
    <w:rsid w:val="00890730"/>
    <w:rsid w:val="008923A9"/>
    <w:rsid w:val="00895395"/>
    <w:rsid w:val="00895526"/>
    <w:rsid w:val="00896FA9"/>
    <w:rsid w:val="00897656"/>
    <w:rsid w:val="008A448D"/>
    <w:rsid w:val="008A7B43"/>
    <w:rsid w:val="008B0F57"/>
    <w:rsid w:val="008B4CA8"/>
    <w:rsid w:val="008B531C"/>
    <w:rsid w:val="008B6832"/>
    <w:rsid w:val="008B7FAD"/>
    <w:rsid w:val="008C0660"/>
    <w:rsid w:val="008D32FE"/>
    <w:rsid w:val="008D4897"/>
    <w:rsid w:val="008D5561"/>
    <w:rsid w:val="008E132F"/>
    <w:rsid w:val="008E1D5A"/>
    <w:rsid w:val="008E2786"/>
    <w:rsid w:val="008E3D3E"/>
    <w:rsid w:val="008E43A1"/>
    <w:rsid w:val="008E47A1"/>
    <w:rsid w:val="008E4C5F"/>
    <w:rsid w:val="008E5448"/>
    <w:rsid w:val="008E74D2"/>
    <w:rsid w:val="008F3BA2"/>
    <w:rsid w:val="008F3C0A"/>
    <w:rsid w:val="008F4F44"/>
    <w:rsid w:val="008F5143"/>
    <w:rsid w:val="008F5E1B"/>
    <w:rsid w:val="008F7AE4"/>
    <w:rsid w:val="008F7CA8"/>
    <w:rsid w:val="00900182"/>
    <w:rsid w:val="0090075B"/>
    <w:rsid w:val="00901536"/>
    <w:rsid w:val="00901613"/>
    <w:rsid w:val="00902146"/>
    <w:rsid w:val="0090253B"/>
    <w:rsid w:val="009033A0"/>
    <w:rsid w:val="009078A4"/>
    <w:rsid w:val="0091003F"/>
    <w:rsid w:val="00910DA2"/>
    <w:rsid w:val="00910E95"/>
    <w:rsid w:val="00913225"/>
    <w:rsid w:val="00913AB1"/>
    <w:rsid w:val="00917A62"/>
    <w:rsid w:val="00921486"/>
    <w:rsid w:val="00922AE8"/>
    <w:rsid w:val="009250BC"/>
    <w:rsid w:val="009254D9"/>
    <w:rsid w:val="00925819"/>
    <w:rsid w:val="00925920"/>
    <w:rsid w:val="00925962"/>
    <w:rsid w:val="0092767F"/>
    <w:rsid w:val="009341EC"/>
    <w:rsid w:val="009342CF"/>
    <w:rsid w:val="00937114"/>
    <w:rsid w:val="009407FA"/>
    <w:rsid w:val="0094213F"/>
    <w:rsid w:val="00942DF0"/>
    <w:rsid w:val="00945D87"/>
    <w:rsid w:val="00946229"/>
    <w:rsid w:val="00947E36"/>
    <w:rsid w:val="0095263E"/>
    <w:rsid w:val="00952D84"/>
    <w:rsid w:val="0095631E"/>
    <w:rsid w:val="00956B75"/>
    <w:rsid w:val="00957B97"/>
    <w:rsid w:val="009616C4"/>
    <w:rsid w:val="00963FA9"/>
    <w:rsid w:val="00964595"/>
    <w:rsid w:val="00964C4B"/>
    <w:rsid w:val="00965FB3"/>
    <w:rsid w:val="00966587"/>
    <w:rsid w:val="00967E7C"/>
    <w:rsid w:val="00972011"/>
    <w:rsid w:val="00972538"/>
    <w:rsid w:val="00972D19"/>
    <w:rsid w:val="00973263"/>
    <w:rsid w:val="0097379D"/>
    <w:rsid w:val="00973C3B"/>
    <w:rsid w:val="00976088"/>
    <w:rsid w:val="0098184D"/>
    <w:rsid w:val="0098764C"/>
    <w:rsid w:val="009901B7"/>
    <w:rsid w:val="009926DF"/>
    <w:rsid w:val="00997CE9"/>
    <w:rsid w:val="009A24DD"/>
    <w:rsid w:val="009A3256"/>
    <w:rsid w:val="009A4024"/>
    <w:rsid w:val="009A520D"/>
    <w:rsid w:val="009A5311"/>
    <w:rsid w:val="009A7EEF"/>
    <w:rsid w:val="009B07D3"/>
    <w:rsid w:val="009B10DF"/>
    <w:rsid w:val="009B1721"/>
    <w:rsid w:val="009B222B"/>
    <w:rsid w:val="009B22B9"/>
    <w:rsid w:val="009B22F0"/>
    <w:rsid w:val="009B2777"/>
    <w:rsid w:val="009B3D03"/>
    <w:rsid w:val="009B5EFF"/>
    <w:rsid w:val="009C2E6F"/>
    <w:rsid w:val="009D2D0A"/>
    <w:rsid w:val="009D4A15"/>
    <w:rsid w:val="009D4ED0"/>
    <w:rsid w:val="009D7356"/>
    <w:rsid w:val="009D79F7"/>
    <w:rsid w:val="009E0CD7"/>
    <w:rsid w:val="009E31FD"/>
    <w:rsid w:val="009E42E7"/>
    <w:rsid w:val="009E4B69"/>
    <w:rsid w:val="009F0216"/>
    <w:rsid w:val="009F0849"/>
    <w:rsid w:val="009F4F54"/>
    <w:rsid w:val="00A041ED"/>
    <w:rsid w:val="00A07501"/>
    <w:rsid w:val="00A07B06"/>
    <w:rsid w:val="00A1219E"/>
    <w:rsid w:val="00A1299A"/>
    <w:rsid w:val="00A12B19"/>
    <w:rsid w:val="00A170DC"/>
    <w:rsid w:val="00A20D54"/>
    <w:rsid w:val="00A250C2"/>
    <w:rsid w:val="00A254EE"/>
    <w:rsid w:val="00A26A71"/>
    <w:rsid w:val="00A31D7B"/>
    <w:rsid w:val="00A335A5"/>
    <w:rsid w:val="00A365AC"/>
    <w:rsid w:val="00A4280D"/>
    <w:rsid w:val="00A4293E"/>
    <w:rsid w:val="00A4448F"/>
    <w:rsid w:val="00A457C6"/>
    <w:rsid w:val="00A45A5E"/>
    <w:rsid w:val="00A47844"/>
    <w:rsid w:val="00A47F59"/>
    <w:rsid w:val="00A50D09"/>
    <w:rsid w:val="00A51269"/>
    <w:rsid w:val="00A53A2C"/>
    <w:rsid w:val="00A5466B"/>
    <w:rsid w:val="00A63A08"/>
    <w:rsid w:val="00A64228"/>
    <w:rsid w:val="00A7183D"/>
    <w:rsid w:val="00A71E8F"/>
    <w:rsid w:val="00A72F6F"/>
    <w:rsid w:val="00A738E4"/>
    <w:rsid w:val="00A760EA"/>
    <w:rsid w:val="00A821C9"/>
    <w:rsid w:val="00A82CAD"/>
    <w:rsid w:val="00A83EC1"/>
    <w:rsid w:val="00A85CF7"/>
    <w:rsid w:val="00A866B2"/>
    <w:rsid w:val="00A906C5"/>
    <w:rsid w:val="00A90E5B"/>
    <w:rsid w:val="00A918E5"/>
    <w:rsid w:val="00A925F1"/>
    <w:rsid w:val="00A92D64"/>
    <w:rsid w:val="00A930A2"/>
    <w:rsid w:val="00A940C3"/>
    <w:rsid w:val="00AA0081"/>
    <w:rsid w:val="00AA10FF"/>
    <w:rsid w:val="00AA26E3"/>
    <w:rsid w:val="00AA32B5"/>
    <w:rsid w:val="00AA522E"/>
    <w:rsid w:val="00AB04ED"/>
    <w:rsid w:val="00AB0D8E"/>
    <w:rsid w:val="00AB22D1"/>
    <w:rsid w:val="00AB4361"/>
    <w:rsid w:val="00AB4517"/>
    <w:rsid w:val="00AB4EC3"/>
    <w:rsid w:val="00AC4D61"/>
    <w:rsid w:val="00AC4F5A"/>
    <w:rsid w:val="00AD072A"/>
    <w:rsid w:val="00AD0A12"/>
    <w:rsid w:val="00AD379C"/>
    <w:rsid w:val="00AD3B94"/>
    <w:rsid w:val="00AD4838"/>
    <w:rsid w:val="00AD5D34"/>
    <w:rsid w:val="00AD6FFB"/>
    <w:rsid w:val="00AE372B"/>
    <w:rsid w:val="00AE47DB"/>
    <w:rsid w:val="00AE54D2"/>
    <w:rsid w:val="00AE71C9"/>
    <w:rsid w:val="00AE76FB"/>
    <w:rsid w:val="00AF5720"/>
    <w:rsid w:val="00AF5999"/>
    <w:rsid w:val="00AF75CC"/>
    <w:rsid w:val="00B017B0"/>
    <w:rsid w:val="00B01846"/>
    <w:rsid w:val="00B01AEA"/>
    <w:rsid w:val="00B027B4"/>
    <w:rsid w:val="00B07413"/>
    <w:rsid w:val="00B12F9F"/>
    <w:rsid w:val="00B1752D"/>
    <w:rsid w:val="00B204E3"/>
    <w:rsid w:val="00B205B5"/>
    <w:rsid w:val="00B23903"/>
    <w:rsid w:val="00B241F8"/>
    <w:rsid w:val="00B25A34"/>
    <w:rsid w:val="00B2602B"/>
    <w:rsid w:val="00B27759"/>
    <w:rsid w:val="00B27C94"/>
    <w:rsid w:val="00B352B2"/>
    <w:rsid w:val="00B3533C"/>
    <w:rsid w:val="00B353ED"/>
    <w:rsid w:val="00B37504"/>
    <w:rsid w:val="00B376E8"/>
    <w:rsid w:val="00B37B19"/>
    <w:rsid w:val="00B37F36"/>
    <w:rsid w:val="00B41CB1"/>
    <w:rsid w:val="00B4578F"/>
    <w:rsid w:val="00B469A1"/>
    <w:rsid w:val="00B47047"/>
    <w:rsid w:val="00B50200"/>
    <w:rsid w:val="00B55E35"/>
    <w:rsid w:val="00B63BB7"/>
    <w:rsid w:val="00B64865"/>
    <w:rsid w:val="00B67223"/>
    <w:rsid w:val="00B728BA"/>
    <w:rsid w:val="00B75006"/>
    <w:rsid w:val="00B7567F"/>
    <w:rsid w:val="00B8198F"/>
    <w:rsid w:val="00B82700"/>
    <w:rsid w:val="00B83DB8"/>
    <w:rsid w:val="00B86E67"/>
    <w:rsid w:val="00B90BC2"/>
    <w:rsid w:val="00B90D6D"/>
    <w:rsid w:val="00B915A3"/>
    <w:rsid w:val="00B9387D"/>
    <w:rsid w:val="00B940F4"/>
    <w:rsid w:val="00B94F3B"/>
    <w:rsid w:val="00B96295"/>
    <w:rsid w:val="00BA2DC5"/>
    <w:rsid w:val="00BA4ABE"/>
    <w:rsid w:val="00BA5096"/>
    <w:rsid w:val="00BB0B1D"/>
    <w:rsid w:val="00BB2409"/>
    <w:rsid w:val="00BB24EC"/>
    <w:rsid w:val="00BB3A56"/>
    <w:rsid w:val="00BC133A"/>
    <w:rsid w:val="00BC1CDC"/>
    <w:rsid w:val="00BC2A42"/>
    <w:rsid w:val="00BC419F"/>
    <w:rsid w:val="00BC568F"/>
    <w:rsid w:val="00BC64AA"/>
    <w:rsid w:val="00BC6C11"/>
    <w:rsid w:val="00BD26C2"/>
    <w:rsid w:val="00BD7B9A"/>
    <w:rsid w:val="00BD7EB3"/>
    <w:rsid w:val="00BE1B6C"/>
    <w:rsid w:val="00BE2976"/>
    <w:rsid w:val="00BE3A87"/>
    <w:rsid w:val="00BE5312"/>
    <w:rsid w:val="00BE65B0"/>
    <w:rsid w:val="00BE6A77"/>
    <w:rsid w:val="00BE6E42"/>
    <w:rsid w:val="00BE6FCE"/>
    <w:rsid w:val="00BE7F0B"/>
    <w:rsid w:val="00BE7F4A"/>
    <w:rsid w:val="00BF4235"/>
    <w:rsid w:val="00BF625D"/>
    <w:rsid w:val="00C01B09"/>
    <w:rsid w:val="00C04597"/>
    <w:rsid w:val="00C06ED1"/>
    <w:rsid w:val="00C120A9"/>
    <w:rsid w:val="00C12227"/>
    <w:rsid w:val="00C13DB8"/>
    <w:rsid w:val="00C141E4"/>
    <w:rsid w:val="00C2039F"/>
    <w:rsid w:val="00C21A13"/>
    <w:rsid w:val="00C225D4"/>
    <w:rsid w:val="00C2274F"/>
    <w:rsid w:val="00C24171"/>
    <w:rsid w:val="00C2454E"/>
    <w:rsid w:val="00C252CE"/>
    <w:rsid w:val="00C268BF"/>
    <w:rsid w:val="00C35121"/>
    <w:rsid w:val="00C35C18"/>
    <w:rsid w:val="00C36CEE"/>
    <w:rsid w:val="00C431D9"/>
    <w:rsid w:val="00C45B08"/>
    <w:rsid w:val="00C466C1"/>
    <w:rsid w:val="00C50614"/>
    <w:rsid w:val="00C50B49"/>
    <w:rsid w:val="00C51AD9"/>
    <w:rsid w:val="00C53FC2"/>
    <w:rsid w:val="00C5431F"/>
    <w:rsid w:val="00C6338C"/>
    <w:rsid w:val="00C63960"/>
    <w:rsid w:val="00C64C10"/>
    <w:rsid w:val="00C66196"/>
    <w:rsid w:val="00C66762"/>
    <w:rsid w:val="00C714E3"/>
    <w:rsid w:val="00C74088"/>
    <w:rsid w:val="00C754AE"/>
    <w:rsid w:val="00C7631E"/>
    <w:rsid w:val="00C814BD"/>
    <w:rsid w:val="00C81940"/>
    <w:rsid w:val="00C81D52"/>
    <w:rsid w:val="00C82745"/>
    <w:rsid w:val="00C87E3B"/>
    <w:rsid w:val="00C90FC8"/>
    <w:rsid w:val="00C96CE9"/>
    <w:rsid w:val="00C9778E"/>
    <w:rsid w:val="00CA3E0E"/>
    <w:rsid w:val="00CA50E3"/>
    <w:rsid w:val="00CA583D"/>
    <w:rsid w:val="00CA6D6E"/>
    <w:rsid w:val="00CB1427"/>
    <w:rsid w:val="00CB39EC"/>
    <w:rsid w:val="00CB7376"/>
    <w:rsid w:val="00CC0F3A"/>
    <w:rsid w:val="00CC23D4"/>
    <w:rsid w:val="00CC2F94"/>
    <w:rsid w:val="00CC3A8E"/>
    <w:rsid w:val="00CC6D61"/>
    <w:rsid w:val="00CC6F91"/>
    <w:rsid w:val="00CD3893"/>
    <w:rsid w:val="00CD3B02"/>
    <w:rsid w:val="00CD5635"/>
    <w:rsid w:val="00CD66C1"/>
    <w:rsid w:val="00CE1124"/>
    <w:rsid w:val="00CE4AED"/>
    <w:rsid w:val="00CE4B60"/>
    <w:rsid w:val="00CE6A60"/>
    <w:rsid w:val="00CE761E"/>
    <w:rsid w:val="00CF1156"/>
    <w:rsid w:val="00CF29C4"/>
    <w:rsid w:val="00CF40BC"/>
    <w:rsid w:val="00CF605D"/>
    <w:rsid w:val="00CF6C26"/>
    <w:rsid w:val="00D01ADA"/>
    <w:rsid w:val="00D03FFA"/>
    <w:rsid w:val="00D043F3"/>
    <w:rsid w:val="00D16CF6"/>
    <w:rsid w:val="00D2525D"/>
    <w:rsid w:val="00D26A47"/>
    <w:rsid w:val="00D30143"/>
    <w:rsid w:val="00D41BF9"/>
    <w:rsid w:val="00D42FFA"/>
    <w:rsid w:val="00D45DB4"/>
    <w:rsid w:val="00D469E4"/>
    <w:rsid w:val="00D47463"/>
    <w:rsid w:val="00D51D57"/>
    <w:rsid w:val="00D53353"/>
    <w:rsid w:val="00D53A70"/>
    <w:rsid w:val="00D54425"/>
    <w:rsid w:val="00D54E2D"/>
    <w:rsid w:val="00D57AC8"/>
    <w:rsid w:val="00D57BA9"/>
    <w:rsid w:val="00D62829"/>
    <w:rsid w:val="00D6520C"/>
    <w:rsid w:val="00D67955"/>
    <w:rsid w:val="00D702CD"/>
    <w:rsid w:val="00D72006"/>
    <w:rsid w:val="00D7324A"/>
    <w:rsid w:val="00D73A01"/>
    <w:rsid w:val="00D74B9F"/>
    <w:rsid w:val="00D756C3"/>
    <w:rsid w:val="00D81862"/>
    <w:rsid w:val="00D82DEA"/>
    <w:rsid w:val="00D82FAA"/>
    <w:rsid w:val="00D86522"/>
    <w:rsid w:val="00D870FA"/>
    <w:rsid w:val="00D916CB"/>
    <w:rsid w:val="00D93DD9"/>
    <w:rsid w:val="00D94ACF"/>
    <w:rsid w:val="00DA1B20"/>
    <w:rsid w:val="00DA1EB2"/>
    <w:rsid w:val="00DA2A45"/>
    <w:rsid w:val="00DA30C3"/>
    <w:rsid w:val="00DA5C2C"/>
    <w:rsid w:val="00DA7A70"/>
    <w:rsid w:val="00DB5B2E"/>
    <w:rsid w:val="00DB7E6B"/>
    <w:rsid w:val="00DC2205"/>
    <w:rsid w:val="00DC2F22"/>
    <w:rsid w:val="00DC3F0B"/>
    <w:rsid w:val="00DC447D"/>
    <w:rsid w:val="00DC4B61"/>
    <w:rsid w:val="00DC5BD6"/>
    <w:rsid w:val="00DC6238"/>
    <w:rsid w:val="00DC6954"/>
    <w:rsid w:val="00DC6DEB"/>
    <w:rsid w:val="00DD4EBB"/>
    <w:rsid w:val="00DD6AB4"/>
    <w:rsid w:val="00DD7BB0"/>
    <w:rsid w:val="00DE0D49"/>
    <w:rsid w:val="00DE36A5"/>
    <w:rsid w:val="00DE6C98"/>
    <w:rsid w:val="00DF106B"/>
    <w:rsid w:val="00DF5F96"/>
    <w:rsid w:val="00DF77AC"/>
    <w:rsid w:val="00DF7E5D"/>
    <w:rsid w:val="00E02670"/>
    <w:rsid w:val="00E06959"/>
    <w:rsid w:val="00E1105E"/>
    <w:rsid w:val="00E1215F"/>
    <w:rsid w:val="00E12608"/>
    <w:rsid w:val="00E12647"/>
    <w:rsid w:val="00E12C1A"/>
    <w:rsid w:val="00E13583"/>
    <w:rsid w:val="00E1432F"/>
    <w:rsid w:val="00E15644"/>
    <w:rsid w:val="00E1767E"/>
    <w:rsid w:val="00E20315"/>
    <w:rsid w:val="00E21721"/>
    <w:rsid w:val="00E22012"/>
    <w:rsid w:val="00E22754"/>
    <w:rsid w:val="00E23FB9"/>
    <w:rsid w:val="00E27743"/>
    <w:rsid w:val="00E30058"/>
    <w:rsid w:val="00E32A0E"/>
    <w:rsid w:val="00E355AE"/>
    <w:rsid w:val="00E35E1F"/>
    <w:rsid w:val="00E403FA"/>
    <w:rsid w:val="00E41DBA"/>
    <w:rsid w:val="00E47D31"/>
    <w:rsid w:val="00E55808"/>
    <w:rsid w:val="00E60CA3"/>
    <w:rsid w:val="00E618C5"/>
    <w:rsid w:val="00E63584"/>
    <w:rsid w:val="00E64246"/>
    <w:rsid w:val="00E650F3"/>
    <w:rsid w:val="00E66FB4"/>
    <w:rsid w:val="00E70EFC"/>
    <w:rsid w:val="00E71AC4"/>
    <w:rsid w:val="00E76FED"/>
    <w:rsid w:val="00E77C85"/>
    <w:rsid w:val="00E800AD"/>
    <w:rsid w:val="00E8052B"/>
    <w:rsid w:val="00E82E3E"/>
    <w:rsid w:val="00E848B2"/>
    <w:rsid w:val="00E84966"/>
    <w:rsid w:val="00E8698E"/>
    <w:rsid w:val="00E9200D"/>
    <w:rsid w:val="00E9298A"/>
    <w:rsid w:val="00E93035"/>
    <w:rsid w:val="00E9789E"/>
    <w:rsid w:val="00EA0465"/>
    <w:rsid w:val="00EA0470"/>
    <w:rsid w:val="00EA0C88"/>
    <w:rsid w:val="00EA147D"/>
    <w:rsid w:val="00EA6563"/>
    <w:rsid w:val="00EA6B0D"/>
    <w:rsid w:val="00EA750E"/>
    <w:rsid w:val="00EA7776"/>
    <w:rsid w:val="00EB0CE9"/>
    <w:rsid w:val="00EB18B4"/>
    <w:rsid w:val="00EB2105"/>
    <w:rsid w:val="00EB28AF"/>
    <w:rsid w:val="00EB2F17"/>
    <w:rsid w:val="00EB2F7C"/>
    <w:rsid w:val="00EB30DD"/>
    <w:rsid w:val="00EB54C0"/>
    <w:rsid w:val="00EB7823"/>
    <w:rsid w:val="00EC088E"/>
    <w:rsid w:val="00EC14CC"/>
    <w:rsid w:val="00EC2F48"/>
    <w:rsid w:val="00EC4044"/>
    <w:rsid w:val="00EC4C77"/>
    <w:rsid w:val="00EC55EB"/>
    <w:rsid w:val="00EC7CE1"/>
    <w:rsid w:val="00ED0C2F"/>
    <w:rsid w:val="00ED1896"/>
    <w:rsid w:val="00ED5A8B"/>
    <w:rsid w:val="00ED650E"/>
    <w:rsid w:val="00ED6F2F"/>
    <w:rsid w:val="00EE1D76"/>
    <w:rsid w:val="00EE208F"/>
    <w:rsid w:val="00EE406D"/>
    <w:rsid w:val="00EE627D"/>
    <w:rsid w:val="00EE697D"/>
    <w:rsid w:val="00EE7409"/>
    <w:rsid w:val="00EF4E0E"/>
    <w:rsid w:val="00EF5D37"/>
    <w:rsid w:val="00F0072E"/>
    <w:rsid w:val="00F00776"/>
    <w:rsid w:val="00F009EE"/>
    <w:rsid w:val="00F07FA5"/>
    <w:rsid w:val="00F1515F"/>
    <w:rsid w:val="00F15BDB"/>
    <w:rsid w:val="00F160A7"/>
    <w:rsid w:val="00F22EBF"/>
    <w:rsid w:val="00F24D91"/>
    <w:rsid w:val="00F24DAF"/>
    <w:rsid w:val="00F25240"/>
    <w:rsid w:val="00F260E1"/>
    <w:rsid w:val="00F274E2"/>
    <w:rsid w:val="00F310F6"/>
    <w:rsid w:val="00F32099"/>
    <w:rsid w:val="00F32B55"/>
    <w:rsid w:val="00F353A9"/>
    <w:rsid w:val="00F40335"/>
    <w:rsid w:val="00F410D1"/>
    <w:rsid w:val="00F42F91"/>
    <w:rsid w:val="00F4497C"/>
    <w:rsid w:val="00F4714D"/>
    <w:rsid w:val="00F472C0"/>
    <w:rsid w:val="00F501AE"/>
    <w:rsid w:val="00F50289"/>
    <w:rsid w:val="00F54328"/>
    <w:rsid w:val="00F55C41"/>
    <w:rsid w:val="00F57980"/>
    <w:rsid w:val="00F62C5D"/>
    <w:rsid w:val="00F63B53"/>
    <w:rsid w:val="00F64A39"/>
    <w:rsid w:val="00F66843"/>
    <w:rsid w:val="00F701B2"/>
    <w:rsid w:val="00F70307"/>
    <w:rsid w:val="00F70B80"/>
    <w:rsid w:val="00F71CDF"/>
    <w:rsid w:val="00F744D2"/>
    <w:rsid w:val="00F77CE9"/>
    <w:rsid w:val="00F80957"/>
    <w:rsid w:val="00F81E65"/>
    <w:rsid w:val="00F82C97"/>
    <w:rsid w:val="00F831D3"/>
    <w:rsid w:val="00F91085"/>
    <w:rsid w:val="00F94EA6"/>
    <w:rsid w:val="00F965FC"/>
    <w:rsid w:val="00F97E38"/>
    <w:rsid w:val="00FA06AD"/>
    <w:rsid w:val="00FA5D6F"/>
    <w:rsid w:val="00FA694B"/>
    <w:rsid w:val="00FA6C10"/>
    <w:rsid w:val="00FB1F51"/>
    <w:rsid w:val="00FB365E"/>
    <w:rsid w:val="00FB397C"/>
    <w:rsid w:val="00FB5E68"/>
    <w:rsid w:val="00FB752A"/>
    <w:rsid w:val="00FB78E0"/>
    <w:rsid w:val="00FC163D"/>
    <w:rsid w:val="00FC3F99"/>
    <w:rsid w:val="00FC43B5"/>
    <w:rsid w:val="00FC50D2"/>
    <w:rsid w:val="00FC5DA0"/>
    <w:rsid w:val="00FC6884"/>
    <w:rsid w:val="00FD0DA6"/>
    <w:rsid w:val="00FD0EC6"/>
    <w:rsid w:val="00FD4185"/>
    <w:rsid w:val="00FD42FA"/>
    <w:rsid w:val="00FD4695"/>
    <w:rsid w:val="00FD4BAE"/>
    <w:rsid w:val="00FE059C"/>
    <w:rsid w:val="00FE13DC"/>
    <w:rsid w:val="00FE283C"/>
    <w:rsid w:val="00FE7B5D"/>
    <w:rsid w:val="00FF02D9"/>
    <w:rsid w:val="00FF19BC"/>
    <w:rsid w:val="00FF48DA"/>
    <w:rsid w:val="00FF4D9A"/>
    <w:rsid w:val="00FF6335"/>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ED4B4"/>
  <w15:docId w15:val="{C891DE89-A909-2C40-8D51-951FAA145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1589"/>
    <w:pPr>
      <w:jc w:val="both"/>
    </w:pPr>
    <w:rPr>
      <w:rFonts w:asciiTheme="minorHAnsi" w:eastAsia="Times New Roman" w:hAnsiTheme="minorHAnsi" w:cstheme="minorHAnsi"/>
      <w:sz w:val="22"/>
      <w:szCs w:val="22"/>
      <w:lang w:eastAsia="en-GB"/>
    </w:rPr>
  </w:style>
  <w:style w:type="paragraph" w:styleId="Heading2">
    <w:name w:val="heading 2"/>
    <w:basedOn w:val="Normal"/>
    <w:next w:val="Normal"/>
    <w:link w:val="Heading2Char"/>
    <w:uiPriority w:val="9"/>
    <w:semiHidden/>
    <w:unhideWhenUsed/>
    <w:qFormat/>
    <w:rsid w:val="004B1F5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semiHidden/>
    <w:unhideWhenUsed/>
    <w:qFormat/>
    <w:rsid w:val="00C12227"/>
    <w:pPr>
      <w:keepNext/>
      <w:keepLines/>
      <w:spacing w:before="200"/>
      <w:jc w:val="right"/>
      <w:outlineLvl w:val="3"/>
    </w:pPr>
    <w:rPr>
      <w:rFonts w:asciiTheme="majorHAnsi" w:eastAsiaTheme="majorEastAsia" w:hAnsiTheme="majorHAnsi" w:cstheme="majorBidi"/>
      <w:b/>
      <w:bCs/>
      <w:i/>
      <w:iCs/>
      <w:color w:val="4F81BD" w:themeColor="accent1"/>
      <w:sz w:val="1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16F8"/>
    <w:rPr>
      <w:rFonts w:ascii="Tahoma" w:hAnsi="Tahoma" w:cs="Tahoma"/>
      <w:szCs w:val="16"/>
    </w:rPr>
  </w:style>
  <w:style w:type="character" w:customStyle="1" w:styleId="BalloonTextChar">
    <w:name w:val="Balloon Text Char"/>
    <w:basedOn w:val="DefaultParagraphFont"/>
    <w:link w:val="BalloonText"/>
    <w:uiPriority w:val="99"/>
    <w:semiHidden/>
    <w:rsid w:val="004316F8"/>
    <w:rPr>
      <w:rFonts w:ascii="Tahoma" w:hAnsi="Tahoma" w:cs="Tahoma"/>
      <w:sz w:val="16"/>
      <w:szCs w:val="16"/>
    </w:rPr>
  </w:style>
  <w:style w:type="character" w:styleId="Hyperlink">
    <w:name w:val="Hyperlink"/>
    <w:basedOn w:val="DefaultParagraphFont"/>
    <w:rsid w:val="006F223F"/>
    <w:rPr>
      <w:color w:val="0000FF"/>
      <w:u w:val="single"/>
    </w:rPr>
  </w:style>
  <w:style w:type="paragraph" w:styleId="NoSpacing">
    <w:name w:val="No Spacing"/>
    <w:uiPriority w:val="1"/>
    <w:qFormat/>
    <w:rsid w:val="00886AE8"/>
    <w:pPr>
      <w:jc w:val="right"/>
    </w:pPr>
    <w:rPr>
      <w:rFonts w:ascii="Arial" w:eastAsia="Times New Roman" w:hAnsi="Arial" w:cs="Arial"/>
      <w:sz w:val="16"/>
      <w:szCs w:val="24"/>
    </w:rPr>
  </w:style>
  <w:style w:type="paragraph" w:styleId="PlainText">
    <w:name w:val="Plain Text"/>
    <w:basedOn w:val="Normal"/>
    <w:link w:val="PlainTextChar"/>
    <w:uiPriority w:val="99"/>
    <w:unhideWhenUsed/>
    <w:rsid w:val="00494BEB"/>
    <w:rPr>
      <w:rFonts w:ascii="Arial" w:hAnsi="Arial"/>
      <w:sz w:val="21"/>
      <w:szCs w:val="21"/>
      <w:lang w:eastAsia="en-US"/>
    </w:rPr>
  </w:style>
  <w:style w:type="character" w:customStyle="1" w:styleId="PlainTextChar">
    <w:name w:val="Plain Text Char"/>
    <w:basedOn w:val="DefaultParagraphFont"/>
    <w:link w:val="PlainText"/>
    <w:uiPriority w:val="99"/>
    <w:rsid w:val="00494BEB"/>
    <w:rPr>
      <w:rFonts w:ascii="Arial" w:eastAsia="Times New Roman" w:hAnsi="Arial"/>
      <w:sz w:val="21"/>
      <w:szCs w:val="21"/>
      <w:lang w:eastAsia="en-US"/>
    </w:rPr>
  </w:style>
  <w:style w:type="paragraph" w:styleId="Header">
    <w:name w:val="header"/>
    <w:basedOn w:val="Normal"/>
    <w:link w:val="HeaderChar"/>
    <w:uiPriority w:val="99"/>
    <w:unhideWhenUsed/>
    <w:rsid w:val="00775794"/>
    <w:pPr>
      <w:tabs>
        <w:tab w:val="center" w:pos="4513"/>
        <w:tab w:val="right" w:pos="9026"/>
      </w:tabs>
      <w:spacing w:before="20"/>
      <w:jc w:val="right"/>
    </w:pPr>
    <w:rPr>
      <w:rFonts w:ascii="Arial" w:hAnsi="Arial" w:cs="Arial"/>
      <w:sz w:val="16"/>
      <w:lang w:eastAsia="en-AU"/>
    </w:rPr>
  </w:style>
  <w:style w:type="character" w:customStyle="1" w:styleId="HeaderChar">
    <w:name w:val="Header Char"/>
    <w:basedOn w:val="DefaultParagraphFont"/>
    <w:link w:val="Header"/>
    <w:uiPriority w:val="99"/>
    <w:rsid w:val="00775794"/>
    <w:rPr>
      <w:rFonts w:ascii="Arial" w:eastAsia="Times New Roman" w:hAnsi="Arial" w:cs="Arial"/>
      <w:sz w:val="16"/>
      <w:szCs w:val="24"/>
    </w:rPr>
  </w:style>
  <w:style w:type="paragraph" w:styleId="Footer">
    <w:name w:val="footer"/>
    <w:basedOn w:val="Normal"/>
    <w:link w:val="FooterChar"/>
    <w:uiPriority w:val="99"/>
    <w:unhideWhenUsed/>
    <w:rsid w:val="00775794"/>
    <w:pPr>
      <w:tabs>
        <w:tab w:val="center" w:pos="4513"/>
        <w:tab w:val="right" w:pos="9026"/>
      </w:tabs>
      <w:spacing w:before="20"/>
      <w:jc w:val="right"/>
    </w:pPr>
    <w:rPr>
      <w:rFonts w:ascii="Arial" w:hAnsi="Arial" w:cs="Arial"/>
      <w:sz w:val="16"/>
      <w:lang w:eastAsia="en-AU"/>
    </w:rPr>
  </w:style>
  <w:style w:type="character" w:customStyle="1" w:styleId="FooterChar">
    <w:name w:val="Footer Char"/>
    <w:basedOn w:val="DefaultParagraphFont"/>
    <w:link w:val="Footer"/>
    <w:uiPriority w:val="99"/>
    <w:rsid w:val="00775794"/>
    <w:rPr>
      <w:rFonts w:ascii="Arial" w:eastAsia="Times New Roman" w:hAnsi="Arial" w:cs="Arial"/>
      <w:sz w:val="16"/>
      <w:szCs w:val="24"/>
    </w:rPr>
  </w:style>
  <w:style w:type="paragraph" w:styleId="NormalWeb">
    <w:name w:val="Normal (Web)"/>
    <w:basedOn w:val="Normal"/>
    <w:uiPriority w:val="99"/>
    <w:rsid w:val="00190771"/>
    <w:pPr>
      <w:spacing w:before="100" w:beforeAutospacing="1" w:after="100" w:afterAutospacing="1"/>
    </w:pPr>
    <w:rPr>
      <w:rFonts w:eastAsia="Calibri"/>
      <w:lang w:eastAsia="en-AU"/>
    </w:rPr>
  </w:style>
  <w:style w:type="paragraph" w:styleId="ListParagraph">
    <w:name w:val="List Paragraph"/>
    <w:basedOn w:val="Normal"/>
    <w:uiPriority w:val="34"/>
    <w:qFormat/>
    <w:rsid w:val="00FB5E68"/>
    <w:pPr>
      <w:ind w:left="720"/>
    </w:pPr>
    <w:rPr>
      <w:rFonts w:ascii="Calibri" w:eastAsiaTheme="minorHAnsi" w:hAnsi="Calibri" w:cs="Calibri"/>
      <w:lang w:eastAsia="en-AU"/>
    </w:rPr>
  </w:style>
  <w:style w:type="paragraph" w:customStyle="1" w:styleId="Addressee">
    <w:name w:val="Addressee"/>
    <w:rsid w:val="00D72006"/>
    <w:pPr>
      <w:spacing w:line="312" w:lineRule="auto"/>
    </w:pPr>
    <w:rPr>
      <w:rFonts w:ascii="Garamond" w:eastAsia="Times New Roman" w:hAnsi="Garamond"/>
      <w:noProof/>
      <w:sz w:val="24"/>
      <w:lang w:eastAsia="en-US"/>
    </w:rPr>
  </w:style>
  <w:style w:type="paragraph" w:customStyle="1" w:styleId="Default">
    <w:name w:val="Default"/>
    <w:rsid w:val="00AC4F5A"/>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602188"/>
    <w:rPr>
      <w:sz w:val="16"/>
      <w:szCs w:val="16"/>
    </w:rPr>
  </w:style>
  <w:style w:type="paragraph" w:styleId="CommentText">
    <w:name w:val="annotation text"/>
    <w:basedOn w:val="Normal"/>
    <w:link w:val="CommentTextChar"/>
    <w:uiPriority w:val="99"/>
    <w:semiHidden/>
    <w:unhideWhenUsed/>
    <w:rsid w:val="0042243E"/>
    <w:rPr>
      <w:sz w:val="20"/>
      <w:szCs w:val="20"/>
    </w:rPr>
  </w:style>
  <w:style w:type="character" w:customStyle="1" w:styleId="CommentTextChar">
    <w:name w:val="Comment Text Char"/>
    <w:basedOn w:val="DefaultParagraphFont"/>
    <w:link w:val="CommentText"/>
    <w:uiPriority w:val="99"/>
    <w:semiHidden/>
    <w:rsid w:val="0042243E"/>
    <w:rPr>
      <w:rFonts w:ascii="Arial" w:eastAsia="Times New Roman" w:hAnsi="Arial" w:cs="Arial"/>
    </w:rPr>
  </w:style>
  <w:style w:type="paragraph" w:styleId="Revision">
    <w:name w:val="Revision"/>
    <w:hidden/>
    <w:uiPriority w:val="99"/>
    <w:semiHidden/>
    <w:rsid w:val="00873ACA"/>
    <w:rPr>
      <w:rFonts w:ascii="Arial" w:eastAsia="Times New Roman" w:hAnsi="Arial" w:cs="Arial"/>
      <w:sz w:val="16"/>
      <w:szCs w:val="24"/>
    </w:rPr>
  </w:style>
  <w:style w:type="character" w:styleId="FollowedHyperlink">
    <w:name w:val="FollowedHyperlink"/>
    <w:basedOn w:val="DefaultParagraphFont"/>
    <w:uiPriority w:val="99"/>
    <w:semiHidden/>
    <w:unhideWhenUsed/>
    <w:rsid w:val="001666E1"/>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F22EBF"/>
    <w:rPr>
      <w:b/>
      <w:bCs/>
    </w:rPr>
  </w:style>
  <w:style w:type="character" w:customStyle="1" w:styleId="CommentSubjectChar">
    <w:name w:val="Comment Subject Char"/>
    <w:basedOn w:val="CommentTextChar"/>
    <w:link w:val="CommentSubject"/>
    <w:uiPriority w:val="99"/>
    <w:semiHidden/>
    <w:rsid w:val="00F22EBF"/>
    <w:rPr>
      <w:rFonts w:ascii="Arial" w:eastAsia="Times New Roman" w:hAnsi="Arial" w:cs="Arial"/>
      <w:b/>
      <w:bCs/>
    </w:rPr>
  </w:style>
  <w:style w:type="character" w:customStyle="1" w:styleId="Heading4Char">
    <w:name w:val="Heading 4 Char"/>
    <w:basedOn w:val="DefaultParagraphFont"/>
    <w:link w:val="Heading4"/>
    <w:uiPriority w:val="9"/>
    <w:semiHidden/>
    <w:rsid w:val="00C12227"/>
    <w:rPr>
      <w:rFonts w:asciiTheme="majorHAnsi" w:eastAsiaTheme="majorEastAsia" w:hAnsiTheme="majorHAnsi" w:cstheme="majorBidi"/>
      <w:b/>
      <w:bCs/>
      <w:i/>
      <w:iCs/>
      <w:color w:val="4F81BD" w:themeColor="accent1"/>
      <w:sz w:val="16"/>
      <w:szCs w:val="24"/>
    </w:rPr>
  </w:style>
  <w:style w:type="character" w:customStyle="1" w:styleId="BCATextChar">
    <w:name w:val="BCA Text Char"/>
    <w:basedOn w:val="DefaultParagraphFont"/>
    <w:link w:val="BCAText"/>
    <w:locked/>
    <w:rsid w:val="005E3961"/>
    <w:rPr>
      <w:rFonts w:ascii="Arial" w:hAnsi="Arial" w:cs="Arial"/>
    </w:rPr>
  </w:style>
  <w:style w:type="paragraph" w:customStyle="1" w:styleId="BCAText">
    <w:name w:val="BCA Text"/>
    <w:basedOn w:val="Normal"/>
    <w:link w:val="BCATextChar"/>
    <w:rsid w:val="005E3961"/>
    <w:pPr>
      <w:spacing w:before="120" w:after="120" w:line="250" w:lineRule="atLeast"/>
    </w:pPr>
    <w:rPr>
      <w:rFonts w:ascii="Arial" w:eastAsia="Calibri" w:hAnsi="Arial" w:cs="Arial"/>
      <w:sz w:val="20"/>
      <w:szCs w:val="20"/>
      <w:lang w:eastAsia="en-AU"/>
    </w:rPr>
  </w:style>
  <w:style w:type="paragraph" w:customStyle="1" w:styleId="BCAExhibitBullet1">
    <w:name w:val="BCA Exhibit Bullet 1"/>
    <w:basedOn w:val="Normal"/>
    <w:rsid w:val="005E3961"/>
    <w:pPr>
      <w:numPr>
        <w:numId w:val="1"/>
      </w:numPr>
      <w:spacing w:before="60" w:line="250" w:lineRule="atLeast"/>
    </w:pPr>
    <w:rPr>
      <w:rFonts w:ascii="Arial" w:eastAsiaTheme="minorHAnsi" w:hAnsi="Arial" w:cs="Arial"/>
      <w:sz w:val="20"/>
      <w:szCs w:val="20"/>
      <w:lang w:eastAsia="en-AU"/>
    </w:rPr>
  </w:style>
  <w:style w:type="paragraph" w:customStyle="1" w:styleId="BCAExhibitBullet2">
    <w:name w:val="BCA Exhibit Bullet 2"/>
    <w:basedOn w:val="Normal"/>
    <w:rsid w:val="005E3961"/>
    <w:pPr>
      <w:numPr>
        <w:ilvl w:val="1"/>
        <w:numId w:val="1"/>
      </w:numPr>
      <w:spacing w:before="60" w:line="240" w:lineRule="atLeast"/>
    </w:pPr>
    <w:rPr>
      <w:rFonts w:ascii="Arial" w:eastAsiaTheme="minorHAnsi" w:hAnsi="Arial" w:cs="Arial"/>
      <w:sz w:val="20"/>
      <w:szCs w:val="20"/>
      <w:lang w:eastAsia="en-AU"/>
    </w:rPr>
  </w:style>
  <w:style w:type="paragraph" w:styleId="FootnoteText">
    <w:name w:val="footnote text"/>
    <w:basedOn w:val="Normal"/>
    <w:link w:val="FootnoteTextChar"/>
    <w:uiPriority w:val="99"/>
    <w:semiHidden/>
    <w:unhideWhenUsed/>
    <w:rsid w:val="00680F56"/>
    <w:pPr>
      <w:jc w:val="right"/>
    </w:pPr>
    <w:rPr>
      <w:rFonts w:ascii="Arial" w:hAnsi="Arial" w:cs="Arial"/>
      <w:sz w:val="20"/>
      <w:szCs w:val="20"/>
      <w:lang w:eastAsia="en-AU"/>
    </w:rPr>
  </w:style>
  <w:style w:type="character" w:customStyle="1" w:styleId="FootnoteTextChar">
    <w:name w:val="Footnote Text Char"/>
    <w:basedOn w:val="DefaultParagraphFont"/>
    <w:link w:val="FootnoteText"/>
    <w:uiPriority w:val="99"/>
    <w:semiHidden/>
    <w:rsid w:val="00680F56"/>
    <w:rPr>
      <w:rFonts w:ascii="Arial" w:eastAsia="Times New Roman" w:hAnsi="Arial" w:cs="Arial"/>
    </w:rPr>
  </w:style>
  <w:style w:type="character" w:styleId="FootnoteReference">
    <w:name w:val="footnote reference"/>
    <w:basedOn w:val="DefaultParagraphFont"/>
    <w:uiPriority w:val="99"/>
    <w:semiHidden/>
    <w:unhideWhenUsed/>
    <w:rsid w:val="00680F56"/>
    <w:rPr>
      <w:vertAlign w:val="superscript"/>
    </w:rPr>
  </w:style>
  <w:style w:type="character" w:styleId="IntenseEmphasis">
    <w:name w:val="Intense Emphasis"/>
    <w:basedOn w:val="DefaultParagraphFont"/>
    <w:uiPriority w:val="21"/>
    <w:qFormat/>
    <w:rsid w:val="005C09E8"/>
    <w:rPr>
      <w:b/>
      <w:bCs/>
      <w:i/>
      <w:iCs/>
      <w:color w:val="4F81BD" w:themeColor="accent1"/>
    </w:rPr>
  </w:style>
  <w:style w:type="table" w:styleId="TableGrid">
    <w:name w:val="Table Grid"/>
    <w:basedOn w:val="TableNormal"/>
    <w:uiPriority w:val="59"/>
    <w:rsid w:val="00A73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0nh2b">
    <w:name w:val="y0nh2b"/>
    <w:basedOn w:val="DefaultParagraphFont"/>
    <w:rsid w:val="00A738E4"/>
  </w:style>
  <w:style w:type="character" w:customStyle="1" w:styleId="UnresolvedMention1">
    <w:name w:val="Unresolved Mention1"/>
    <w:basedOn w:val="DefaultParagraphFont"/>
    <w:uiPriority w:val="99"/>
    <w:semiHidden/>
    <w:unhideWhenUsed/>
    <w:rsid w:val="00F91085"/>
    <w:rPr>
      <w:color w:val="605E5C"/>
      <w:shd w:val="clear" w:color="auto" w:fill="E1DFDD"/>
    </w:rPr>
  </w:style>
  <w:style w:type="character" w:customStyle="1" w:styleId="UnresolvedMention2">
    <w:name w:val="Unresolved Mention2"/>
    <w:basedOn w:val="DefaultParagraphFont"/>
    <w:uiPriority w:val="99"/>
    <w:semiHidden/>
    <w:unhideWhenUsed/>
    <w:rsid w:val="006E71B7"/>
    <w:rPr>
      <w:color w:val="605E5C"/>
      <w:shd w:val="clear" w:color="auto" w:fill="E1DFDD"/>
    </w:rPr>
  </w:style>
  <w:style w:type="character" w:customStyle="1" w:styleId="Heading2Char">
    <w:name w:val="Heading 2 Char"/>
    <w:basedOn w:val="DefaultParagraphFont"/>
    <w:link w:val="Heading2"/>
    <w:uiPriority w:val="9"/>
    <w:semiHidden/>
    <w:rsid w:val="004B1F52"/>
    <w:rPr>
      <w:rFonts w:asciiTheme="majorHAnsi" w:eastAsiaTheme="majorEastAsia" w:hAnsiTheme="majorHAnsi" w:cstheme="majorBidi"/>
      <w:color w:val="365F91" w:themeColor="accent1" w:themeShade="BF"/>
      <w:sz w:val="26"/>
      <w:szCs w:val="26"/>
      <w:lang w:eastAsia="en-GB"/>
    </w:rPr>
  </w:style>
  <w:style w:type="character" w:customStyle="1" w:styleId="UnresolvedMention3">
    <w:name w:val="Unresolved Mention3"/>
    <w:basedOn w:val="DefaultParagraphFont"/>
    <w:uiPriority w:val="99"/>
    <w:semiHidden/>
    <w:unhideWhenUsed/>
    <w:rsid w:val="00B8198F"/>
    <w:rPr>
      <w:color w:val="605E5C"/>
      <w:shd w:val="clear" w:color="auto" w:fill="E1DFDD"/>
    </w:rPr>
  </w:style>
  <w:style w:type="character" w:customStyle="1" w:styleId="UnresolvedMention4">
    <w:name w:val="Unresolved Mention4"/>
    <w:basedOn w:val="DefaultParagraphFont"/>
    <w:uiPriority w:val="99"/>
    <w:semiHidden/>
    <w:unhideWhenUsed/>
    <w:rsid w:val="004B37AE"/>
    <w:rPr>
      <w:color w:val="605E5C"/>
      <w:shd w:val="clear" w:color="auto" w:fill="E1DFDD"/>
    </w:rPr>
  </w:style>
  <w:style w:type="character" w:customStyle="1" w:styleId="UnresolvedMention5">
    <w:name w:val="Unresolved Mention5"/>
    <w:basedOn w:val="DefaultParagraphFont"/>
    <w:uiPriority w:val="99"/>
    <w:semiHidden/>
    <w:unhideWhenUsed/>
    <w:rsid w:val="00BD7E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862538">
      <w:bodyDiv w:val="1"/>
      <w:marLeft w:val="0"/>
      <w:marRight w:val="0"/>
      <w:marTop w:val="0"/>
      <w:marBottom w:val="0"/>
      <w:divBdr>
        <w:top w:val="none" w:sz="0" w:space="0" w:color="auto"/>
        <w:left w:val="none" w:sz="0" w:space="0" w:color="auto"/>
        <w:bottom w:val="none" w:sz="0" w:space="0" w:color="auto"/>
        <w:right w:val="none" w:sz="0" w:space="0" w:color="auto"/>
      </w:divBdr>
    </w:div>
    <w:div w:id="87972175">
      <w:bodyDiv w:val="1"/>
      <w:marLeft w:val="0"/>
      <w:marRight w:val="0"/>
      <w:marTop w:val="0"/>
      <w:marBottom w:val="0"/>
      <w:divBdr>
        <w:top w:val="none" w:sz="0" w:space="0" w:color="auto"/>
        <w:left w:val="none" w:sz="0" w:space="0" w:color="auto"/>
        <w:bottom w:val="none" w:sz="0" w:space="0" w:color="auto"/>
        <w:right w:val="none" w:sz="0" w:space="0" w:color="auto"/>
      </w:divBdr>
    </w:div>
    <w:div w:id="173806269">
      <w:bodyDiv w:val="1"/>
      <w:marLeft w:val="0"/>
      <w:marRight w:val="0"/>
      <w:marTop w:val="0"/>
      <w:marBottom w:val="0"/>
      <w:divBdr>
        <w:top w:val="none" w:sz="0" w:space="0" w:color="auto"/>
        <w:left w:val="none" w:sz="0" w:space="0" w:color="auto"/>
        <w:bottom w:val="none" w:sz="0" w:space="0" w:color="auto"/>
        <w:right w:val="none" w:sz="0" w:space="0" w:color="auto"/>
      </w:divBdr>
    </w:div>
    <w:div w:id="301666503">
      <w:bodyDiv w:val="1"/>
      <w:marLeft w:val="0"/>
      <w:marRight w:val="0"/>
      <w:marTop w:val="0"/>
      <w:marBottom w:val="0"/>
      <w:divBdr>
        <w:top w:val="none" w:sz="0" w:space="0" w:color="auto"/>
        <w:left w:val="none" w:sz="0" w:space="0" w:color="auto"/>
        <w:bottom w:val="none" w:sz="0" w:space="0" w:color="auto"/>
        <w:right w:val="none" w:sz="0" w:space="0" w:color="auto"/>
      </w:divBdr>
    </w:div>
    <w:div w:id="485783568">
      <w:bodyDiv w:val="1"/>
      <w:marLeft w:val="0"/>
      <w:marRight w:val="0"/>
      <w:marTop w:val="0"/>
      <w:marBottom w:val="0"/>
      <w:divBdr>
        <w:top w:val="none" w:sz="0" w:space="0" w:color="auto"/>
        <w:left w:val="none" w:sz="0" w:space="0" w:color="auto"/>
        <w:bottom w:val="none" w:sz="0" w:space="0" w:color="auto"/>
        <w:right w:val="none" w:sz="0" w:space="0" w:color="auto"/>
      </w:divBdr>
    </w:div>
    <w:div w:id="514922674">
      <w:bodyDiv w:val="1"/>
      <w:marLeft w:val="0"/>
      <w:marRight w:val="0"/>
      <w:marTop w:val="0"/>
      <w:marBottom w:val="0"/>
      <w:divBdr>
        <w:top w:val="none" w:sz="0" w:space="0" w:color="auto"/>
        <w:left w:val="none" w:sz="0" w:space="0" w:color="auto"/>
        <w:bottom w:val="none" w:sz="0" w:space="0" w:color="auto"/>
        <w:right w:val="none" w:sz="0" w:space="0" w:color="auto"/>
      </w:divBdr>
    </w:div>
    <w:div w:id="564488855">
      <w:bodyDiv w:val="1"/>
      <w:marLeft w:val="0"/>
      <w:marRight w:val="0"/>
      <w:marTop w:val="0"/>
      <w:marBottom w:val="0"/>
      <w:divBdr>
        <w:top w:val="none" w:sz="0" w:space="0" w:color="auto"/>
        <w:left w:val="none" w:sz="0" w:space="0" w:color="auto"/>
        <w:bottom w:val="none" w:sz="0" w:space="0" w:color="auto"/>
        <w:right w:val="none" w:sz="0" w:space="0" w:color="auto"/>
      </w:divBdr>
    </w:div>
    <w:div w:id="608321620">
      <w:bodyDiv w:val="1"/>
      <w:marLeft w:val="0"/>
      <w:marRight w:val="0"/>
      <w:marTop w:val="0"/>
      <w:marBottom w:val="0"/>
      <w:divBdr>
        <w:top w:val="none" w:sz="0" w:space="0" w:color="auto"/>
        <w:left w:val="none" w:sz="0" w:space="0" w:color="auto"/>
        <w:bottom w:val="none" w:sz="0" w:space="0" w:color="auto"/>
        <w:right w:val="none" w:sz="0" w:space="0" w:color="auto"/>
      </w:divBdr>
    </w:div>
    <w:div w:id="952588798">
      <w:bodyDiv w:val="1"/>
      <w:marLeft w:val="0"/>
      <w:marRight w:val="0"/>
      <w:marTop w:val="0"/>
      <w:marBottom w:val="0"/>
      <w:divBdr>
        <w:top w:val="none" w:sz="0" w:space="0" w:color="auto"/>
        <w:left w:val="none" w:sz="0" w:space="0" w:color="auto"/>
        <w:bottom w:val="none" w:sz="0" w:space="0" w:color="auto"/>
        <w:right w:val="none" w:sz="0" w:space="0" w:color="auto"/>
      </w:divBdr>
    </w:div>
    <w:div w:id="1050836856">
      <w:bodyDiv w:val="1"/>
      <w:marLeft w:val="0"/>
      <w:marRight w:val="0"/>
      <w:marTop w:val="0"/>
      <w:marBottom w:val="0"/>
      <w:divBdr>
        <w:top w:val="none" w:sz="0" w:space="0" w:color="auto"/>
        <w:left w:val="none" w:sz="0" w:space="0" w:color="auto"/>
        <w:bottom w:val="none" w:sz="0" w:space="0" w:color="auto"/>
        <w:right w:val="none" w:sz="0" w:space="0" w:color="auto"/>
      </w:divBdr>
    </w:div>
    <w:div w:id="1079837353">
      <w:bodyDiv w:val="1"/>
      <w:marLeft w:val="0"/>
      <w:marRight w:val="0"/>
      <w:marTop w:val="0"/>
      <w:marBottom w:val="0"/>
      <w:divBdr>
        <w:top w:val="none" w:sz="0" w:space="0" w:color="auto"/>
        <w:left w:val="none" w:sz="0" w:space="0" w:color="auto"/>
        <w:bottom w:val="none" w:sz="0" w:space="0" w:color="auto"/>
        <w:right w:val="none" w:sz="0" w:space="0" w:color="auto"/>
      </w:divBdr>
    </w:div>
    <w:div w:id="1124621705">
      <w:bodyDiv w:val="1"/>
      <w:marLeft w:val="0"/>
      <w:marRight w:val="0"/>
      <w:marTop w:val="0"/>
      <w:marBottom w:val="0"/>
      <w:divBdr>
        <w:top w:val="none" w:sz="0" w:space="0" w:color="auto"/>
        <w:left w:val="none" w:sz="0" w:space="0" w:color="auto"/>
        <w:bottom w:val="none" w:sz="0" w:space="0" w:color="auto"/>
        <w:right w:val="none" w:sz="0" w:space="0" w:color="auto"/>
      </w:divBdr>
    </w:div>
    <w:div w:id="1354573886">
      <w:bodyDiv w:val="1"/>
      <w:marLeft w:val="0"/>
      <w:marRight w:val="0"/>
      <w:marTop w:val="0"/>
      <w:marBottom w:val="0"/>
      <w:divBdr>
        <w:top w:val="none" w:sz="0" w:space="0" w:color="auto"/>
        <w:left w:val="none" w:sz="0" w:space="0" w:color="auto"/>
        <w:bottom w:val="none" w:sz="0" w:space="0" w:color="auto"/>
        <w:right w:val="none" w:sz="0" w:space="0" w:color="auto"/>
      </w:divBdr>
    </w:div>
    <w:div w:id="1595749484">
      <w:bodyDiv w:val="1"/>
      <w:marLeft w:val="0"/>
      <w:marRight w:val="0"/>
      <w:marTop w:val="0"/>
      <w:marBottom w:val="0"/>
      <w:divBdr>
        <w:top w:val="none" w:sz="0" w:space="0" w:color="auto"/>
        <w:left w:val="none" w:sz="0" w:space="0" w:color="auto"/>
        <w:bottom w:val="none" w:sz="0" w:space="0" w:color="auto"/>
        <w:right w:val="none" w:sz="0" w:space="0" w:color="auto"/>
      </w:divBdr>
    </w:div>
    <w:div w:id="1607732778">
      <w:bodyDiv w:val="1"/>
      <w:marLeft w:val="0"/>
      <w:marRight w:val="0"/>
      <w:marTop w:val="0"/>
      <w:marBottom w:val="0"/>
      <w:divBdr>
        <w:top w:val="none" w:sz="0" w:space="0" w:color="auto"/>
        <w:left w:val="none" w:sz="0" w:space="0" w:color="auto"/>
        <w:bottom w:val="none" w:sz="0" w:space="0" w:color="auto"/>
        <w:right w:val="none" w:sz="0" w:space="0" w:color="auto"/>
      </w:divBdr>
    </w:div>
    <w:div w:id="1628855991">
      <w:bodyDiv w:val="1"/>
      <w:marLeft w:val="0"/>
      <w:marRight w:val="0"/>
      <w:marTop w:val="0"/>
      <w:marBottom w:val="0"/>
      <w:divBdr>
        <w:top w:val="none" w:sz="0" w:space="0" w:color="auto"/>
        <w:left w:val="none" w:sz="0" w:space="0" w:color="auto"/>
        <w:bottom w:val="none" w:sz="0" w:space="0" w:color="auto"/>
        <w:right w:val="none" w:sz="0" w:space="0" w:color="auto"/>
      </w:divBdr>
    </w:div>
    <w:div w:id="2072850559">
      <w:bodyDiv w:val="1"/>
      <w:marLeft w:val="0"/>
      <w:marRight w:val="0"/>
      <w:marTop w:val="0"/>
      <w:marBottom w:val="0"/>
      <w:divBdr>
        <w:top w:val="none" w:sz="0" w:space="0" w:color="auto"/>
        <w:left w:val="none" w:sz="0" w:space="0" w:color="auto"/>
        <w:bottom w:val="none" w:sz="0" w:space="0" w:color="auto"/>
        <w:right w:val="none" w:sz="0" w:space="0" w:color="auto"/>
      </w:divBdr>
    </w:div>
    <w:div w:id="2082366507">
      <w:bodyDiv w:val="1"/>
      <w:marLeft w:val="0"/>
      <w:marRight w:val="0"/>
      <w:marTop w:val="0"/>
      <w:marBottom w:val="0"/>
      <w:divBdr>
        <w:top w:val="none" w:sz="0" w:space="0" w:color="auto"/>
        <w:left w:val="none" w:sz="0" w:space="0" w:color="auto"/>
        <w:bottom w:val="none" w:sz="0" w:space="0" w:color="auto"/>
        <w:right w:val="none" w:sz="0" w:space="0" w:color="auto"/>
      </w:divBdr>
    </w:div>
    <w:div w:id="213898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aluminium.org.a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aluminium.org.a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mailto:marghanita.johnson@aluminium.org.a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esb.org.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9208F-7EB0-45BB-A5B1-96B1BA996B3D}">
  <ds:schemaRefs>
    <ds:schemaRef ds:uri="http://schemas.openxmlformats.org/officeDocument/2006/bibliography"/>
  </ds:schemaRefs>
</ds:datastoreItem>
</file>

<file path=customXml/itemProps2.xml><?xml version="1.0" encoding="utf-8"?>
<ds:datastoreItem xmlns:ds="http://schemas.openxmlformats.org/officeDocument/2006/customXml" ds:itemID="{8323A8F2-5B25-42FC-A680-740B4BD30D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F0FCC5-DF1F-4780-B20E-61EF356DD12A}">
  <ds:schemaRefs>
    <ds:schemaRef ds:uri="http://schemas.microsoft.com/sharepoint/v3/contenttype/forms"/>
  </ds:schemaRefs>
</ds:datastoreItem>
</file>

<file path=customXml/itemProps4.xml><?xml version="1.0" encoding="utf-8"?>
<ds:datastoreItem xmlns:ds="http://schemas.openxmlformats.org/officeDocument/2006/customXml" ds:itemID="{80CC174D-3CAE-45C7-A42A-E8E8041D2A09}"/>
</file>

<file path=docProps/app.xml><?xml version="1.0" encoding="utf-8"?>
<Properties xmlns="http://schemas.openxmlformats.org/officeDocument/2006/extended-properties" xmlns:vt="http://schemas.openxmlformats.org/officeDocument/2006/docPropsVTypes">
  <Template>Normal</Template>
  <TotalTime>3</TotalTime>
  <Pages>3</Pages>
  <Words>1407</Words>
  <Characters>8023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9412</CharactersWithSpaces>
  <SharedDoc>false</SharedDoc>
  <HLinks>
    <vt:vector size="6" baseType="variant">
      <vt:variant>
        <vt:i4>3145819</vt:i4>
      </vt:variant>
      <vt:variant>
        <vt:i4>0</vt:i4>
      </vt:variant>
      <vt:variant>
        <vt:i4>0</vt:i4>
      </vt:variant>
      <vt:variant>
        <vt:i4>5</vt:i4>
      </vt:variant>
      <vt:variant>
        <vt:lpwstr>mailto:info@aluminium.org.au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Rosanna Boyd</dc:creator>
  <cp:lastModifiedBy>Marghanita Johnson</cp:lastModifiedBy>
  <cp:revision>3</cp:revision>
  <cp:lastPrinted>2014-04-28T00:24:00Z</cp:lastPrinted>
  <dcterms:created xsi:type="dcterms:W3CDTF">2021-02-11T01:24:00Z</dcterms:created>
  <dcterms:modified xsi:type="dcterms:W3CDTF">2021-02-11T01:26:00Z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