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E464AC" w14:textId="54359400" w:rsidR="00057081" w:rsidRPr="009C2337" w:rsidRDefault="00D263FB" w:rsidP="009C2337">
      <w:pPr>
        <w:rPr>
          <w:rFonts w:ascii="Arial" w:hAnsi="Arial" w:cs="Arial"/>
          <w:b/>
          <w:bCs/>
        </w:rPr>
      </w:pPr>
      <w:r>
        <w:rPr>
          <w:rFonts w:ascii="Arial" w:eastAsia="Times New Roman" w:hAnsi="Arial" w:cs="Arial"/>
          <w:b/>
          <w:vanish/>
          <w:color w:val="000000"/>
          <w:lang w:val="en" w:eastAsia="en-AU"/>
        </w:rPr>
        <w:t xml:space="preserve">CONSULTATION GUIDE - </w:t>
      </w:r>
      <w:r w:rsidRPr="009C2337">
        <w:rPr>
          <w:rFonts w:ascii="Arial" w:eastAsia="Times New Roman" w:hAnsi="Arial" w:cs="Arial"/>
          <w:b/>
          <w:vanish/>
          <w:color w:val="000000"/>
          <w:lang w:val="en" w:eastAsia="en-AU"/>
        </w:rPr>
        <w:t xml:space="preserve">REFORM OF THE </w:t>
      </w:r>
      <w:r>
        <w:rPr>
          <w:rFonts w:ascii="Arial" w:eastAsia="Times New Roman" w:hAnsi="Arial" w:cs="Arial"/>
          <w:b/>
          <w:vanish/>
          <w:color w:val="000000"/>
          <w:lang w:val="en" w:eastAsia="en-AU"/>
        </w:rPr>
        <w:t>A</w:t>
      </w:r>
      <w:r w:rsidR="000F7713">
        <w:rPr>
          <w:rFonts w:ascii="Arial" w:eastAsia="Times New Roman" w:hAnsi="Arial" w:cs="Arial"/>
          <w:b/>
          <w:vanish/>
          <w:color w:val="000000"/>
          <w:lang w:val="en" w:eastAsia="en-AU"/>
        </w:rPr>
        <w:t xml:space="preserve">USTRALIAN </w:t>
      </w:r>
      <w:r>
        <w:rPr>
          <w:rFonts w:ascii="Arial" w:eastAsia="Times New Roman" w:hAnsi="Arial" w:cs="Arial"/>
          <w:b/>
          <w:vanish/>
          <w:color w:val="000000"/>
          <w:lang w:val="en" w:eastAsia="en-AU"/>
        </w:rPr>
        <w:t>E</w:t>
      </w:r>
      <w:r w:rsidR="000F7713">
        <w:rPr>
          <w:rFonts w:ascii="Arial" w:eastAsia="Times New Roman" w:hAnsi="Arial" w:cs="Arial"/>
          <w:b/>
          <w:vanish/>
          <w:color w:val="000000"/>
          <w:lang w:val="en" w:eastAsia="en-AU"/>
        </w:rPr>
        <w:t xml:space="preserve">NERGY </w:t>
      </w:r>
      <w:r>
        <w:rPr>
          <w:rFonts w:ascii="Arial" w:eastAsia="Times New Roman" w:hAnsi="Arial" w:cs="Arial"/>
          <w:b/>
          <w:vanish/>
          <w:color w:val="000000"/>
          <w:lang w:val="en" w:eastAsia="en-AU"/>
        </w:rPr>
        <w:t>R</w:t>
      </w:r>
      <w:r w:rsidR="000F7713">
        <w:rPr>
          <w:rFonts w:ascii="Arial" w:eastAsia="Times New Roman" w:hAnsi="Arial" w:cs="Arial"/>
          <w:b/>
          <w:vanish/>
          <w:color w:val="000000"/>
          <w:lang w:val="en" w:eastAsia="en-AU"/>
        </w:rPr>
        <w:t>EGULATOR</w:t>
      </w:r>
      <w:r>
        <w:rPr>
          <w:rFonts w:ascii="Arial" w:eastAsia="Times New Roman" w:hAnsi="Arial" w:cs="Arial"/>
          <w:b/>
          <w:vanish/>
          <w:color w:val="000000"/>
          <w:lang w:val="en" w:eastAsia="en-AU"/>
        </w:rPr>
        <w:t xml:space="preserve"> </w:t>
      </w:r>
      <w:r w:rsidRPr="009C2337">
        <w:rPr>
          <w:rFonts w:ascii="Arial" w:eastAsia="Times New Roman" w:hAnsi="Arial" w:cs="Arial"/>
          <w:b/>
          <w:vanish/>
          <w:color w:val="000000"/>
          <w:lang w:val="en" w:eastAsia="en-AU"/>
        </w:rPr>
        <w:t>CIVIL PENALTY REGIME.</w:t>
      </w:r>
      <w:r w:rsidRPr="009C2337">
        <w:rPr>
          <w:rFonts w:ascii="Arial" w:hAnsi="Arial" w:cs="Arial"/>
          <w:b/>
          <w:bCs/>
        </w:rPr>
        <w:t xml:space="preserve"> </w:t>
      </w:r>
    </w:p>
    <w:p w14:paraId="50E464AD" w14:textId="77777777" w:rsidR="00057081" w:rsidRPr="006647C6" w:rsidRDefault="00057081" w:rsidP="00057081">
      <w:pPr>
        <w:rPr>
          <w:rFonts w:ascii="Arial" w:hAnsi="Arial" w:cs="Arial"/>
        </w:rPr>
      </w:pPr>
    </w:p>
    <w:p w14:paraId="0E6156B8" w14:textId="7526F186" w:rsidR="003C26D9" w:rsidRPr="009C2337" w:rsidRDefault="003C26D9" w:rsidP="009C2337">
      <w:pPr>
        <w:pStyle w:val="ListParagraph"/>
        <w:numPr>
          <w:ilvl w:val="0"/>
          <w:numId w:val="11"/>
        </w:numPr>
        <w:tabs>
          <w:tab w:val="left" w:pos="340"/>
        </w:tabs>
        <w:spacing w:before="120" w:after="160" w:line="259" w:lineRule="auto"/>
        <w:rPr>
          <w:rFonts w:ascii="Arial" w:eastAsia="Arial" w:hAnsi="Arial" w:cs="Arial"/>
          <w:b/>
        </w:rPr>
      </w:pPr>
      <w:r w:rsidRPr="009C2337">
        <w:rPr>
          <w:rFonts w:ascii="Arial" w:eastAsia="Arial" w:hAnsi="Arial" w:cs="Arial"/>
          <w:b/>
        </w:rPr>
        <w:t>OVERVIEW</w:t>
      </w:r>
    </w:p>
    <w:p w14:paraId="69B59246" w14:textId="51EDB4DB" w:rsidR="005D4AFA" w:rsidRPr="006647C6" w:rsidRDefault="003A0A53" w:rsidP="005D4AFA">
      <w:pPr>
        <w:tabs>
          <w:tab w:val="left" w:pos="340"/>
        </w:tabs>
        <w:spacing w:before="120" w:after="160" w:line="259" w:lineRule="auto"/>
        <w:rPr>
          <w:rFonts w:ascii="Arial" w:eastAsia="Arial" w:hAnsi="Arial" w:cs="Arial"/>
        </w:rPr>
      </w:pPr>
      <w:r>
        <w:rPr>
          <w:rFonts w:ascii="Arial" w:eastAsia="Arial" w:hAnsi="Arial" w:cs="Arial"/>
        </w:rPr>
        <w:t>The</w:t>
      </w:r>
      <w:r w:rsidR="005D4AFA" w:rsidRPr="006647C6">
        <w:rPr>
          <w:rFonts w:ascii="Arial" w:eastAsia="Arial" w:hAnsi="Arial" w:cs="Arial"/>
        </w:rPr>
        <w:t xml:space="preserve"> </w:t>
      </w:r>
      <w:hyperlink r:id="rId13" w:history="1">
        <w:r w:rsidR="005D4AFA" w:rsidRPr="004D415D">
          <w:rPr>
            <w:rStyle w:val="Hyperlink"/>
            <w:rFonts w:ascii="Arial" w:eastAsia="Arial" w:hAnsi="Arial" w:cs="Arial"/>
            <w:i/>
          </w:rPr>
          <w:t>Statutes Amendment (National Energy Laws) (</w:t>
        </w:r>
        <w:r w:rsidR="0021627A">
          <w:rPr>
            <w:rStyle w:val="Hyperlink"/>
            <w:rFonts w:ascii="Arial" w:eastAsia="Arial" w:hAnsi="Arial" w:cs="Arial"/>
            <w:i/>
          </w:rPr>
          <w:t>Penalties and Enforcement) Bill</w:t>
        </w:r>
        <w:r w:rsidR="005D4AFA" w:rsidRPr="004D415D">
          <w:rPr>
            <w:rStyle w:val="Hyperlink"/>
            <w:rFonts w:ascii="Arial" w:eastAsia="Arial" w:hAnsi="Arial" w:cs="Arial"/>
            <w:i/>
          </w:rPr>
          <w:t xml:space="preserve"> 2020</w:t>
        </w:r>
      </w:hyperlink>
      <w:r w:rsidR="005D4AFA" w:rsidRPr="006647C6">
        <w:rPr>
          <w:rFonts w:ascii="Arial" w:eastAsia="Arial" w:hAnsi="Arial" w:cs="Arial"/>
        </w:rPr>
        <w:t xml:space="preserve"> </w:t>
      </w:r>
      <w:r>
        <w:rPr>
          <w:rFonts w:ascii="Arial" w:eastAsia="Arial" w:hAnsi="Arial" w:cs="Arial"/>
        </w:rPr>
        <w:t xml:space="preserve">(the Bill), </w:t>
      </w:r>
      <w:r>
        <w:rPr>
          <w:rFonts w:ascii="Arial" w:eastAsia="Arial" w:hAnsi="Arial" w:cs="Arial"/>
          <w:sz w:val="24"/>
          <w:szCs w:val="24"/>
        </w:rPr>
        <w:t xml:space="preserve">agreed to by the Energy Ministers on 20 March 2020, </w:t>
      </w:r>
      <w:r w:rsidR="00920441">
        <w:rPr>
          <w:rFonts w:ascii="Arial" w:eastAsia="Arial" w:hAnsi="Arial" w:cs="Arial"/>
        </w:rPr>
        <w:t>is</w:t>
      </w:r>
      <w:r w:rsidR="005D4AFA" w:rsidRPr="006647C6">
        <w:rPr>
          <w:rFonts w:ascii="Arial" w:eastAsia="Arial" w:hAnsi="Arial" w:cs="Arial"/>
        </w:rPr>
        <w:t xml:space="preserve"> an i</w:t>
      </w:r>
      <w:r w:rsidR="00920441">
        <w:rPr>
          <w:rFonts w:ascii="Arial" w:eastAsia="Arial" w:hAnsi="Arial" w:cs="Arial"/>
        </w:rPr>
        <w:t>mportant step in the reform of energy p</w:t>
      </w:r>
      <w:r w:rsidR="005D4AFA" w:rsidRPr="006647C6">
        <w:rPr>
          <w:rFonts w:ascii="Arial" w:eastAsia="Arial" w:hAnsi="Arial" w:cs="Arial"/>
        </w:rPr>
        <w:t>olicy.</w:t>
      </w:r>
      <w:r w:rsidR="00920441">
        <w:rPr>
          <w:rFonts w:ascii="Arial" w:eastAsia="Arial" w:hAnsi="Arial" w:cs="Arial"/>
        </w:rPr>
        <w:t xml:space="preserve"> The Bill is currently with the South Australian Parliament awaiting passage. </w:t>
      </w:r>
    </w:p>
    <w:p w14:paraId="75B97678" w14:textId="7D2B3C75" w:rsidR="005D4AFA" w:rsidRPr="006647C6" w:rsidRDefault="00973C57" w:rsidP="005D4AFA">
      <w:pPr>
        <w:tabs>
          <w:tab w:val="left" w:pos="340"/>
        </w:tabs>
        <w:spacing w:before="120" w:after="160" w:line="259" w:lineRule="auto"/>
        <w:rPr>
          <w:rFonts w:ascii="Arial" w:eastAsia="Arial" w:hAnsi="Arial" w:cs="Arial"/>
        </w:rPr>
      </w:pPr>
      <w:r w:rsidRPr="006647C6">
        <w:rPr>
          <w:rFonts w:ascii="Arial" w:eastAsia="Arial" w:hAnsi="Arial" w:cs="Arial"/>
        </w:rPr>
        <w:t>T</w:t>
      </w:r>
      <w:r w:rsidR="005D4AFA" w:rsidRPr="006647C6">
        <w:rPr>
          <w:rFonts w:ascii="Arial" w:eastAsia="Arial" w:hAnsi="Arial" w:cs="Arial"/>
        </w:rPr>
        <w:t xml:space="preserve">he </w:t>
      </w:r>
      <w:r w:rsidR="0021627A" w:rsidRPr="0021627A">
        <w:rPr>
          <w:rFonts w:ascii="Arial" w:eastAsia="Arial" w:hAnsi="Arial" w:cs="Arial"/>
        </w:rPr>
        <w:t>Bill</w:t>
      </w:r>
      <w:r w:rsidR="005D4AFA" w:rsidRPr="006647C6">
        <w:rPr>
          <w:rFonts w:ascii="Arial" w:eastAsia="Arial" w:hAnsi="Arial" w:cs="Arial"/>
        </w:rPr>
        <w:t xml:space="preserve"> </w:t>
      </w:r>
      <w:r w:rsidR="0021627A">
        <w:rPr>
          <w:rFonts w:ascii="Arial" w:eastAsia="Arial" w:hAnsi="Arial" w:cs="Arial"/>
        </w:rPr>
        <w:t xml:space="preserve">will </w:t>
      </w:r>
      <w:r w:rsidR="005D4AFA" w:rsidRPr="006647C6">
        <w:rPr>
          <w:rFonts w:ascii="Arial" w:eastAsia="Arial" w:hAnsi="Arial" w:cs="Arial"/>
        </w:rPr>
        <w:t>amend the National Electricity Law, National Gas Law and National Energy Retail Law to provide for increased civil penalties through the implementation of a three tier penalty structure.</w:t>
      </w:r>
    </w:p>
    <w:p w14:paraId="3CA46A3E" w14:textId="5496E889" w:rsidR="00973C57" w:rsidRPr="006647C6" w:rsidRDefault="00B24B4E" w:rsidP="005D4AFA">
      <w:pPr>
        <w:tabs>
          <w:tab w:val="left" w:pos="340"/>
        </w:tabs>
        <w:spacing w:before="120" w:after="160" w:line="259" w:lineRule="auto"/>
        <w:rPr>
          <w:rFonts w:ascii="Arial" w:eastAsia="Arial" w:hAnsi="Arial" w:cs="Arial"/>
        </w:rPr>
      </w:pPr>
      <w:r w:rsidRPr="006647C6">
        <w:rPr>
          <w:rFonts w:ascii="Arial" w:eastAsia="Arial" w:hAnsi="Arial" w:cs="Arial"/>
        </w:rPr>
        <w:t xml:space="preserve">Through reforming the Australian Energy Regulator’s </w:t>
      </w:r>
      <w:r w:rsidR="009B0C84" w:rsidRPr="006647C6">
        <w:rPr>
          <w:rFonts w:ascii="Arial" w:eastAsia="Arial" w:hAnsi="Arial" w:cs="Arial"/>
        </w:rPr>
        <w:t xml:space="preserve">civil penalty regime and </w:t>
      </w:r>
      <w:r w:rsidRPr="006647C6">
        <w:rPr>
          <w:rFonts w:ascii="Arial" w:eastAsia="Arial" w:hAnsi="Arial" w:cs="Arial"/>
        </w:rPr>
        <w:t xml:space="preserve">powers, the </w:t>
      </w:r>
      <w:r w:rsidR="009E36A5">
        <w:rPr>
          <w:rFonts w:ascii="Arial" w:eastAsia="Arial" w:hAnsi="Arial" w:cs="Arial"/>
        </w:rPr>
        <w:t xml:space="preserve">Commonwealth, State and Territory </w:t>
      </w:r>
      <w:r w:rsidRPr="006647C6">
        <w:rPr>
          <w:rFonts w:ascii="Arial" w:eastAsia="Arial" w:hAnsi="Arial" w:cs="Arial"/>
        </w:rPr>
        <w:t>Government</w:t>
      </w:r>
      <w:r w:rsidR="009E36A5">
        <w:rPr>
          <w:rFonts w:ascii="Arial" w:eastAsia="Arial" w:hAnsi="Arial" w:cs="Arial"/>
        </w:rPr>
        <w:t>s</w:t>
      </w:r>
      <w:r w:rsidRPr="006647C6">
        <w:rPr>
          <w:rFonts w:ascii="Arial" w:eastAsia="Arial" w:hAnsi="Arial" w:cs="Arial"/>
        </w:rPr>
        <w:t xml:space="preserve"> </w:t>
      </w:r>
      <w:r w:rsidR="009E36A5">
        <w:rPr>
          <w:rFonts w:ascii="Arial" w:eastAsia="Arial" w:hAnsi="Arial" w:cs="Arial"/>
        </w:rPr>
        <w:t>are</w:t>
      </w:r>
      <w:r w:rsidRPr="006647C6">
        <w:rPr>
          <w:rFonts w:ascii="Arial" w:eastAsia="Arial" w:hAnsi="Arial" w:cs="Arial"/>
        </w:rPr>
        <w:t xml:space="preserve"> sending a clear message to all Australian households, businesses and industries</w:t>
      </w:r>
      <w:r w:rsidR="00973C57" w:rsidRPr="006647C6">
        <w:rPr>
          <w:rFonts w:ascii="Arial" w:eastAsia="Arial" w:hAnsi="Arial" w:cs="Arial"/>
        </w:rPr>
        <w:t xml:space="preserve">. That is, as </w:t>
      </w:r>
      <w:r w:rsidRPr="006647C6">
        <w:rPr>
          <w:rFonts w:ascii="Arial" w:eastAsia="Arial" w:hAnsi="Arial" w:cs="Arial"/>
        </w:rPr>
        <w:t>the energy industry continues to evolve so too will the enforcement regime that underpins it.</w:t>
      </w:r>
      <w:r w:rsidRPr="006647C6">
        <w:rPr>
          <w:rFonts w:ascii="Arial" w:eastAsia="Arial" w:hAnsi="Arial" w:cs="Arial"/>
          <w:vertAlign w:val="superscript"/>
        </w:rPr>
        <w:footnoteReference w:id="1"/>
      </w:r>
      <w:r w:rsidR="009B0C84" w:rsidRPr="006647C6">
        <w:rPr>
          <w:rFonts w:ascii="Arial" w:eastAsia="Arial" w:hAnsi="Arial" w:cs="Arial"/>
        </w:rPr>
        <w:t xml:space="preserve"> </w:t>
      </w:r>
    </w:p>
    <w:p w14:paraId="6702E123" w14:textId="61B19F4B" w:rsidR="005D4AFA" w:rsidRPr="006647C6" w:rsidRDefault="00973C57" w:rsidP="005D4AFA">
      <w:pPr>
        <w:tabs>
          <w:tab w:val="left" w:pos="340"/>
        </w:tabs>
        <w:spacing w:before="120" w:after="160" w:line="259" w:lineRule="auto"/>
        <w:rPr>
          <w:rFonts w:ascii="Arial" w:eastAsia="Arial" w:hAnsi="Arial" w:cs="Arial"/>
        </w:rPr>
      </w:pPr>
      <w:r w:rsidRPr="006647C6">
        <w:rPr>
          <w:rFonts w:ascii="Arial" w:eastAsia="Arial" w:hAnsi="Arial" w:cs="Arial"/>
        </w:rPr>
        <w:t xml:space="preserve">A </w:t>
      </w:r>
      <w:r w:rsidR="005D4AFA" w:rsidRPr="006647C6">
        <w:rPr>
          <w:rFonts w:ascii="Arial" w:eastAsia="Arial" w:hAnsi="Arial" w:cs="Arial"/>
        </w:rPr>
        <w:t>more flexible and s</w:t>
      </w:r>
      <w:r w:rsidR="00516702">
        <w:rPr>
          <w:rFonts w:ascii="Arial" w:eastAsia="Arial" w:hAnsi="Arial" w:cs="Arial"/>
        </w:rPr>
        <w:t>ophisticated penalty regime</w:t>
      </w:r>
      <w:r w:rsidR="005D4AFA" w:rsidRPr="006647C6">
        <w:rPr>
          <w:rFonts w:ascii="Arial" w:eastAsia="Arial" w:hAnsi="Arial" w:cs="Arial"/>
        </w:rPr>
        <w:t xml:space="preserve"> akin to that of the Australian Consumer Law</w:t>
      </w:r>
      <w:r w:rsidR="00516702">
        <w:rPr>
          <w:rFonts w:ascii="Arial" w:eastAsia="Arial" w:hAnsi="Arial" w:cs="Arial"/>
        </w:rPr>
        <w:t>,</w:t>
      </w:r>
      <w:r w:rsidR="0021627A">
        <w:rPr>
          <w:rFonts w:ascii="Arial" w:eastAsia="Arial" w:hAnsi="Arial" w:cs="Arial"/>
        </w:rPr>
        <w:t xml:space="preserve"> is being established. I</w:t>
      </w:r>
      <w:r w:rsidR="005D4AFA" w:rsidRPr="006647C6">
        <w:rPr>
          <w:rFonts w:ascii="Arial" w:eastAsia="Arial" w:hAnsi="Arial" w:cs="Arial"/>
        </w:rPr>
        <w:t>ncreasing the maximum penalties and providing for periodic indexation of those penalties</w:t>
      </w:r>
      <w:r w:rsidR="0021627A">
        <w:rPr>
          <w:rFonts w:ascii="Arial" w:eastAsia="Arial" w:hAnsi="Arial" w:cs="Arial"/>
        </w:rPr>
        <w:t>,</w:t>
      </w:r>
      <w:r w:rsidRPr="006647C6">
        <w:rPr>
          <w:rFonts w:ascii="Arial" w:eastAsia="Arial" w:hAnsi="Arial" w:cs="Arial"/>
        </w:rPr>
        <w:t xml:space="preserve"> will strengthen and expand </w:t>
      </w:r>
      <w:r w:rsidR="005D4AFA" w:rsidRPr="006647C6">
        <w:rPr>
          <w:rFonts w:ascii="Arial" w:eastAsia="Arial" w:hAnsi="Arial" w:cs="Arial"/>
        </w:rPr>
        <w:t>the legal tools available to the Australian Energy Regulator to carry out its role</w:t>
      </w:r>
      <w:r w:rsidRPr="006647C6">
        <w:rPr>
          <w:rFonts w:ascii="Arial" w:eastAsia="Arial" w:hAnsi="Arial" w:cs="Arial"/>
        </w:rPr>
        <w:t>.</w:t>
      </w:r>
      <w:r w:rsidR="005D4AFA" w:rsidRPr="006647C6">
        <w:rPr>
          <w:rFonts w:ascii="Arial" w:eastAsia="Arial" w:hAnsi="Arial" w:cs="Arial"/>
        </w:rPr>
        <w:t xml:space="preserve"> </w:t>
      </w:r>
    </w:p>
    <w:p w14:paraId="7483EC2E" w14:textId="6A6FFCF0" w:rsidR="005D4AFA" w:rsidRPr="006647C6" w:rsidRDefault="005D4AFA" w:rsidP="005D4AFA">
      <w:pPr>
        <w:spacing w:after="160" w:line="259" w:lineRule="auto"/>
        <w:rPr>
          <w:rFonts w:ascii="Arial" w:eastAsia="Arial" w:hAnsi="Arial" w:cs="Arial"/>
        </w:rPr>
      </w:pPr>
      <w:r w:rsidRPr="006647C6">
        <w:rPr>
          <w:rFonts w:ascii="Arial" w:eastAsia="Arial" w:hAnsi="Arial" w:cs="Arial"/>
        </w:rPr>
        <w:t>Courts have consistently indicated that the overarching purpose of a civil penalty regime is to promote the public interest in compliance with the law</w:t>
      </w:r>
      <w:r w:rsidR="00973C57" w:rsidRPr="006647C6">
        <w:rPr>
          <w:rFonts w:ascii="Arial" w:eastAsia="Arial" w:hAnsi="Arial" w:cs="Arial"/>
        </w:rPr>
        <w:t>. This is achieved t</w:t>
      </w:r>
      <w:r w:rsidRPr="006647C6">
        <w:rPr>
          <w:rFonts w:ascii="Arial" w:eastAsia="Arial" w:hAnsi="Arial" w:cs="Arial"/>
        </w:rPr>
        <w:t>hrough the imposition of penalties which are sufficient to deter contravening behaviour. The three tier penalty structure is designed to achieve this purpose</w:t>
      </w:r>
      <w:r w:rsidR="009C2337">
        <w:rPr>
          <w:rFonts w:ascii="Arial" w:eastAsia="Arial" w:hAnsi="Arial" w:cs="Arial"/>
        </w:rPr>
        <w:t xml:space="preserve"> by </w:t>
      </w:r>
      <w:r w:rsidR="00973C57" w:rsidRPr="006647C6">
        <w:rPr>
          <w:rFonts w:ascii="Arial" w:eastAsia="Arial" w:hAnsi="Arial" w:cs="Arial"/>
        </w:rPr>
        <w:t>mak</w:t>
      </w:r>
      <w:r w:rsidR="009C2337">
        <w:rPr>
          <w:rFonts w:ascii="Arial" w:eastAsia="Arial" w:hAnsi="Arial" w:cs="Arial"/>
        </w:rPr>
        <w:t>ing</w:t>
      </w:r>
      <w:r w:rsidR="00973C57" w:rsidRPr="006647C6">
        <w:rPr>
          <w:rFonts w:ascii="Arial" w:eastAsia="Arial" w:hAnsi="Arial" w:cs="Arial"/>
        </w:rPr>
        <w:t xml:space="preserve"> </w:t>
      </w:r>
      <w:r w:rsidRPr="006647C6">
        <w:rPr>
          <w:rFonts w:ascii="Arial" w:eastAsia="Arial" w:hAnsi="Arial" w:cs="Arial"/>
        </w:rPr>
        <w:t>available maximum penalties for civil penalty provisions</w:t>
      </w:r>
      <w:r w:rsidR="00973C57" w:rsidRPr="006647C6">
        <w:rPr>
          <w:rFonts w:ascii="Arial" w:eastAsia="Arial" w:hAnsi="Arial" w:cs="Arial"/>
        </w:rPr>
        <w:t xml:space="preserve">. These </w:t>
      </w:r>
      <w:r w:rsidRPr="006647C6">
        <w:rPr>
          <w:rFonts w:ascii="Arial" w:eastAsia="Arial" w:hAnsi="Arial" w:cs="Arial"/>
        </w:rPr>
        <w:t>are sufficient to promote compliance with the law, and strik</w:t>
      </w:r>
      <w:r w:rsidR="00973C57" w:rsidRPr="006647C6">
        <w:rPr>
          <w:rFonts w:ascii="Arial" w:eastAsia="Arial" w:hAnsi="Arial" w:cs="Arial"/>
        </w:rPr>
        <w:t xml:space="preserve">e </w:t>
      </w:r>
      <w:r w:rsidRPr="006647C6">
        <w:rPr>
          <w:rFonts w:ascii="Arial" w:eastAsia="Arial" w:hAnsi="Arial" w:cs="Arial"/>
        </w:rPr>
        <w:t xml:space="preserve">a balance between the following: </w:t>
      </w:r>
    </w:p>
    <w:p w14:paraId="04089335" w14:textId="77777777" w:rsidR="005D4AFA" w:rsidRPr="006647C6" w:rsidRDefault="005D4AFA" w:rsidP="005D4AFA">
      <w:pPr>
        <w:numPr>
          <w:ilvl w:val="0"/>
          <w:numId w:val="8"/>
        </w:numPr>
        <w:spacing w:after="160" w:line="259" w:lineRule="auto"/>
        <w:contextualSpacing/>
        <w:rPr>
          <w:rFonts w:ascii="Arial" w:eastAsia="Arial" w:hAnsi="Arial" w:cs="Arial"/>
        </w:rPr>
      </w:pPr>
      <w:r w:rsidRPr="006647C6">
        <w:rPr>
          <w:rFonts w:ascii="Arial" w:eastAsia="Arial" w:hAnsi="Arial" w:cs="Arial"/>
        </w:rPr>
        <w:t xml:space="preserve">the National Energy Objectives; </w:t>
      </w:r>
    </w:p>
    <w:p w14:paraId="5803FA58" w14:textId="477E0E76" w:rsidR="005D4AFA" w:rsidRPr="006647C6" w:rsidRDefault="005D4AFA" w:rsidP="005D4AFA">
      <w:pPr>
        <w:numPr>
          <w:ilvl w:val="0"/>
          <w:numId w:val="8"/>
        </w:numPr>
        <w:spacing w:after="160" w:line="259" w:lineRule="auto"/>
        <w:contextualSpacing/>
        <w:rPr>
          <w:rFonts w:ascii="Arial" w:eastAsia="Arial" w:hAnsi="Arial" w:cs="Arial"/>
        </w:rPr>
      </w:pPr>
      <w:r w:rsidRPr="006647C6">
        <w:rPr>
          <w:rFonts w:ascii="Arial" w:eastAsia="Arial" w:hAnsi="Arial" w:cs="Arial"/>
        </w:rPr>
        <w:t xml:space="preserve">the key objective of civil penalty regimes, being to promote the public interest in compliance with the law; and </w:t>
      </w:r>
    </w:p>
    <w:p w14:paraId="2BA7F49C" w14:textId="51EEE88E" w:rsidR="005D4AFA" w:rsidRPr="006647C6" w:rsidRDefault="005D4AFA" w:rsidP="005D4AFA">
      <w:pPr>
        <w:numPr>
          <w:ilvl w:val="0"/>
          <w:numId w:val="8"/>
        </w:numPr>
        <w:spacing w:before="120" w:after="160" w:line="259" w:lineRule="auto"/>
        <w:contextualSpacing/>
        <w:rPr>
          <w:rFonts w:ascii="Arial" w:eastAsia="Arial" w:hAnsi="Arial" w:cs="Arial"/>
        </w:rPr>
      </w:pPr>
      <w:r w:rsidRPr="006647C6">
        <w:rPr>
          <w:rFonts w:ascii="Arial" w:eastAsia="Arial" w:hAnsi="Arial" w:cs="Arial"/>
        </w:rPr>
        <w:t>acknowledging there is a hierarchy of potential harm arising from contraventions of different civil penalty provisions, which is reflected in the three different maximum pe</w:t>
      </w:r>
      <w:r w:rsidR="009C2337">
        <w:rPr>
          <w:rFonts w:ascii="Arial" w:eastAsia="Arial" w:hAnsi="Arial" w:cs="Arial"/>
        </w:rPr>
        <w:t>nalty amounts.</w:t>
      </w:r>
    </w:p>
    <w:p w14:paraId="7AAAAE81" w14:textId="6547644B" w:rsidR="003C26D9" w:rsidRPr="006647C6" w:rsidRDefault="003C26D9">
      <w:pPr>
        <w:spacing w:after="160" w:line="259" w:lineRule="auto"/>
        <w:rPr>
          <w:rFonts w:ascii="Arial" w:eastAsia="Arial" w:hAnsi="Arial" w:cs="Arial"/>
        </w:rPr>
      </w:pPr>
    </w:p>
    <w:p w14:paraId="19C034FB" w14:textId="412C6825" w:rsidR="005D4AFA" w:rsidRPr="006647C6" w:rsidRDefault="0021627A" w:rsidP="005D4AFA">
      <w:pPr>
        <w:tabs>
          <w:tab w:val="left" w:pos="340"/>
        </w:tabs>
        <w:spacing w:before="120" w:after="160" w:line="259" w:lineRule="auto"/>
        <w:rPr>
          <w:rFonts w:ascii="Arial" w:eastAsia="Arial" w:hAnsi="Arial" w:cs="Arial"/>
        </w:rPr>
      </w:pPr>
      <w:r>
        <w:rPr>
          <w:rFonts w:ascii="Arial" w:eastAsia="Arial" w:hAnsi="Arial" w:cs="Arial"/>
        </w:rPr>
        <w:t xml:space="preserve">Once the Bill is enacted, </w:t>
      </w:r>
      <w:r w:rsidR="005D4AFA" w:rsidRPr="006647C6">
        <w:rPr>
          <w:rFonts w:ascii="Arial" w:eastAsia="Arial" w:hAnsi="Arial" w:cs="Arial"/>
        </w:rPr>
        <w:t>Section 2AB of the National Electricity Law</w:t>
      </w:r>
      <w:r w:rsidR="00F267AB" w:rsidRPr="006647C6">
        <w:rPr>
          <w:rFonts w:ascii="Arial" w:eastAsia="Arial" w:hAnsi="Arial" w:cs="Arial"/>
        </w:rPr>
        <w:t xml:space="preserve"> (NEL)</w:t>
      </w:r>
      <w:r w:rsidR="005D4AFA" w:rsidRPr="006647C6">
        <w:rPr>
          <w:rFonts w:ascii="Arial" w:eastAsia="Arial" w:hAnsi="Arial" w:cs="Arial"/>
        </w:rPr>
        <w:t>, section 4A of the National Energy Retail Law</w:t>
      </w:r>
      <w:r w:rsidR="00F267AB" w:rsidRPr="006647C6">
        <w:rPr>
          <w:rFonts w:ascii="Arial" w:eastAsia="Arial" w:hAnsi="Arial" w:cs="Arial"/>
        </w:rPr>
        <w:t xml:space="preserve"> (NERL)</w:t>
      </w:r>
      <w:r w:rsidR="005D4AFA" w:rsidRPr="006647C6">
        <w:rPr>
          <w:rFonts w:ascii="Arial" w:eastAsia="Arial" w:hAnsi="Arial" w:cs="Arial"/>
        </w:rPr>
        <w:t xml:space="preserve"> and section 3A of the National Gas Law</w:t>
      </w:r>
      <w:r w:rsidR="00F267AB" w:rsidRPr="006647C6">
        <w:rPr>
          <w:rFonts w:ascii="Arial" w:eastAsia="Arial" w:hAnsi="Arial" w:cs="Arial"/>
        </w:rPr>
        <w:t xml:space="preserve"> (NGL)</w:t>
      </w:r>
      <w:r>
        <w:rPr>
          <w:rFonts w:ascii="Arial" w:eastAsia="Arial" w:hAnsi="Arial" w:cs="Arial"/>
        </w:rPr>
        <w:t xml:space="preserve"> will</w:t>
      </w:r>
      <w:r w:rsidR="005D4AFA" w:rsidRPr="006647C6">
        <w:rPr>
          <w:rFonts w:ascii="Arial" w:eastAsia="Arial" w:hAnsi="Arial" w:cs="Arial"/>
        </w:rPr>
        <w:t xml:space="preserve"> provide that the relevant Regulations may prescribe each civil penalty provision into one of three tiers.</w:t>
      </w:r>
      <w:r w:rsidR="005D4AFA" w:rsidRPr="006647C6">
        <w:rPr>
          <w:rFonts w:ascii="Arial" w:eastAsia="Arial" w:hAnsi="Arial" w:cs="Arial"/>
          <w:vertAlign w:val="superscript"/>
        </w:rPr>
        <w:footnoteReference w:id="2"/>
      </w:r>
      <w:r w:rsidR="005D4AFA" w:rsidRPr="006647C6">
        <w:rPr>
          <w:rFonts w:ascii="Arial" w:eastAsia="Arial" w:hAnsi="Arial" w:cs="Arial"/>
        </w:rPr>
        <w:t xml:space="preserve"> These sections prescribe the maximum civil penalty that can be imposed for a contravention of a provision in each tier. </w:t>
      </w:r>
    </w:p>
    <w:p w14:paraId="655FDB10" w14:textId="6DBEE2F1" w:rsidR="005D4AFA" w:rsidRPr="006647C6" w:rsidRDefault="005D4AFA" w:rsidP="005D4AFA">
      <w:pPr>
        <w:tabs>
          <w:tab w:val="left" w:pos="340"/>
        </w:tabs>
        <w:spacing w:before="120" w:after="160" w:line="259" w:lineRule="auto"/>
        <w:rPr>
          <w:rFonts w:ascii="Arial" w:eastAsia="Arial" w:hAnsi="Arial" w:cs="Arial"/>
        </w:rPr>
      </w:pPr>
      <w:r w:rsidRPr="006647C6">
        <w:rPr>
          <w:rFonts w:ascii="Arial" w:eastAsia="Arial" w:hAnsi="Arial" w:cs="Arial"/>
        </w:rPr>
        <w:t xml:space="preserve">The maximum </w:t>
      </w:r>
      <w:r w:rsidR="00920441">
        <w:rPr>
          <w:rFonts w:ascii="Arial" w:eastAsia="Arial" w:hAnsi="Arial" w:cs="Arial"/>
        </w:rPr>
        <w:t xml:space="preserve">civil </w:t>
      </w:r>
      <w:r w:rsidRPr="006647C6">
        <w:rPr>
          <w:rFonts w:ascii="Arial" w:eastAsia="Arial" w:hAnsi="Arial" w:cs="Arial"/>
        </w:rPr>
        <w:t xml:space="preserve">penalties are as follows: </w:t>
      </w:r>
    </w:p>
    <w:p w14:paraId="2963DF36" w14:textId="77777777" w:rsidR="005D4AFA" w:rsidRPr="006647C6" w:rsidRDefault="005D4AFA" w:rsidP="005D4AFA">
      <w:pPr>
        <w:tabs>
          <w:tab w:val="left" w:pos="340"/>
        </w:tabs>
        <w:spacing w:before="120" w:after="160" w:line="259" w:lineRule="auto"/>
        <w:rPr>
          <w:rFonts w:ascii="Arial" w:eastAsia="Arial" w:hAnsi="Arial" w:cs="Arial"/>
          <w:u w:val="single"/>
        </w:rPr>
      </w:pPr>
      <w:r w:rsidRPr="006647C6">
        <w:rPr>
          <w:rFonts w:ascii="Arial" w:eastAsia="Arial" w:hAnsi="Arial" w:cs="Arial"/>
          <w:u w:val="single"/>
        </w:rPr>
        <w:t xml:space="preserve">Tier 1 </w:t>
      </w:r>
    </w:p>
    <w:p w14:paraId="7776F1C1" w14:textId="77777777" w:rsidR="005D4AFA" w:rsidRPr="006647C6" w:rsidRDefault="005D4AFA" w:rsidP="005D4AFA">
      <w:pPr>
        <w:numPr>
          <w:ilvl w:val="0"/>
          <w:numId w:val="5"/>
        </w:numPr>
        <w:autoSpaceDE w:val="0"/>
        <w:autoSpaceDN w:val="0"/>
        <w:adjustRightInd w:val="0"/>
        <w:spacing w:after="160" w:line="259" w:lineRule="auto"/>
        <w:rPr>
          <w:rFonts w:ascii="Arial" w:eastAsia="Arial" w:hAnsi="Arial" w:cs="Arial"/>
          <w:color w:val="000000"/>
        </w:rPr>
      </w:pPr>
      <w:r w:rsidRPr="006647C6">
        <w:rPr>
          <w:rFonts w:ascii="Arial" w:eastAsia="Arial" w:hAnsi="Arial" w:cs="Arial"/>
          <w:color w:val="000000"/>
        </w:rPr>
        <w:t>If the breach is by a natural person—an amount not exceeding $500 000.</w:t>
      </w:r>
    </w:p>
    <w:p w14:paraId="292582D5" w14:textId="77777777" w:rsidR="005D4AFA" w:rsidRPr="006647C6" w:rsidRDefault="005D4AFA" w:rsidP="005D4AFA">
      <w:pPr>
        <w:numPr>
          <w:ilvl w:val="0"/>
          <w:numId w:val="5"/>
        </w:numPr>
        <w:autoSpaceDE w:val="0"/>
        <w:autoSpaceDN w:val="0"/>
        <w:adjustRightInd w:val="0"/>
        <w:spacing w:after="160" w:line="259" w:lineRule="auto"/>
        <w:rPr>
          <w:rFonts w:ascii="Arial" w:eastAsia="Arial" w:hAnsi="Arial" w:cs="Arial"/>
          <w:color w:val="000000"/>
        </w:rPr>
      </w:pPr>
      <w:r w:rsidRPr="006647C6">
        <w:rPr>
          <w:rFonts w:ascii="Arial" w:eastAsia="Arial" w:hAnsi="Arial" w:cs="Arial"/>
          <w:color w:val="000000"/>
        </w:rPr>
        <w:lastRenderedPageBreak/>
        <w:t xml:space="preserve">If the breach is by a body corporate—an amount not exceeding the greater of the following: </w:t>
      </w:r>
    </w:p>
    <w:p w14:paraId="1F18F9D3" w14:textId="77777777" w:rsidR="005D4AFA" w:rsidRPr="006647C6" w:rsidRDefault="005D4AFA" w:rsidP="005D4AFA">
      <w:pPr>
        <w:numPr>
          <w:ilvl w:val="1"/>
          <w:numId w:val="5"/>
        </w:numPr>
        <w:autoSpaceDE w:val="0"/>
        <w:autoSpaceDN w:val="0"/>
        <w:adjustRightInd w:val="0"/>
        <w:spacing w:after="160" w:line="259" w:lineRule="auto"/>
        <w:rPr>
          <w:rFonts w:ascii="Arial" w:eastAsia="Arial" w:hAnsi="Arial" w:cs="Arial"/>
          <w:color w:val="000000"/>
        </w:rPr>
      </w:pPr>
      <w:r w:rsidRPr="006647C6">
        <w:rPr>
          <w:rFonts w:ascii="Arial" w:eastAsia="Arial" w:hAnsi="Arial" w:cs="Arial"/>
          <w:color w:val="000000"/>
        </w:rPr>
        <w:t>$10 000 000;</w:t>
      </w:r>
    </w:p>
    <w:p w14:paraId="1C34E254" w14:textId="77777777" w:rsidR="005D4AFA" w:rsidRPr="006647C6" w:rsidRDefault="005D4AFA" w:rsidP="005D4AFA">
      <w:pPr>
        <w:numPr>
          <w:ilvl w:val="1"/>
          <w:numId w:val="5"/>
        </w:numPr>
        <w:autoSpaceDE w:val="0"/>
        <w:autoSpaceDN w:val="0"/>
        <w:adjustRightInd w:val="0"/>
        <w:spacing w:after="160" w:line="259" w:lineRule="auto"/>
        <w:rPr>
          <w:rFonts w:ascii="Arial" w:eastAsia="Arial" w:hAnsi="Arial" w:cs="Arial"/>
          <w:color w:val="000000"/>
        </w:rPr>
      </w:pPr>
      <w:r w:rsidRPr="006647C6">
        <w:rPr>
          <w:rFonts w:ascii="Arial" w:eastAsia="Arial" w:hAnsi="Arial" w:cs="Arial"/>
          <w:color w:val="000000"/>
        </w:rPr>
        <w:t xml:space="preserve">if the Court can determine the value of any benefit reasonably attributable to the breach of the civil penalty provision that the body corporate, and any body corporate related to the body corporate, has obtained, 5 directly or indirectly—3 times the value of that benefit; </w:t>
      </w:r>
    </w:p>
    <w:p w14:paraId="33DB7FB7" w14:textId="77777777" w:rsidR="005D4AFA" w:rsidRPr="006647C6" w:rsidRDefault="005D4AFA" w:rsidP="005D4AFA">
      <w:pPr>
        <w:numPr>
          <w:ilvl w:val="1"/>
          <w:numId w:val="5"/>
        </w:numPr>
        <w:autoSpaceDE w:val="0"/>
        <w:autoSpaceDN w:val="0"/>
        <w:adjustRightInd w:val="0"/>
        <w:spacing w:after="160" w:line="259" w:lineRule="auto"/>
        <w:rPr>
          <w:rFonts w:ascii="Arial" w:eastAsia="Arial" w:hAnsi="Arial" w:cs="Arial"/>
          <w:color w:val="000000"/>
        </w:rPr>
      </w:pPr>
      <w:r w:rsidRPr="006647C6">
        <w:rPr>
          <w:rFonts w:ascii="Arial" w:eastAsia="Arial" w:hAnsi="Arial" w:cs="Arial"/>
          <w:color w:val="000000"/>
        </w:rPr>
        <w:t>if the Court cannot determine the value of the benefit—10% of the annual turnover of the body corporate during the 12-month period ending at the end of the month in which the body corporate breached, or began breaching, the civil penalty provision.</w:t>
      </w:r>
    </w:p>
    <w:p w14:paraId="06BF6919" w14:textId="77777777" w:rsidR="005D4AFA" w:rsidRPr="006647C6" w:rsidRDefault="005D4AFA" w:rsidP="005D4AFA">
      <w:pPr>
        <w:tabs>
          <w:tab w:val="left" w:pos="340"/>
        </w:tabs>
        <w:spacing w:before="120" w:after="160" w:line="259" w:lineRule="auto"/>
        <w:rPr>
          <w:rFonts w:ascii="Arial" w:eastAsia="Arial" w:hAnsi="Arial" w:cs="Arial"/>
          <w:u w:val="single"/>
        </w:rPr>
      </w:pPr>
      <w:r w:rsidRPr="006647C6">
        <w:rPr>
          <w:rFonts w:ascii="Arial" w:eastAsia="Arial" w:hAnsi="Arial" w:cs="Arial"/>
          <w:u w:val="single"/>
        </w:rPr>
        <w:t>Tier 2</w:t>
      </w:r>
    </w:p>
    <w:p w14:paraId="782FA0D9" w14:textId="77777777" w:rsidR="005D4AFA" w:rsidRPr="006647C6" w:rsidRDefault="005D4AFA" w:rsidP="005D4AFA">
      <w:pPr>
        <w:numPr>
          <w:ilvl w:val="0"/>
          <w:numId w:val="6"/>
        </w:numPr>
        <w:autoSpaceDE w:val="0"/>
        <w:autoSpaceDN w:val="0"/>
        <w:adjustRightInd w:val="0"/>
        <w:spacing w:after="160" w:line="259" w:lineRule="auto"/>
        <w:rPr>
          <w:rFonts w:ascii="Arial" w:eastAsia="Arial" w:hAnsi="Arial" w:cs="Arial"/>
          <w:color w:val="000000"/>
        </w:rPr>
      </w:pPr>
      <w:r w:rsidRPr="006647C6">
        <w:rPr>
          <w:rFonts w:ascii="Arial" w:eastAsia="Arial" w:hAnsi="Arial" w:cs="Arial"/>
          <w:color w:val="000000"/>
        </w:rPr>
        <w:t xml:space="preserve">If the breach is by a natural person— </w:t>
      </w:r>
    </w:p>
    <w:p w14:paraId="563A8A95" w14:textId="77777777" w:rsidR="005D4AFA" w:rsidRPr="006647C6" w:rsidRDefault="005D4AFA" w:rsidP="005D4AFA">
      <w:pPr>
        <w:numPr>
          <w:ilvl w:val="1"/>
          <w:numId w:val="6"/>
        </w:numPr>
        <w:autoSpaceDE w:val="0"/>
        <w:autoSpaceDN w:val="0"/>
        <w:adjustRightInd w:val="0"/>
        <w:spacing w:after="160" w:line="259" w:lineRule="auto"/>
        <w:rPr>
          <w:rFonts w:ascii="Arial" w:eastAsia="Arial" w:hAnsi="Arial" w:cs="Arial"/>
          <w:color w:val="000000"/>
        </w:rPr>
      </w:pPr>
      <w:r w:rsidRPr="006647C6">
        <w:rPr>
          <w:rFonts w:ascii="Arial" w:eastAsia="Arial" w:hAnsi="Arial" w:cs="Arial"/>
          <w:color w:val="000000"/>
        </w:rPr>
        <w:t xml:space="preserve">an amount not exceeding $287 000; plus </w:t>
      </w:r>
    </w:p>
    <w:p w14:paraId="1EE369BF" w14:textId="77777777" w:rsidR="005D4AFA" w:rsidRPr="006647C6" w:rsidRDefault="005D4AFA" w:rsidP="005D4AFA">
      <w:pPr>
        <w:numPr>
          <w:ilvl w:val="1"/>
          <w:numId w:val="6"/>
        </w:numPr>
        <w:autoSpaceDE w:val="0"/>
        <w:autoSpaceDN w:val="0"/>
        <w:adjustRightInd w:val="0"/>
        <w:spacing w:after="160" w:line="259" w:lineRule="auto"/>
        <w:rPr>
          <w:rFonts w:ascii="Arial" w:eastAsia="Arial" w:hAnsi="Arial" w:cs="Arial"/>
          <w:color w:val="000000"/>
        </w:rPr>
      </w:pPr>
      <w:r w:rsidRPr="006647C6">
        <w:rPr>
          <w:rFonts w:ascii="Arial" w:eastAsia="Arial" w:hAnsi="Arial" w:cs="Arial"/>
          <w:color w:val="000000"/>
        </w:rPr>
        <w:t>an amount not exceeding $14 400 for every day during which the breach continues.</w:t>
      </w:r>
    </w:p>
    <w:p w14:paraId="155C8248" w14:textId="77777777" w:rsidR="005D4AFA" w:rsidRPr="006647C6" w:rsidRDefault="005D4AFA" w:rsidP="005D4AFA">
      <w:pPr>
        <w:numPr>
          <w:ilvl w:val="0"/>
          <w:numId w:val="6"/>
        </w:numPr>
        <w:autoSpaceDE w:val="0"/>
        <w:autoSpaceDN w:val="0"/>
        <w:adjustRightInd w:val="0"/>
        <w:spacing w:after="160" w:line="259" w:lineRule="auto"/>
        <w:rPr>
          <w:rFonts w:ascii="Arial" w:eastAsia="Arial" w:hAnsi="Arial" w:cs="Arial"/>
          <w:color w:val="000000"/>
        </w:rPr>
      </w:pPr>
      <w:r w:rsidRPr="006647C6">
        <w:rPr>
          <w:rFonts w:ascii="Arial" w:eastAsia="Arial" w:hAnsi="Arial" w:cs="Arial"/>
          <w:color w:val="000000"/>
        </w:rPr>
        <w:t xml:space="preserve">If the breach is by a body corporate— </w:t>
      </w:r>
    </w:p>
    <w:p w14:paraId="18FEB8FC" w14:textId="77777777" w:rsidR="005D4AFA" w:rsidRPr="006647C6" w:rsidRDefault="005D4AFA" w:rsidP="005D4AFA">
      <w:pPr>
        <w:numPr>
          <w:ilvl w:val="1"/>
          <w:numId w:val="6"/>
        </w:numPr>
        <w:autoSpaceDE w:val="0"/>
        <w:autoSpaceDN w:val="0"/>
        <w:adjustRightInd w:val="0"/>
        <w:spacing w:after="160" w:line="259" w:lineRule="auto"/>
        <w:rPr>
          <w:rFonts w:ascii="Arial" w:eastAsia="Arial" w:hAnsi="Arial" w:cs="Arial"/>
          <w:color w:val="000000"/>
        </w:rPr>
      </w:pPr>
      <w:r w:rsidRPr="006647C6">
        <w:rPr>
          <w:rFonts w:ascii="Arial" w:eastAsia="Arial" w:hAnsi="Arial" w:cs="Arial"/>
          <w:color w:val="000000"/>
        </w:rPr>
        <w:t xml:space="preserve">an amount not exceeding $1 435 000; plus </w:t>
      </w:r>
    </w:p>
    <w:p w14:paraId="7F0B5131" w14:textId="77777777" w:rsidR="005D4AFA" w:rsidRPr="006647C6" w:rsidRDefault="005D4AFA" w:rsidP="005D4AFA">
      <w:pPr>
        <w:numPr>
          <w:ilvl w:val="1"/>
          <w:numId w:val="6"/>
        </w:numPr>
        <w:autoSpaceDE w:val="0"/>
        <w:autoSpaceDN w:val="0"/>
        <w:adjustRightInd w:val="0"/>
        <w:spacing w:after="160" w:line="259" w:lineRule="auto"/>
        <w:rPr>
          <w:rFonts w:ascii="Arial" w:eastAsia="Arial" w:hAnsi="Arial" w:cs="Arial"/>
          <w:color w:val="000000"/>
        </w:rPr>
      </w:pPr>
      <w:r w:rsidRPr="006647C6">
        <w:rPr>
          <w:rFonts w:ascii="Arial" w:eastAsia="Arial" w:hAnsi="Arial" w:cs="Arial"/>
          <w:color w:val="000000"/>
        </w:rPr>
        <w:t>an amount not exceeding $71 800 for every day during which the breach continues.</w:t>
      </w:r>
    </w:p>
    <w:p w14:paraId="7036C719" w14:textId="77777777" w:rsidR="005D4AFA" w:rsidRPr="006647C6" w:rsidRDefault="005D4AFA" w:rsidP="005D4AFA">
      <w:pPr>
        <w:tabs>
          <w:tab w:val="left" w:pos="340"/>
        </w:tabs>
        <w:spacing w:before="120" w:after="160" w:line="259" w:lineRule="auto"/>
        <w:rPr>
          <w:rFonts w:ascii="Arial" w:eastAsia="Arial" w:hAnsi="Arial" w:cs="Arial"/>
          <w:u w:val="single"/>
        </w:rPr>
      </w:pPr>
      <w:r w:rsidRPr="006647C6">
        <w:rPr>
          <w:rFonts w:ascii="Arial" w:eastAsia="Arial" w:hAnsi="Arial" w:cs="Arial"/>
          <w:u w:val="single"/>
        </w:rPr>
        <w:t>Tier 3</w:t>
      </w:r>
    </w:p>
    <w:p w14:paraId="0081057E" w14:textId="77777777" w:rsidR="005D4AFA" w:rsidRPr="006647C6" w:rsidRDefault="005D4AFA" w:rsidP="005D4AFA">
      <w:pPr>
        <w:numPr>
          <w:ilvl w:val="0"/>
          <w:numId w:val="7"/>
        </w:numPr>
        <w:autoSpaceDE w:val="0"/>
        <w:autoSpaceDN w:val="0"/>
        <w:adjustRightInd w:val="0"/>
        <w:spacing w:after="160" w:line="259" w:lineRule="auto"/>
        <w:rPr>
          <w:rFonts w:ascii="Arial" w:eastAsia="Arial" w:hAnsi="Arial" w:cs="Arial"/>
          <w:color w:val="000000"/>
        </w:rPr>
      </w:pPr>
      <w:r w:rsidRPr="006647C6">
        <w:rPr>
          <w:rFonts w:ascii="Arial" w:eastAsia="Arial" w:hAnsi="Arial" w:cs="Arial"/>
          <w:color w:val="000000"/>
        </w:rPr>
        <w:t xml:space="preserve">If the breach is by a natural person— </w:t>
      </w:r>
    </w:p>
    <w:p w14:paraId="70BC6C8A" w14:textId="77777777" w:rsidR="005D4AFA" w:rsidRPr="006647C6" w:rsidRDefault="005D4AFA" w:rsidP="005D4AFA">
      <w:pPr>
        <w:numPr>
          <w:ilvl w:val="1"/>
          <w:numId w:val="7"/>
        </w:numPr>
        <w:autoSpaceDE w:val="0"/>
        <w:autoSpaceDN w:val="0"/>
        <w:adjustRightInd w:val="0"/>
        <w:spacing w:after="160" w:line="259" w:lineRule="auto"/>
        <w:rPr>
          <w:rFonts w:ascii="Arial" w:eastAsia="Arial" w:hAnsi="Arial" w:cs="Arial"/>
          <w:color w:val="000000"/>
        </w:rPr>
      </w:pPr>
      <w:r w:rsidRPr="006647C6">
        <w:rPr>
          <w:rFonts w:ascii="Arial" w:eastAsia="Arial" w:hAnsi="Arial" w:cs="Arial"/>
          <w:color w:val="000000"/>
        </w:rPr>
        <w:t xml:space="preserve">an amount not exceeding $33 900; plus </w:t>
      </w:r>
    </w:p>
    <w:p w14:paraId="079CEC10" w14:textId="77777777" w:rsidR="005D4AFA" w:rsidRPr="006647C6" w:rsidRDefault="005D4AFA" w:rsidP="005D4AFA">
      <w:pPr>
        <w:numPr>
          <w:ilvl w:val="1"/>
          <w:numId w:val="7"/>
        </w:numPr>
        <w:autoSpaceDE w:val="0"/>
        <w:autoSpaceDN w:val="0"/>
        <w:adjustRightInd w:val="0"/>
        <w:spacing w:after="160" w:line="259" w:lineRule="auto"/>
        <w:rPr>
          <w:rFonts w:ascii="Arial" w:eastAsia="Arial" w:hAnsi="Arial" w:cs="Arial"/>
          <w:color w:val="000000"/>
        </w:rPr>
      </w:pPr>
      <w:r w:rsidRPr="006647C6">
        <w:rPr>
          <w:rFonts w:ascii="Arial" w:eastAsia="Arial" w:hAnsi="Arial" w:cs="Arial"/>
          <w:color w:val="000000"/>
        </w:rPr>
        <w:t>an amount not exceeding $3 390 for every day during which the breach continues.</w:t>
      </w:r>
    </w:p>
    <w:p w14:paraId="2A18DF7B" w14:textId="77777777" w:rsidR="005D4AFA" w:rsidRPr="006647C6" w:rsidRDefault="005D4AFA" w:rsidP="00E765DE">
      <w:pPr>
        <w:numPr>
          <w:ilvl w:val="0"/>
          <w:numId w:val="7"/>
        </w:numPr>
        <w:autoSpaceDE w:val="0"/>
        <w:autoSpaceDN w:val="0"/>
        <w:adjustRightInd w:val="0"/>
        <w:spacing w:after="160" w:line="259" w:lineRule="auto"/>
        <w:ind w:left="1077"/>
        <w:rPr>
          <w:rFonts w:ascii="Arial" w:eastAsia="Arial" w:hAnsi="Arial" w:cs="Arial"/>
          <w:color w:val="000000"/>
        </w:rPr>
      </w:pPr>
      <w:r w:rsidRPr="006647C6">
        <w:rPr>
          <w:rFonts w:ascii="Arial" w:eastAsia="Arial" w:hAnsi="Arial" w:cs="Arial"/>
          <w:color w:val="000000"/>
        </w:rPr>
        <w:t xml:space="preserve">If the breach is by a body corporate— </w:t>
      </w:r>
    </w:p>
    <w:p w14:paraId="174237F8" w14:textId="77777777" w:rsidR="005D4AFA" w:rsidRPr="006647C6" w:rsidRDefault="005D4AFA" w:rsidP="00E765DE">
      <w:pPr>
        <w:numPr>
          <w:ilvl w:val="1"/>
          <w:numId w:val="7"/>
        </w:numPr>
        <w:autoSpaceDE w:val="0"/>
        <w:autoSpaceDN w:val="0"/>
        <w:adjustRightInd w:val="0"/>
        <w:spacing w:after="160" w:line="259" w:lineRule="auto"/>
        <w:ind w:left="1434" w:hanging="357"/>
        <w:rPr>
          <w:rFonts w:ascii="Arial" w:eastAsia="Arial" w:hAnsi="Arial" w:cs="Arial"/>
          <w:color w:val="000000"/>
        </w:rPr>
      </w:pPr>
      <w:r w:rsidRPr="006647C6">
        <w:rPr>
          <w:rFonts w:ascii="Arial" w:eastAsia="Arial" w:hAnsi="Arial" w:cs="Arial"/>
          <w:color w:val="000000"/>
        </w:rPr>
        <w:t xml:space="preserve">an amount not exceeding $170 000; plus </w:t>
      </w:r>
    </w:p>
    <w:p w14:paraId="6269E71B" w14:textId="77777777" w:rsidR="005D4AFA" w:rsidRPr="006647C6" w:rsidRDefault="005D4AFA" w:rsidP="005D4AFA">
      <w:pPr>
        <w:numPr>
          <w:ilvl w:val="1"/>
          <w:numId w:val="7"/>
        </w:numPr>
        <w:autoSpaceDE w:val="0"/>
        <w:autoSpaceDN w:val="0"/>
        <w:adjustRightInd w:val="0"/>
        <w:spacing w:after="160" w:line="259" w:lineRule="auto"/>
        <w:rPr>
          <w:rFonts w:ascii="Arial" w:eastAsia="Arial" w:hAnsi="Arial" w:cs="Arial"/>
          <w:color w:val="000000"/>
        </w:rPr>
      </w:pPr>
      <w:r w:rsidRPr="006647C6">
        <w:rPr>
          <w:rFonts w:ascii="Arial" w:eastAsia="Arial" w:hAnsi="Arial" w:cs="Arial"/>
          <w:color w:val="000000"/>
        </w:rPr>
        <w:t>an amount not exceeding $17 000 for every day during which the breach continues.</w:t>
      </w:r>
    </w:p>
    <w:p w14:paraId="50E464B3" w14:textId="1C318E83" w:rsidR="00057081" w:rsidRPr="009C2337" w:rsidRDefault="002412D5" w:rsidP="009C2337">
      <w:pPr>
        <w:tabs>
          <w:tab w:val="left" w:pos="340"/>
        </w:tabs>
        <w:spacing w:before="120" w:after="160" w:line="259" w:lineRule="auto"/>
        <w:rPr>
          <w:rFonts w:ascii="Arial" w:eastAsia="Arial" w:hAnsi="Arial" w:cs="Arial"/>
        </w:rPr>
      </w:pPr>
      <w:r>
        <w:rPr>
          <w:rFonts w:ascii="Arial" w:eastAsia="Arial" w:hAnsi="Arial" w:cs="Arial"/>
        </w:rPr>
        <w:t>I</w:t>
      </w:r>
      <w:r w:rsidRPr="002412D5">
        <w:rPr>
          <w:rFonts w:ascii="Arial" w:eastAsia="Arial" w:hAnsi="Arial" w:cs="Arial"/>
        </w:rPr>
        <w:t>n considering the classification of particular provisions under the tiers, i</w:t>
      </w:r>
      <w:r>
        <w:rPr>
          <w:rFonts w:ascii="Arial" w:eastAsia="Arial" w:hAnsi="Arial" w:cs="Arial"/>
        </w:rPr>
        <w:t xml:space="preserve">t is important to be aware that </w:t>
      </w:r>
      <w:r w:rsidRPr="002412D5">
        <w:rPr>
          <w:rFonts w:ascii="Arial" w:eastAsia="Arial" w:hAnsi="Arial" w:cs="Arial"/>
        </w:rPr>
        <w:t xml:space="preserve">the </w:t>
      </w:r>
      <w:r>
        <w:rPr>
          <w:rFonts w:ascii="Arial" w:eastAsia="Arial" w:hAnsi="Arial" w:cs="Arial"/>
        </w:rPr>
        <w:t xml:space="preserve">above </w:t>
      </w:r>
      <w:r w:rsidRPr="002412D5">
        <w:rPr>
          <w:rFonts w:ascii="Arial" w:eastAsia="Arial" w:hAnsi="Arial" w:cs="Arial"/>
        </w:rPr>
        <w:t>penalty amou</w:t>
      </w:r>
      <w:r>
        <w:rPr>
          <w:rFonts w:ascii="Arial" w:eastAsia="Arial" w:hAnsi="Arial" w:cs="Arial"/>
        </w:rPr>
        <w:t>nts are maximum amounts. A penalty may</w:t>
      </w:r>
      <w:r w:rsidRPr="002412D5">
        <w:rPr>
          <w:rFonts w:ascii="Arial" w:eastAsia="Arial" w:hAnsi="Arial" w:cs="Arial"/>
        </w:rPr>
        <w:t xml:space="preserve"> only be incurred if a corporation or individual is found to be in breach by a court</w:t>
      </w:r>
      <w:r>
        <w:rPr>
          <w:rFonts w:ascii="Arial" w:eastAsia="Arial" w:hAnsi="Arial" w:cs="Arial"/>
        </w:rPr>
        <w:t>. Furthermore,</w:t>
      </w:r>
      <w:r w:rsidR="005D4AFA" w:rsidRPr="006647C6">
        <w:rPr>
          <w:rFonts w:ascii="Arial" w:eastAsia="Arial" w:hAnsi="Arial" w:cs="Arial"/>
        </w:rPr>
        <w:t xml:space="preserve"> the specific dollar amount to be paid (up to the maximum) i</w:t>
      </w:r>
      <w:r>
        <w:rPr>
          <w:rFonts w:ascii="Arial" w:eastAsia="Arial" w:hAnsi="Arial" w:cs="Arial"/>
        </w:rPr>
        <w:t xml:space="preserve">s always determined by a court. </w:t>
      </w:r>
      <w:r w:rsidR="005D4AFA" w:rsidRPr="006647C6">
        <w:rPr>
          <w:rFonts w:ascii="Arial" w:eastAsia="Arial" w:hAnsi="Arial" w:cs="Arial"/>
        </w:rPr>
        <w:t>The maximum available penalty tends to serve as a yardstick in the penalty assessment process, and sets the benchmark against which all contravening conduct is assessed.</w:t>
      </w:r>
    </w:p>
    <w:p w14:paraId="65212DBF" w14:textId="77777777" w:rsidR="00A92BD3" w:rsidRDefault="00A92BD3" w:rsidP="00A92BD3">
      <w:pPr>
        <w:rPr>
          <w:rFonts w:ascii="Arial" w:hAnsi="Arial" w:cs="Arial"/>
        </w:rPr>
      </w:pPr>
      <w:r>
        <w:rPr>
          <w:rFonts w:ascii="Arial" w:hAnsi="Arial" w:cs="Arial"/>
        </w:rPr>
        <w:t>The Bill also provides that various Infringement Penalties will apply to civil penalty provisions in each Tier.</w:t>
      </w:r>
    </w:p>
    <w:p w14:paraId="523A8E41" w14:textId="2E5D78B8" w:rsidR="00A92BD3" w:rsidRDefault="00A92BD3" w:rsidP="00A92BD3">
      <w:pPr>
        <w:rPr>
          <w:rFonts w:ascii="Arial" w:hAnsi="Arial" w:cs="Arial"/>
        </w:rPr>
      </w:pPr>
      <w:r>
        <w:rPr>
          <w:rFonts w:ascii="Arial" w:hAnsi="Arial" w:cs="Arial"/>
        </w:rPr>
        <w:lastRenderedPageBreak/>
        <w:t>The AER may serve an Infringement Notice on a person that it has reason to believe has breached a relevant civil penalty provision in the National Energy Laws.</w:t>
      </w:r>
      <w:r>
        <w:rPr>
          <w:rStyle w:val="FootnoteReference"/>
          <w:rFonts w:ascii="Arial" w:hAnsi="Arial" w:cs="Arial"/>
        </w:rPr>
        <w:footnoteReference w:id="3"/>
      </w:r>
      <w:r>
        <w:rPr>
          <w:rFonts w:ascii="Arial" w:hAnsi="Arial" w:cs="Arial"/>
        </w:rPr>
        <w:t xml:space="preserve"> If the recipient chooses to pay the Infringement Penalty, the AER may not bring civil proceedings against the person for that alleged breach. Payment of an Infringement Penalty is not taken to be an admission by the person of a breach of the provision. </w:t>
      </w:r>
    </w:p>
    <w:p w14:paraId="55D390BC" w14:textId="77777777" w:rsidR="00C85C1C" w:rsidRDefault="00C85C1C" w:rsidP="00A92BD3">
      <w:pPr>
        <w:rPr>
          <w:rFonts w:ascii="Arial" w:hAnsi="Arial" w:cs="Arial"/>
        </w:rPr>
      </w:pPr>
    </w:p>
    <w:p w14:paraId="44E4F511" w14:textId="486E983F" w:rsidR="00A92BD3" w:rsidRDefault="00A92BD3" w:rsidP="00A92BD3">
      <w:pPr>
        <w:rPr>
          <w:rFonts w:ascii="Arial" w:hAnsi="Arial" w:cs="Arial"/>
        </w:rPr>
      </w:pPr>
      <w:r>
        <w:rPr>
          <w:rFonts w:ascii="Arial" w:hAnsi="Arial" w:cs="Arial"/>
        </w:rPr>
        <w:t xml:space="preserve">The Infringement Penalties prescribed by the Bill are as follows: </w:t>
      </w:r>
    </w:p>
    <w:p w14:paraId="062DFFD1" w14:textId="70D31AAA" w:rsidR="00E765DE" w:rsidRDefault="00E765DE" w:rsidP="00E765DE">
      <w:pPr>
        <w:spacing w:before="120" w:after="160"/>
        <w:rPr>
          <w:rFonts w:ascii="Arial" w:hAnsi="Arial" w:cs="Arial"/>
          <w:bCs/>
          <w:u w:val="single"/>
        </w:rPr>
      </w:pPr>
      <w:r w:rsidRPr="00E765DE">
        <w:rPr>
          <w:rFonts w:ascii="Arial" w:eastAsia="Arial" w:hAnsi="Arial" w:cs="Arial"/>
          <w:u w:val="single"/>
        </w:rPr>
        <w:t>Tier</w:t>
      </w:r>
      <w:r>
        <w:rPr>
          <w:rFonts w:ascii="Arial" w:eastAsia="Arial" w:hAnsi="Arial" w:cs="Arial"/>
          <w:u w:val="single"/>
        </w:rPr>
        <w:t>s</w:t>
      </w:r>
      <w:r w:rsidRPr="00E765DE">
        <w:rPr>
          <w:rFonts w:ascii="Arial" w:eastAsia="Arial" w:hAnsi="Arial" w:cs="Arial"/>
          <w:u w:val="single"/>
        </w:rPr>
        <w:t xml:space="preserve"> 1</w:t>
      </w:r>
      <w:r>
        <w:rPr>
          <w:rFonts w:ascii="Arial" w:eastAsia="Arial" w:hAnsi="Arial" w:cs="Arial"/>
          <w:u w:val="single"/>
        </w:rPr>
        <w:t xml:space="preserve"> &amp; 2</w:t>
      </w:r>
    </w:p>
    <w:p w14:paraId="209CDCF3" w14:textId="1FB0FCC6" w:rsidR="00E765DE" w:rsidRPr="00E765DE" w:rsidRDefault="00A024B5" w:rsidP="005B5626">
      <w:pPr>
        <w:tabs>
          <w:tab w:val="left" w:pos="1134"/>
        </w:tabs>
        <w:spacing w:after="160"/>
        <w:ind w:firstLine="284"/>
        <w:rPr>
          <w:rFonts w:ascii="Arial" w:hAnsi="Arial" w:cs="Arial"/>
          <w:bCs/>
        </w:rPr>
      </w:pPr>
      <w:r>
        <w:rPr>
          <w:rFonts w:ascii="Arial" w:hAnsi="Arial" w:cs="Arial"/>
          <w:bCs/>
        </w:rPr>
        <w:t>(i)</w:t>
      </w:r>
      <w:r>
        <w:rPr>
          <w:rFonts w:ascii="Arial" w:hAnsi="Arial" w:cs="Arial"/>
          <w:bCs/>
        </w:rPr>
        <w:tab/>
      </w:r>
      <w:r w:rsidR="00E765DE">
        <w:rPr>
          <w:rFonts w:ascii="Arial" w:hAnsi="Arial" w:cs="Arial"/>
          <w:bCs/>
        </w:rPr>
        <w:t>I</w:t>
      </w:r>
      <w:r w:rsidR="00E765DE" w:rsidRPr="00E765DE">
        <w:rPr>
          <w:rFonts w:ascii="Arial" w:hAnsi="Arial" w:cs="Arial"/>
          <w:bCs/>
        </w:rPr>
        <w:t>f the breach is alleged to have been committed by a natural person</w:t>
      </w:r>
      <w:r w:rsidR="00E765DE" w:rsidRPr="006647C6">
        <w:rPr>
          <w:rFonts w:ascii="Arial" w:eastAsia="Arial" w:hAnsi="Arial" w:cs="Arial"/>
          <w:color w:val="000000"/>
        </w:rPr>
        <w:t>—</w:t>
      </w:r>
    </w:p>
    <w:p w14:paraId="12D7D4B3" w14:textId="29C33E37" w:rsidR="00E765DE" w:rsidRPr="00ED1FA1" w:rsidRDefault="00E765DE" w:rsidP="00A024B5">
      <w:pPr>
        <w:spacing w:after="160"/>
        <w:ind w:left="1560" w:hanging="426"/>
        <w:rPr>
          <w:rFonts w:ascii="Arial" w:hAnsi="Arial" w:cs="Arial"/>
          <w:bCs/>
        </w:rPr>
      </w:pPr>
      <w:r w:rsidRPr="00E765DE">
        <w:rPr>
          <w:rFonts w:ascii="Arial" w:hAnsi="Arial" w:cs="Arial"/>
          <w:bCs/>
        </w:rPr>
        <w:t>a</w:t>
      </w:r>
      <w:r w:rsidR="00A024B5">
        <w:rPr>
          <w:rFonts w:ascii="Arial" w:hAnsi="Arial" w:cs="Arial"/>
          <w:bCs/>
        </w:rPr>
        <w:t>.</w:t>
      </w:r>
      <w:r w:rsidR="00A024B5">
        <w:rPr>
          <w:rFonts w:ascii="Arial" w:hAnsi="Arial" w:cs="Arial"/>
          <w:bCs/>
        </w:rPr>
        <w:tab/>
      </w:r>
      <w:r w:rsidRPr="00E765DE">
        <w:rPr>
          <w:rFonts w:ascii="Arial" w:hAnsi="Arial" w:cs="Arial"/>
          <w:bCs/>
        </w:rPr>
        <w:t xml:space="preserve">$13 600 or any lesser amount that is prescribed by the Regulations in relation to the civil penalty provision </w:t>
      </w:r>
    </w:p>
    <w:p w14:paraId="63A87BFF" w14:textId="47384B42" w:rsidR="00E765DE" w:rsidRDefault="00E765DE" w:rsidP="005B5626">
      <w:pPr>
        <w:tabs>
          <w:tab w:val="left" w:pos="1134"/>
        </w:tabs>
        <w:spacing w:after="160"/>
        <w:ind w:left="284"/>
        <w:rPr>
          <w:rFonts w:ascii="Arial" w:hAnsi="Arial" w:cs="Arial"/>
          <w:bCs/>
        </w:rPr>
      </w:pPr>
      <w:r w:rsidRPr="00E765DE">
        <w:rPr>
          <w:rFonts w:ascii="Arial" w:hAnsi="Arial" w:cs="Arial"/>
          <w:bCs/>
        </w:rPr>
        <w:t>(ii)</w:t>
      </w:r>
      <w:r w:rsidR="00A024B5">
        <w:rPr>
          <w:rFonts w:ascii="Arial" w:hAnsi="Arial" w:cs="Arial"/>
          <w:bCs/>
        </w:rPr>
        <w:tab/>
      </w:r>
      <w:r w:rsidRPr="00E765DE">
        <w:rPr>
          <w:rFonts w:ascii="Arial" w:hAnsi="Arial" w:cs="Arial"/>
          <w:bCs/>
        </w:rPr>
        <w:t>If the breach is alleged to have been committed by a body corporate—</w:t>
      </w:r>
    </w:p>
    <w:p w14:paraId="7D078EC5" w14:textId="063CB93B" w:rsidR="00E765DE" w:rsidRPr="00E765DE" w:rsidRDefault="00ED1FA1" w:rsidP="00A024B5">
      <w:pPr>
        <w:spacing w:after="160"/>
        <w:ind w:left="1560" w:hanging="426"/>
        <w:rPr>
          <w:rFonts w:ascii="Arial" w:hAnsi="Arial" w:cs="Arial"/>
          <w:bCs/>
        </w:rPr>
      </w:pPr>
      <w:r>
        <w:rPr>
          <w:rFonts w:ascii="Arial" w:hAnsi="Arial" w:cs="Arial"/>
          <w:bCs/>
        </w:rPr>
        <w:t>a</w:t>
      </w:r>
      <w:r w:rsidR="00A024B5">
        <w:rPr>
          <w:rFonts w:ascii="Arial" w:hAnsi="Arial" w:cs="Arial"/>
          <w:bCs/>
        </w:rPr>
        <w:t>.</w:t>
      </w:r>
      <w:r>
        <w:rPr>
          <w:rFonts w:ascii="Arial" w:hAnsi="Arial" w:cs="Arial"/>
          <w:bCs/>
        </w:rPr>
        <w:tab/>
      </w:r>
      <w:r w:rsidR="00E765DE" w:rsidRPr="00E765DE">
        <w:rPr>
          <w:rFonts w:ascii="Arial" w:hAnsi="Arial" w:cs="Arial"/>
          <w:bCs/>
        </w:rPr>
        <w:t>$67 800 or any lesser amount that is prescribed by the Regulations in relation to the civil penalty provision</w:t>
      </w:r>
    </w:p>
    <w:p w14:paraId="07A2A5B8" w14:textId="37DBAAEA" w:rsidR="00920441" w:rsidRPr="00920441" w:rsidRDefault="00E765DE" w:rsidP="00E765DE">
      <w:pPr>
        <w:spacing w:before="120" w:after="160"/>
        <w:rPr>
          <w:rFonts w:ascii="Arial" w:hAnsi="Arial" w:cs="Arial"/>
          <w:bCs/>
          <w:u w:val="single"/>
        </w:rPr>
      </w:pPr>
      <w:r>
        <w:rPr>
          <w:rFonts w:ascii="Arial" w:hAnsi="Arial" w:cs="Arial"/>
          <w:bCs/>
          <w:u w:val="single"/>
        </w:rPr>
        <w:t>Tier 3</w:t>
      </w:r>
    </w:p>
    <w:p w14:paraId="6D836A00" w14:textId="46113897" w:rsidR="00ED1FA1" w:rsidRDefault="00ED1FA1" w:rsidP="005B5626">
      <w:pPr>
        <w:tabs>
          <w:tab w:val="left" w:pos="1134"/>
        </w:tabs>
        <w:spacing w:after="160"/>
        <w:ind w:firstLine="284"/>
        <w:rPr>
          <w:rFonts w:ascii="Arial" w:hAnsi="Arial" w:cs="Arial"/>
          <w:bCs/>
        </w:rPr>
      </w:pPr>
      <w:r w:rsidRPr="00ED1FA1">
        <w:rPr>
          <w:rFonts w:ascii="Arial" w:hAnsi="Arial" w:cs="Arial"/>
          <w:bCs/>
        </w:rPr>
        <w:t>(</w:t>
      </w:r>
      <w:r>
        <w:rPr>
          <w:rFonts w:ascii="Arial" w:hAnsi="Arial" w:cs="Arial"/>
          <w:bCs/>
        </w:rPr>
        <w:t>i)</w:t>
      </w:r>
      <w:r>
        <w:rPr>
          <w:rFonts w:ascii="Arial" w:hAnsi="Arial" w:cs="Arial"/>
          <w:bCs/>
        </w:rPr>
        <w:tab/>
        <w:t>I</w:t>
      </w:r>
      <w:r w:rsidRPr="00ED1FA1">
        <w:rPr>
          <w:rFonts w:ascii="Arial" w:hAnsi="Arial" w:cs="Arial"/>
          <w:bCs/>
        </w:rPr>
        <w:t>f the breach is alleged to have been committed by a natural person—</w:t>
      </w:r>
    </w:p>
    <w:p w14:paraId="3E060780" w14:textId="60F81F46" w:rsidR="00ED1FA1" w:rsidRPr="00ED1FA1" w:rsidRDefault="00ED1FA1" w:rsidP="00A024B5">
      <w:pPr>
        <w:spacing w:after="160"/>
        <w:ind w:left="1560" w:hanging="426"/>
        <w:rPr>
          <w:rFonts w:ascii="Arial" w:hAnsi="Arial" w:cs="Arial"/>
          <w:bCs/>
        </w:rPr>
      </w:pPr>
      <w:r>
        <w:rPr>
          <w:rFonts w:ascii="Arial" w:hAnsi="Arial" w:cs="Arial"/>
          <w:bCs/>
        </w:rPr>
        <w:t>a</w:t>
      </w:r>
      <w:r w:rsidR="00A024B5">
        <w:rPr>
          <w:rFonts w:ascii="Arial" w:hAnsi="Arial" w:cs="Arial"/>
          <w:bCs/>
        </w:rPr>
        <w:t>.</w:t>
      </w:r>
      <w:r w:rsidR="00A024B5">
        <w:rPr>
          <w:rFonts w:ascii="Arial" w:hAnsi="Arial" w:cs="Arial"/>
          <w:bCs/>
        </w:rPr>
        <w:tab/>
      </w:r>
      <w:r w:rsidRPr="00ED1FA1">
        <w:rPr>
          <w:rFonts w:ascii="Arial" w:hAnsi="Arial" w:cs="Arial"/>
          <w:bCs/>
        </w:rPr>
        <w:t>$6 790 or any lesser amount that is</w:t>
      </w:r>
      <w:r>
        <w:rPr>
          <w:rFonts w:ascii="Arial" w:hAnsi="Arial" w:cs="Arial"/>
          <w:bCs/>
        </w:rPr>
        <w:t xml:space="preserve"> </w:t>
      </w:r>
      <w:r w:rsidRPr="00ED1FA1">
        <w:rPr>
          <w:rFonts w:ascii="Arial" w:hAnsi="Arial" w:cs="Arial"/>
          <w:bCs/>
        </w:rPr>
        <w:t>prescribed by the Regul</w:t>
      </w:r>
      <w:r>
        <w:rPr>
          <w:rFonts w:ascii="Arial" w:hAnsi="Arial" w:cs="Arial"/>
          <w:bCs/>
        </w:rPr>
        <w:t xml:space="preserve">ations in relation to the civil </w:t>
      </w:r>
      <w:r w:rsidRPr="00ED1FA1">
        <w:rPr>
          <w:rFonts w:ascii="Arial" w:hAnsi="Arial" w:cs="Arial"/>
          <w:bCs/>
        </w:rPr>
        <w:t>penalty provision;</w:t>
      </w:r>
    </w:p>
    <w:p w14:paraId="1623BEA9" w14:textId="715B6319" w:rsidR="00ED1FA1" w:rsidRPr="00ED1FA1" w:rsidRDefault="00ED1FA1" w:rsidP="005B5626">
      <w:pPr>
        <w:tabs>
          <w:tab w:val="left" w:pos="426"/>
          <w:tab w:val="left" w:pos="1134"/>
        </w:tabs>
        <w:spacing w:after="160"/>
        <w:ind w:firstLine="284"/>
        <w:rPr>
          <w:rFonts w:ascii="Arial" w:hAnsi="Arial" w:cs="Arial"/>
          <w:bCs/>
        </w:rPr>
      </w:pPr>
      <w:r>
        <w:rPr>
          <w:rFonts w:ascii="Arial" w:hAnsi="Arial" w:cs="Arial"/>
          <w:bCs/>
        </w:rPr>
        <w:t>(ii)</w:t>
      </w:r>
      <w:r>
        <w:rPr>
          <w:rFonts w:ascii="Arial" w:hAnsi="Arial" w:cs="Arial"/>
          <w:bCs/>
        </w:rPr>
        <w:tab/>
        <w:t>I</w:t>
      </w:r>
      <w:r w:rsidRPr="00ED1FA1">
        <w:rPr>
          <w:rFonts w:ascii="Arial" w:hAnsi="Arial" w:cs="Arial"/>
          <w:bCs/>
        </w:rPr>
        <w:t>f the breach is alleged to have been committed by a</w:t>
      </w:r>
      <w:r>
        <w:rPr>
          <w:rFonts w:ascii="Arial" w:hAnsi="Arial" w:cs="Arial"/>
          <w:bCs/>
        </w:rPr>
        <w:t xml:space="preserve"> </w:t>
      </w:r>
      <w:r w:rsidRPr="00ED1FA1">
        <w:rPr>
          <w:rFonts w:ascii="Arial" w:hAnsi="Arial" w:cs="Arial"/>
          <w:bCs/>
        </w:rPr>
        <w:t>body corporate—</w:t>
      </w:r>
    </w:p>
    <w:p w14:paraId="6ADA2010" w14:textId="09D195DB" w:rsidR="00ED1FA1" w:rsidRPr="00ED1FA1" w:rsidRDefault="00ED1FA1" w:rsidP="00A024B5">
      <w:pPr>
        <w:spacing w:after="160"/>
        <w:ind w:left="1560" w:hanging="426"/>
        <w:rPr>
          <w:rFonts w:ascii="Arial" w:hAnsi="Arial" w:cs="Arial"/>
          <w:bCs/>
        </w:rPr>
      </w:pPr>
      <w:r>
        <w:rPr>
          <w:rFonts w:ascii="Arial" w:hAnsi="Arial" w:cs="Arial"/>
          <w:bCs/>
        </w:rPr>
        <w:t>a</w:t>
      </w:r>
      <w:r w:rsidR="00A024B5">
        <w:rPr>
          <w:rFonts w:ascii="Arial" w:hAnsi="Arial" w:cs="Arial"/>
          <w:bCs/>
        </w:rPr>
        <w:t>.</w:t>
      </w:r>
      <w:r>
        <w:rPr>
          <w:rFonts w:ascii="Arial" w:hAnsi="Arial" w:cs="Arial"/>
          <w:bCs/>
        </w:rPr>
        <w:tab/>
        <w:t>I</w:t>
      </w:r>
      <w:r w:rsidRPr="00ED1FA1">
        <w:rPr>
          <w:rFonts w:ascii="Arial" w:hAnsi="Arial" w:cs="Arial"/>
          <w:bCs/>
        </w:rPr>
        <w:t>f the AER makes a determination</w:t>
      </w:r>
      <w:r w:rsidR="00AA34C1">
        <w:rPr>
          <w:rStyle w:val="FootnoteReference"/>
          <w:rFonts w:ascii="Arial" w:hAnsi="Arial" w:cs="Arial"/>
          <w:bCs/>
        </w:rPr>
        <w:footnoteReference w:id="4"/>
      </w:r>
      <w:r>
        <w:rPr>
          <w:rFonts w:ascii="Arial" w:hAnsi="Arial" w:cs="Arial"/>
          <w:bCs/>
        </w:rPr>
        <w:t xml:space="preserve">—$6 790 or </w:t>
      </w:r>
      <w:r w:rsidRPr="00ED1FA1">
        <w:rPr>
          <w:rFonts w:ascii="Arial" w:hAnsi="Arial" w:cs="Arial"/>
          <w:bCs/>
        </w:rPr>
        <w:t>any lesser</w:t>
      </w:r>
      <w:r>
        <w:rPr>
          <w:rFonts w:ascii="Arial" w:hAnsi="Arial" w:cs="Arial"/>
          <w:bCs/>
        </w:rPr>
        <w:t xml:space="preserve"> </w:t>
      </w:r>
      <w:r w:rsidRPr="00ED1FA1">
        <w:rPr>
          <w:rFonts w:ascii="Arial" w:hAnsi="Arial" w:cs="Arial"/>
          <w:bCs/>
        </w:rPr>
        <w:t>a</w:t>
      </w:r>
      <w:r>
        <w:rPr>
          <w:rFonts w:ascii="Arial" w:hAnsi="Arial" w:cs="Arial"/>
          <w:bCs/>
        </w:rPr>
        <w:t xml:space="preserve">mount that is prescribed by the </w:t>
      </w:r>
      <w:r w:rsidRPr="00ED1FA1">
        <w:rPr>
          <w:rFonts w:ascii="Arial" w:hAnsi="Arial" w:cs="Arial"/>
          <w:bCs/>
        </w:rPr>
        <w:t>Regulations i</w:t>
      </w:r>
      <w:r>
        <w:rPr>
          <w:rFonts w:ascii="Arial" w:hAnsi="Arial" w:cs="Arial"/>
          <w:bCs/>
        </w:rPr>
        <w:t xml:space="preserve">n relation to the civil penalty </w:t>
      </w:r>
      <w:r w:rsidRPr="00ED1FA1">
        <w:rPr>
          <w:rFonts w:ascii="Arial" w:hAnsi="Arial" w:cs="Arial"/>
          <w:bCs/>
        </w:rPr>
        <w:t>provision; or</w:t>
      </w:r>
    </w:p>
    <w:p w14:paraId="090608D0" w14:textId="1D4B72B5" w:rsidR="00ED1FA1" w:rsidRDefault="00ED1FA1" w:rsidP="00C85C1C">
      <w:pPr>
        <w:spacing w:after="160"/>
        <w:ind w:left="1560" w:hanging="426"/>
        <w:rPr>
          <w:rFonts w:ascii="Arial" w:hAnsi="Arial" w:cs="Arial"/>
          <w:bCs/>
        </w:rPr>
      </w:pPr>
      <w:r>
        <w:rPr>
          <w:rFonts w:ascii="Arial" w:hAnsi="Arial" w:cs="Arial"/>
          <w:bCs/>
        </w:rPr>
        <w:t>b</w:t>
      </w:r>
      <w:r w:rsidR="00A024B5">
        <w:rPr>
          <w:rFonts w:ascii="Arial" w:hAnsi="Arial" w:cs="Arial"/>
          <w:bCs/>
        </w:rPr>
        <w:t>.</w:t>
      </w:r>
      <w:r>
        <w:rPr>
          <w:rFonts w:ascii="Arial" w:hAnsi="Arial" w:cs="Arial"/>
          <w:bCs/>
        </w:rPr>
        <w:tab/>
        <w:t>I</w:t>
      </w:r>
      <w:r w:rsidRPr="00ED1FA1">
        <w:rPr>
          <w:rFonts w:ascii="Arial" w:hAnsi="Arial" w:cs="Arial"/>
          <w:bCs/>
        </w:rPr>
        <w:t>n any other case—$33 900 or any lesser</w:t>
      </w:r>
      <w:r>
        <w:rPr>
          <w:rFonts w:ascii="Arial" w:hAnsi="Arial" w:cs="Arial"/>
          <w:bCs/>
        </w:rPr>
        <w:t xml:space="preserve"> </w:t>
      </w:r>
      <w:r w:rsidRPr="00ED1FA1">
        <w:rPr>
          <w:rFonts w:ascii="Arial" w:hAnsi="Arial" w:cs="Arial"/>
          <w:bCs/>
        </w:rPr>
        <w:t>amount that is prescribed by the</w:t>
      </w:r>
      <w:r>
        <w:rPr>
          <w:rFonts w:ascii="Arial" w:hAnsi="Arial" w:cs="Arial"/>
          <w:bCs/>
        </w:rPr>
        <w:t xml:space="preserve"> </w:t>
      </w:r>
      <w:r w:rsidRPr="00ED1FA1">
        <w:rPr>
          <w:rFonts w:ascii="Arial" w:hAnsi="Arial" w:cs="Arial"/>
          <w:bCs/>
        </w:rPr>
        <w:t>Regulations i</w:t>
      </w:r>
      <w:r>
        <w:rPr>
          <w:rFonts w:ascii="Arial" w:hAnsi="Arial" w:cs="Arial"/>
          <w:bCs/>
        </w:rPr>
        <w:t xml:space="preserve">n relation to the civil penalty </w:t>
      </w:r>
      <w:r w:rsidRPr="00ED1FA1">
        <w:rPr>
          <w:rFonts w:ascii="Arial" w:hAnsi="Arial" w:cs="Arial"/>
          <w:bCs/>
        </w:rPr>
        <w:t>provision;</w:t>
      </w:r>
      <w:bookmarkStart w:id="0" w:name="_GoBack"/>
      <w:bookmarkEnd w:id="0"/>
    </w:p>
    <w:p w14:paraId="727C494A" w14:textId="77777777" w:rsidR="00C85C1C" w:rsidRPr="00C85C1C" w:rsidRDefault="00C85C1C" w:rsidP="00C85C1C">
      <w:pPr>
        <w:spacing w:after="160"/>
        <w:ind w:left="1560" w:hanging="426"/>
        <w:rPr>
          <w:rFonts w:ascii="Arial" w:hAnsi="Arial" w:cs="Arial"/>
          <w:bCs/>
        </w:rPr>
      </w:pPr>
    </w:p>
    <w:p w14:paraId="21D923D2" w14:textId="1951FDB8" w:rsidR="005D4AFA" w:rsidRPr="009C2337" w:rsidRDefault="005D4AFA" w:rsidP="009C2337">
      <w:pPr>
        <w:pStyle w:val="ListParagraph"/>
        <w:numPr>
          <w:ilvl w:val="0"/>
          <w:numId w:val="11"/>
        </w:numPr>
        <w:rPr>
          <w:rFonts w:ascii="Arial" w:eastAsia="Arial" w:hAnsi="Arial" w:cs="Arial"/>
          <w:b/>
        </w:rPr>
      </w:pPr>
      <w:r w:rsidRPr="009C2337">
        <w:rPr>
          <w:rFonts w:ascii="Arial" w:eastAsia="Arial" w:hAnsi="Arial" w:cs="Arial"/>
          <w:b/>
        </w:rPr>
        <w:t>The Decision Matrix</w:t>
      </w:r>
    </w:p>
    <w:p w14:paraId="223FF619" w14:textId="68AEC40B" w:rsidR="005D4AFA" w:rsidRPr="006647C6" w:rsidRDefault="005D4AFA" w:rsidP="005D4AFA">
      <w:pPr>
        <w:tabs>
          <w:tab w:val="left" w:pos="340"/>
        </w:tabs>
        <w:spacing w:before="120" w:after="160" w:line="259" w:lineRule="auto"/>
        <w:rPr>
          <w:rFonts w:ascii="Arial" w:eastAsia="Arial" w:hAnsi="Arial" w:cs="Arial"/>
        </w:rPr>
      </w:pPr>
      <w:r w:rsidRPr="006647C6">
        <w:rPr>
          <w:rFonts w:ascii="Arial" w:eastAsia="Arial" w:hAnsi="Arial" w:cs="Arial"/>
        </w:rPr>
        <w:t xml:space="preserve">The </w:t>
      </w:r>
      <w:r w:rsidR="00B43D5D">
        <w:rPr>
          <w:rFonts w:ascii="Arial" w:eastAsia="Arial" w:hAnsi="Arial" w:cs="Arial"/>
        </w:rPr>
        <w:t xml:space="preserve">draft </w:t>
      </w:r>
      <w:r w:rsidRPr="006647C6">
        <w:rPr>
          <w:rFonts w:ascii="Arial" w:eastAsia="Arial" w:hAnsi="Arial" w:cs="Arial"/>
        </w:rPr>
        <w:t xml:space="preserve">Decision Matrix sets out the criteria for the Minister making the relevant Regulations. It provides the framework to guide the decision maker to classify both current civil penalty provisions and any provisions that are prescribed as civil penalty provisions in the future. </w:t>
      </w:r>
    </w:p>
    <w:p w14:paraId="0AD0E983" w14:textId="1923E682" w:rsidR="005D4AFA" w:rsidRPr="006647C6" w:rsidRDefault="005D4AFA" w:rsidP="005D4AFA">
      <w:pPr>
        <w:spacing w:after="160" w:line="259" w:lineRule="auto"/>
        <w:rPr>
          <w:rFonts w:ascii="Arial" w:eastAsia="Arial" w:hAnsi="Arial" w:cs="Arial"/>
        </w:rPr>
      </w:pPr>
      <w:r w:rsidRPr="006647C6">
        <w:rPr>
          <w:rFonts w:ascii="Arial" w:eastAsia="Arial" w:hAnsi="Arial" w:cs="Arial"/>
        </w:rPr>
        <w:t>The Decision Matrix poses questions which relate to various ‘concepts’. These concepts reflect the key themes of the National Energy Objectives</w:t>
      </w:r>
      <w:r w:rsidR="003620F4">
        <w:rPr>
          <w:rFonts w:ascii="Arial" w:eastAsia="Arial" w:hAnsi="Arial" w:cs="Arial"/>
        </w:rPr>
        <w:t>, which are</w:t>
      </w:r>
      <w:r w:rsidR="003620F4" w:rsidRPr="003F5F83">
        <w:rPr>
          <w:rFonts w:ascii="Arial" w:eastAsia="Arial" w:hAnsi="Arial" w:cs="Arial"/>
        </w:rPr>
        <w:t xml:space="preserve"> </w:t>
      </w:r>
      <w:r w:rsidR="003620F4" w:rsidRPr="006647C6">
        <w:rPr>
          <w:rFonts w:ascii="Arial" w:eastAsia="Arial" w:hAnsi="Arial" w:cs="Arial"/>
        </w:rPr>
        <w:t>set out in section 7 of the National Electricity Law, section 23 of the National Gas Law and section 13 of the National Energy Retail Law</w:t>
      </w:r>
      <w:r w:rsidRPr="006647C6">
        <w:rPr>
          <w:rFonts w:ascii="Arial" w:eastAsia="Arial" w:hAnsi="Arial" w:cs="Arial"/>
        </w:rPr>
        <w:t xml:space="preserve">. In this way, the Decision Matrix ties the key themes of the National Energy Objectives to the classification of civil penalty provisions. </w:t>
      </w:r>
    </w:p>
    <w:p w14:paraId="0B9B048F" w14:textId="77777777" w:rsidR="005D4AFA" w:rsidRPr="006647C6" w:rsidRDefault="005D4AFA" w:rsidP="005D4AFA">
      <w:pPr>
        <w:spacing w:after="160" w:line="259" w:lineRule="auto"/>
        <w:rPr>
          <w:rFonts w:ascii="Arial" w:eastAsia="Arial" w:hAnsi="Arial" w:cs="Arial"/>
        </w:rPr>
      </w:pPr>
      <w:r w:rsidRPr="006647C6">
        <w:rPr>
          <w:rFonts w:ascii="Arial" w:eastAsia="Arial" w:hAnsi="Arial" w:cs="Arial"/>
        </w:rPr>
        <w:t xml:space="preserve">The Decision Matrix creates a flow down assessment process. That is, a civil penalty provision is assessed to determine whether it meets the criteria for a Tier 1 maximum penalty. In the event a provision does not meet the criteria for Tier 1, it is then assessed </w:t>
      </w:r>
      <w:r w:rsidRPr="006647C6">
        <w:rPr>
          <w:rFonts w:ascii="Arial" w:eastAsia="Arial" w:hAnsi="Arial" w:cs="Arial"/>
        </w:rPr>
        <w:lastRenderedPageBreak/>
        <w:t xml:space="preserve">against the criteria for Tier 2. If a civil penalty provision does not meet the criteria for Tier 1 or 2, it will automatically default to Tier 3.  </w:t>
      </w:r>
    </w:p>
    <w:p w14:paraId="13311997" w14:textId="3064730F" w:rsidR="003C26D9" w:rsidRPr="00C85C1C" w:rsidRDefault="005D4AFA" w:rsidP="00C85C1C">
      <w:pPr>
        <w:tabs>
          <w:tab w:val="left" w:pos="340"/>
        </w:tabs>
        <w:spacing w:before="120" w:after="160" w:line="259" w:lineRule="auto"/>
        <w:rPr>
          <w:rFonts w:ascii="Arial" w:eastAsia="Arial" w:hAnsi="Arial" w:cs="Arial"/>
        </w:rPr>
      </w:pPr>
      <w:r w:rsidRPr="006647C6">
        <w:rPr>
          <w:rFonts w:ascii="Arial" w:eastAsia="Arial" w:hAnsi="Arial" w:cs="Arial"/>
        </w:rPr>
        <w:t>The Decision Matrix has been used to arrive at the classifications set out in the Draft Classification document. The Decision Matrix should b</w:t>
      </w:r>
      <w:r w:rsidR="005E1EEB">
        <w:rPr>
          <w:rFonts w:ascii="Arial" w:eastAsia="Arial" w:hAnsi="Arial" w:cs="Arial"/>
        </w:rPr>
        <w:t>e read in conjunction with the Concept T</w:t>
      </w:r>
      <w:r w:rsidRPr="006647C6">
        <w:rPr>
          <w:rFonts w:ascii="Arial" w:eastAsia="Arial" w:hAnsi="Arial" w:cs="Arial"/>
        </w:rPr>
        <w:t>able.</w:t>
      </w:r>
    </w:p>
    <w:p w14:paraId="135259EB" w14:textId="6EF83CC2" w:rsidR="005D4AFA" w:rsidRPr="006647C6" w:rsidRDefault="005D4AFA" w:rsidP="009C2337">
      <w:pPr>
        <w:pStyle w:val="ListParagraph"/>
        <w:numPr>
          <w:ilvl w:val="0"/>
          <w:numId w:val="11"/>
        </w:numPr>
        <w:tabs>
          <w:tab w:val="left" w:pos="340"/>
        </w:tabs>
        <w:spacing w:before="120" w:after="160" w:line="259" w:lineRule="auto"/>
        <w:rPr>
          <w:rFonts w:ascii="Arial" w:eastAsia="Arial" w:hAnsi="Arial" w:cs="Arial"/>
          <w:b/>
        </w:rPr>
      </w:pPr>
      <w:r w:rsidRPr="006647C6">
        <w:rPr>
          <w:rFonts w:ascii="Arial" w:eastAsia="Arial" w:hAnsi="Arial" w:cs="Arial"/>
          <w:b/>
        </w:rPr>
        <w:t>The Concept Table</w:t>
      </w:r>
    </w:p>
    <w:p w14:paraId="7F5159AD" w14:textId="178D0C77" w:rsidR="005D4AFA" w:rsidRPr="006647C6" w:rsidRDefault="005D4AFA" w:rsidP="005E1EEB">
      <w:pPr>
        <w:tabs>
          <w:tab w:val="left" w:pos="340"/>
        </w:tabs>
        <w:spacing w:before="120" w:after="160" w:line="259" w:lineRule="auto"/>
        <w:rPr>
          <w:rFonts w:ascii="Arial" w:eastAsia="Arial" w:hAnsi="Arial" w:cs="Arial"/>
        </w:rPr>
      </w:pPr>
      <w:r w:rsidRPr="006647C6">
        <w:rPr>
          <w:rFonts w:ascii="Arial" w:eastAsia="Arial" w:hAnsi="Arial" w:cs="Arial"/>
        </w:rPr>
        <w:t xml:space="preserve">The </w:t>
      </w:r>
      <w:r w:rsidR="005E1EEB">
        <w:rPr>
          <w:rFonts w:ascii="Arial" w:eastAsia="Arial" w:hAnsi="Arial" w:cs="Arial"/>
        </w:rPr>
        <w:t xml:space="preserve">draft </w:t>
      </w:r>
      <w:r w:rsidRPr="006647C6">
        <w:rPr>
          <w:rFonts w:ascii="Arial" w:eastAsia="Arial" w:hAnsi="Arial" w:cs="Arial"/>
        </w:rPr>
        <w:t xml:space="preserve">Concept Table expands upon each of the ‘concepts’ in the Decision Matrix. The key concepts are drawn from the National Energy Objectives. </w:t>
      </w:r>
      <w:r w:rsidR="004D415D">
        <w:rPr>
          <w:rFonts w:ascii="Arial" w:eastAsia="Arial" w:hAnsi="Arial" w:cs="Arial"/>
        </w:rPr>
        <w:t>These promote the</w:t>
      </w:r>
      <w:r w:rsidR="004D415D" w:rsidRPr="004D415D">
        <w:rPr>
          <w:rFonts w:ascii="Arial" w:eastAsia="Arial" w:hAnsi="Arial" w:cs="Arial"/>
        </w:rPr>
        <w:t xml:space="preserve"> efficient investment in, and the efficient operation of energy services for the long</w:t>
      </w:r>
      <w:r w:rsidR="004D415D">
        <w:rPr>
          <w:rFonts w:ascii="Arial" w:eastAsia="Arial" w:hAnsi="Arial" w:cs="Arial"/>
        </w:rPr>
        <w:t xml:space="preserve"> term interests of consumers, </w:t>
      </w:r>
      <w:r w:rsidR="004D415D" w:rsidRPr="004D415D">
        <w:rPr>
          <w:rFonts w:ascii="Arial" w:eastAsia="Arial" w:hAnsi="Arial" w:cs="Arial"/>
        </w:rPr>
        <w:t>particularly with regard to quality, reliability, safety and security of energy supply and services.</w:t>
      </w:r>
      <w:r w:rsidR="004D415D" w:rsidRPr="004D415D" w:rsidDel="00B97909">
        <w:rPr>
          <w:rFonts w:ascii="Arial" w:eastAsia="Arial" w:hAnsi="Arial" w:cs="Arial"/>
        </w:rPr>
        <w:t xml:space="preserve"> </w:t>
      </w:r>
    </w:p>
    <w:p w14:paraId="0C938A66" w14:textId="189EDC78" w:rsidR="003C26D9" w:rsidRPr="006647C6" w:rsidRDefault="005D4AFA" w:rsidP="005D4AFA">
      <w:pPr>
        <w:tabs>
          <w:tab w:val="left" w:pos="340"/>
        </w:tabs>
        <w:spacing w:before="120" w:after="160" w:line="259" w:lineRule="auto"/>
        <w:rPr>
          <w:rFonts w:ascii="Arial" w:eastAsia="Arial" w:hAnsi="Arial" w:cs="Arial"/>
        </w:rPr>
      </w:pPr>
      <w:r w:rsidRPr="006647C6">
        <w:rPr>
          <w:rFonts w:ascii="Arial" w:eastAsia="Arial" w:hAnsi="Arial" w:cs="Arial"/>
        </w:rPr>
        <w:t>The concepts also reflect the objective of civil penalties, as articulated by the courts, being to provide specific and general deterrence of certain harmful conduct.</w:t>
      </w:r>
    </w:p>
    <w:p w14:paraId="2BC3E0BF" w14:textId="5DBD4B3D" w:rsidR="005D4AFA" w:rsidRPr="006647C6" w:rsidRDefault="00B97909" w:rsidP="009C2337">
      <w:pPr>
        <w:pStyle w:val="ListParagraph"/>
        <w:numPr>
          <w:ilvl w:val="0"/>
          <w:numId w:val="11"/>
        </w:numPr>
        <w:tabs>
          <w:tab w:val="left" w:pos="340"/>
        </w:tabs>
        <w:spacing w:before="120" w:after="160" w:line="259" w:lineRule="auto"/>
        <w:rPr>
          <w:rFonts w:ascii="Arial" w:eastAsia="Arial" w:hAnsi="Arial" w:cs="Arial"/>
          <w:b/>
        </w:rPr>
      </w:pPr>
      <w:r>
        <w:rPr>
          <w:rFonts w:ascii="Arial" w:eastAsia="Arial" w:hAnsi="Arial" w:cs="Arial"/>
          <w:b/>
        </w:rPr>
        <w:t>Th</w:t>
      </w:r>
      <w:r w:rsidR="005E1EEB">
        <w:rPr>
          <w:rFonts w:ascii="Arial" w:eastAsia="Arial" w:hAnsi="Arial" w:cs="Arial"/>
          <w:b/>
        </w:rPr>
        <w:t>e</w:t>
      </w:r>
      <w:r w:rsidR="005D4AFA" w:rsidRPr="006647C6">
        <w:rPr>
          <w:rFonts w:ascii="Arial" w:eastAsia="Arial" w:hAnsi="Arial" w:cs="Arial"/>
          <w:b/>
        </w:rPr>
        <w:t xml:space="preserve"> Classification</w:t>
      </w:r>
      <w:r w:rsidR="005E1EEB">
        <w:rPr>
          <w:rFonts w:ascii="Arial" w:eastAsia="Arial" w:hAnsi="Arial" w:cs="Arial"/>
          <w:b/>
        </w:rPr>
        <w:t xml:space="preserve"> of Tiers</w:t>
      </w:r>
    </w:p>
    <w:p w14:paraId="4A85FF08" w14:textId="217CAF27" w:rsidR="00E25AAB" w:rsidRPr="00C85C1C" w:rsidRDefault="005E1EEB" w:rsidP="00C85C1C">
      <w:pPr>
        <w:tabs>
          <w:tab w:val="left" w:pos="340"/>
        </w:tabs>
        <w:spacing w:before="120" w:after="160" w:line="259" w:lineRule="auto"/>
        <w:rPr>
          <w:rFonts w:ascii="Arial" w:eastAsia="Arial" w:hAnsi="Arial" w:cs="Arial"/>
        </w:rPr>
      </w:pPr>
      <w:r>
        <w:rPr>
          <w:rFonts w:ascii="Arial" w:eastAsia="Arial" w:hAnsi="Arial" w:cs="Arial"/>
        </w:rPr>
        <w:t xml:space="preserve">The three </w:t>
      </w:r>
      <w:r w:rsidR="005F7D5A">
        <w:rPr>
          <w:rFonts w:ascii="Arial" w:eastAsia="Arial" w:hAnsi="Arial" w:cs="Arial"/>
        </w:rPr>
        <w:t>c</w:t>
      </w:r>
      <w:r w:rsidR="005D4AFA" w:rsidRPr="006647C6">
        <w:rPr>
          <w:rFonts w:ascii="Arial" w:eastAsia="Arial" w:hAnsi="Arial" w:cs="Arial"/>
        </w:rPr>
        <w:t>lassification document</w:t>
      </w:r>
      <w:r w:rsidR="007765D8" w:rsidRPr="006647C6">
        <w:rPr>
          <w:rFonts w:ascii="Arial" w:eastAsia="Arial" w:hAnsi="Arial" w:cs="Arial"/>
        </w:rPr>
        <w:t>s</w:t>
      </w:r>
      <w:r w:rsidR="00516702">
        <w:rPr>
          <w:rFonts w:ascii="Arial" w:eastAsia="Arial" w:hAnsi="Arial" w:cs="Arial"/>
        </w:rPr>
        <w:t xml:space="preserve"> list</w:t>
      </w:r>
      <w:r w:rsidR="005D4AFA" w:rsidRPr="006647C6">
        <w:rPr>
          <w:rFonts w:ascii="Arial" w:eastAsia="Arial" w:hAnsi="Arial" w:cs="Arial"/>
        </w:rPr>
        <w:t xml:space="preserve"> each current civil penalty provision and the proposed tier that it will fall within</w:t>
      </w:r>
      <w:r w:rsidR="007765D8" w:rsidRPr="006647C6">
        <w:rPr>
          <w:rFonts w:ascii="Arial" w:eastAsia="Arial" w:hAnsi="Arial" w:cs="Arial"/>
        </w:rPr>
        <w:t>,</w:t>
      </w:r>
      <w:r w:rsidR="00F267AB" w:rsidRPr="006647C6">
        <w:rPr>
          <w:rFonts w:ascii="Arial" w:eastAsia="Arial" w:hAnsi="Arial" w:cs="Arial"/>
        </w:rPr>
        <w:t xml:space="preserve"> categorised by NEL, NERL or NGL</w:t>
      </w:r>
      <w:r w:rsidR="005D4AFA" w:rsidRPr="006647C6">
        <w:rPr>
          <w:rFonts w:ascii="Arial" w:eastAsia="Arial" w:hAnsi="Arial" w:cs="Arial"/>
        </w:rPr>
        <w:t xml:space="preserve">. Regulations will be drafted to give effect to the final classification reached following this consultation.  </w:t>
      </w:r>
    </w:p>
    <w:p w14:paraId="50E464BC" w14:textId="2D337D4A" w:rsidR="00965CAF" w:rsidRPr="006647C6" w:rsidRDefault="00E25AAB" w:rsidP="009C2337">
      <w:pPr>
        <w:pStyle w:val="ListParagraph"/>
        <w:numPr>
          <w:ilvl w:val="0"/>
          <w:numId w:val="11"/>
        </w:numPr>
        <w:rPr>
          <w:rFonts w:ascii="Arial" w:hAnsi="Arial" w:cs="Arial"/>
          <w:b/>
        </w:rPr>
      </w:pPr>
      <w:r w:rsidRPr="009C2337">
        <w:rPr>
          <w:rFonts w:ascii="Arial" w:hAnsi="Arial" w:cs="Arial"/>
          <w:b/>
        </w:rPr>
        <w:t>Next steps</w:t>
      </w:r>
    </w:p>
    <w:p w14:paraId="1E48A691" w14:textId="77777777" w:rsidR="006647C6" w:rsidRPr="006647C6" w:rsidRDefault="006647C6">
      <w:pPr>
        <w:rPr>
          <w:rFonts w:ascii="Arial" w:hAnsi="Arial" w:cs="Arial"/>
          <w:b/>
        </w:rPr>
      </w:pPr>
    </w:p>
    <w:p w14:paraId="33F2329F" w14:textId="4758308D" w:rsidR="006647C6" w:rsidRPr="00C85C1C" w:rsidRDefault="006647C6">
      <w:pPr>
        <w:rPr>
          <w:rFonts w:ascii="Arial" w:eastAsia="Times New Roman" w:hAnsi="Arial" w:cs="Arial"/>
          <w:lang w:eastAsia="en-AU"/>
        </w:rPr>
      </w:pPr>
      <w:r w:rsidRPr="009C2337">
        <w:rPr>
          <w:rFonts w:ascii="Arial" w:eastAsia="Times New Roman" w:hAnsi="Arial" w:cs="Arial"/>
          <w:lang w:eastAsia="en-AU"/>
        </w:rPr>
        <w:t>Following the consultation</w:t>
      </w:r>
      <w:r w:rsidR="00516702">
        <w:rPr>
          <w:rFonts w:ascii="Arial" w:eastAsia="Times New Roman" w:hAnsi="Arial" w:cs="Arial"/>
          <w:lang w:eastAsia="en-AU"/>
        </w:rPr>
        <w:t>,</w:t>
      </w:r>
      <w:r w:rsidRPr="009C2337">
        <w:rPr>
          <w:rFonts w:ascii="Arial" w:eastAsia="Times New Roman" w:hAnsi="Arial" w:cs="Arial"/>
          <w:lang w:eastAsia="en-AU"/>
        </w:rPr>
        <w:t xml:space="preserve"> an expert working group together with state and territory representatives will reconvene to</w:t>
      </w:r>
      <w:r w:rsidR="003A0A53">
        <w:rPr>
          <w:rFonts w:ascii="Arial" w:eastAsia="Times New Roman" w:hAnsi="Arial" w:cs="Arial"/>
          <w:lang w:eastAsia="en-AU"/>
        </w:rPr>
        <w:t xml:space="preserve"> consider submissions and</w:t>
      </w:r>
      <w:r w:rsidRPr="009C2337">
        <w:rPr>
          <w:rFonts w:ascii="Arial" w:eastAsia="Times New Roman" w:hAnsi="Arial" w:cs="Arial"/>
          <w:lang w:eastAsia="en-AU"/>
        </w:rPr>
        <w:t xml:space="preserve"> finalise the penalty tiers, matrix and concept table for Energy Ministers approval. Regulatory amendments will then be drafted to give effect to the penalty provisions. </w:t>
      </w:r>
    </w:p>
    <w:p w14:paraId="50E464BD" w14:textId="77777777" w:rsidR="00965CAF" w:rsidRPr="006647C6" w:rsidRDefault="00965CAF" w:rsidP="00965CAF">
      <w:pPr>
        <w:pStyle w:val="ListParagraph"/>
        <w:ind w:left="360"/>
        <w:rPr>
          <w:rFonts w:ascii="Arial" w:hAnsi="Arial" w:cs="Arial"/>
          <w:b/>
        </w:rPr>
      </w:pPr>
    </w:p>
    <w:p w14:paraId="50E464BE" w14:textId="172EBFBC" w:rsidR="00965CAF" w:rsidRPr="006647C6" w:rsidRDefault="00965CAF" w:rsidP="009C2337">
      <w:pPr>
        <w:pStyle w:val="ListParagraph"/>
        <w:numPr>
          <w:ilvl w:val="0"/>
          <w:numId w:val="11"/>
        </w:numPr>
        <w:rPr>
          <w:rFonts w:ascii="Arial" w:hAnsi="Arial" w:cs="Arial"/>
          <w:b/>
        </w:rPr>
      </w:pPr>
      <w:r w:rsidRPr="006647C6">
        <w:rPr>
          <w:rFonts w:ascii="Arial" w:hAnsi="Arial" w:cs="Arial"/>
          <w:b/>
        </w:rPr>
        <w:t xml:space="preserve">Contact for </w:t>
      </w:r>
      <w:r w:rsidR="004D415D">
        <w:rPr>
          <w:rFonts w:ascii="Arial" w:hAnsi="Arial" w:cs="Arial"/>
          <w:b/>
        </w:rPr>
        <w:t>consultation</w:t>
      </w:r>
      <w:r w:rsidR="004D415D" w:rsidRPr="006647C6">
        <w:rPr>
          <w:rFonts w:ascii="Arial" w:hAnsi="Arial" w:cs="Arial"/>
          <w:b/>
        </w:rPr>
        <w:t xml:space="preserve"> </w:t>
      </w:r>
    </w:p>
    <w:p w14:paraId="1EA839ED" w14:textId="77777777" w:rsidR="00510D7E" w:rsidRPr="006647C6" w:rsidRDefault="00510D7E" w:rsidP="00510D7E">
      <w:pPr>
        <w:pStyle w:val="ListParagraph"/>
        <w:rPr>
          <w:rFonts w:ascii="Arial" w:hAnsi="Arial" w:cs="Arial"/>
          <w:noProof/>
        </w:rPr>
      </w:pPr>
    </w:p>
    <w:p w14:paraId="50E464C1" w14:textId="6A2CF8B6" w:rsidR="00965CAF" w:rsidRDefault="001B06A1" w:rsidP="00510D7E">
      <w:pPr>
        <w:pStyle w:val="ListParagraph"/>
        <w:rPr>
          <w:rFonts w:ascii="Arial" w:hAnsi="Arial" w:cs="Arial"/>
        </w:rPr>
      </w:pPr>
      <w:r>
        <w:rPr>
          <w:rFonts w:ascii="Arial" w:hAnsi="Arial" w:cs="Arial"/>
        </w:rPr>
        <w:t>Governance Project Team Secretariat</w:t>
      </w:r>
    </w:p>
    <w:p w14:paraId="60F41E8D" w14:textId="4EEC2BAC" w:rsidR="001B06A1" w:rsidRPr="006647C6" w:rsidRDefault="00485EDC" w:rsidP="00510D7E">
      <w:pPr>
        <w:pStyle w:val="ListParagraph"/>
        <w:rPr>
          <w:rFonts w:ascii="Arial" w:hAnsi="Arial" w:cs="Arial"/>
        </w:rPr>
      </w:pPr>
      <w:r>
        <w:rPr>
          <w:rFonts w:ascii="Arial" w:eastAsia="Times New Roman" w:hAnsi="Arial" w:cs="Arial"/>
          <w:color w:val="007FAE"/>
          <w:sz w:val="24"/>
          <w:szCs w:val="24"/>
          <w:u w:val="single"/>
          <w:lang w:val="en" w:eastAsia="en-AU"/>
        </w:rPr>
        <w:t>GPTSecretariat@industry.gov.au</w:t>
      </w:r>
      <w:r w:rsidR="001B06A1">
        <w:rPr>
          <w:rFonts w:ascii="Arial" w:hAnsi="Arial" w:cs="Arial"/>
        </w:rPr>
        <w:t xml:space="preserve"> </w:t>
      </w:r>
    </w:p>
    <w:p w14:paraId="50E464C3" w14:textId="598FF21F" w:rsidR="00965CAF" w:rsidRPr="006647C6" w:rsidRDefault="00965CAF" w:rsidP="00510D7E">
      <w:pPr>
        <w:pStyle w:val="ListParagraph"/>
        <w:rPr>
          <w:rFonts w:ascii="Arial" w:hAnsi="Arial" w:cs="Arial"/>
        </w:rPr>
      </w:pPr>
    </w:p>
    <w:p w14:paraId="50E464C4" w14:textId="77777777" w:rsidR="00965CAF" w:rsidRPr="006647C6" w:rsidRDefault="00965CAF" w:rsidP="00965CAF">
      <w:pPr>
        <w:pStyle w:val="ListParagraph"/>
        <w:ind w:left="360"/>
        <w:rPr>
          <w:rFonts w:ascii="Arial" w:hAnsi="Arial" w:cs="Arial"/>
          <w:b/>
        </w:rPr>
      </w:pPr>
    </w:p>
    <w:p w14:paraId="6608262B" w14:textId="23A51F3D" w:rsidR="002312F1" w:rsidRPr="000F7713" w:rsidRDefault="00965CAF" w:rsidP="000F7713">
      <w:pPr>
        <w:pStyle w:val="ListParagraph"/>
        <w:numPr>
          <w:ilvl w:val="0"/>
          <w:numId w:val="11"/>
        </w:numPr>
        <w:rPr>
          <w:rFonts w:ascii="Arial" w:hAnsi="Arial" w:cs="Arial"/>
          <w:b/>
        </w:rPr>
      </w:pPr>
      <w:r w:rsidRPr="006647C6">
        <w:rPr>
          <w:rFonts w:ascii="Arial" w:hAnsi="Arial" w:cs="Arial"/>
          <w:b/>
        </w:rPr>
        <w:t>Key Dates</w:t>
      </w:r>
      <w:r w:rsidR="002412D5">
        <w:rPr>
          <w:rFonts w:ascii="Arial" w:hAnsi="Arial" w:cs="Arial"/>
          <w:b/>
        </w:rPr>
        <w:t xml:space="preserve"> – submissions are due by 10</w:t>
      </w:r>
      <w:r w:rsidR="00516702">
        <w:rPr>
          <w:rFonts w:ascii="Arial" w:hAnsi="Arial" w:cs="Arial"/>
          <w:b/>
        </w:rPr>
        <w:t xml:space="preserve"> August </w:t>
      </w:r>
      <w:r w:rsidR="00372588" w:rsidRPr="006647C6">
        <w:rPr>
          <w:rFonts w:ascii="Arial" w:hAnsi="Arial" w:cs="Arial"/>
          <w:b/>
        </w:rPr>
        <w:t>2020</w:t>
      </w:r>
    </w:p>
    <w:sectPr w:rsidR="002312F1" w:rsidRPr="000F77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095798" w14:textId="77777777" w:rsidR="00F236AC" w:rsidRDefault="00F236AC" w:rsidP="005D4AFA">
      <w:r>
        <w:separator/>
      </w:r>
    </w:p>
  </w:endnote>
  <w:endnote w:type="continuationSeparator" w:id="0">
    <w:p w14:paraId="203D8B38" w14:textId="77777777" w:rsidR="00F236AC" w:rsidRDefault="00F236AC" w:rsidP="005D4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4CA6E3" w14:textId="77777777" w:rsidR="00F236AC" w:rsidRDefault="00F236AC" w:rsidP="005D4AFA">
      <w:r>
        <w:separator/>
      </w:r>
    </w:p>
  </w:footnote>
  <w:footnote w:type="continuationSeparator" w:id="0">
    <w:p w14:paraId="3968DC37" w14:textId="77777777" w:rsidR="00F236AC" w:rsidRDefault="00F236AC" w:rsidP="005D4AFA">
      <w:r>
        <w:continuationSeparator/>
      </w:r>
    </w:p>
  </w:footnote>
  <w:footnote w:id="1">
    <w:p w14:paraId="1F81F512" w14:textId="77777777" w:rsidR="00B24B4E" w:rsidRDefault="00B24B4E" w:rsidP="00B24B4E">
      <w:pPr>
        <w:pStyle w:val="FootnoteText"/>
      </w:pPr>
      <w:r>
        <w:rPr>
          <w:rStyle w:val="FootnoteReference"/>
        </w:rPr>
        <w:footnoteRef/>
      </w:r>
      <w:r>
        <w:t xml:space="preserve"> </w:t>
      </w:r>
      <w:r w:rsidRPr="009E0F44">
        <w:rPr>
          <w:i/>
        </w:rPr>
        <w:t>Statutes Amendment (National Energy Laws) (Penalties and Enforcement) Bill 2020</w:t>
      </w:r>
      <w:r>
        <w:t>, Second Reading Speech, 3 June 2020</w:t>
      </w:r>
    </w:p>
  </w:footnote>
  <w:footnote w:id="2">
    <w:p w14:paraId="2004117B" w14:textId="77777777" w:rsidR="005D4AFA" w:rsidRDefault="005D4AFA" w:rsidP="005D4AFA">
      <w:pPr>
        <w:pStyle w:val="FootnoteText"/>
      </w:pPr>
      <w:r>
        <w:rPr>
          <w:rStyle w:val="FootnoteReference"/>
        </w:rPr>
        <w:footnoteRef/>
      </w:r>
      <w:r>
        <w:t xml:space="preserve"> If a civil penalty provision is not proscribed as a Tier 1 or Tier 2 provision by a Regulation, it will be in Tier 3. </w:t>
      </w:r>
    </w:p>
  </w:footnote>
  <w:footnote w:id="3">
    <w:p w14:paraId="62972B47" w14:textId="79562ADB" w:rsidR="00A92BD3" w:rsidRDefault="00A92BD3">
      <w:pPr>
        <w:pStyle w:val="FootnoteText"/>
      </w:pPr>
      <w:r>
        <w:rPr>
          <w:rStyle w:val="FootnoteReference"/>
        </w:rPr>
        <w:footnoteRef/>
      </w:r>
      <w:r>
        <w:t xml:space="preserve"> </w:t>
      </w:r>
      <w:r w:rsidRPr="00A92BD3">
        <w:rPr>
          <w:rFonts w:asciiTheme="minorHAnsi" w:hAnsiTheme="minorHAnsi" w:cstheme="minorHAnsi"/>
        </w:rPr>
        <w:t>Section 74 of the National Electricity Law; section 308 of the National Energy Retail Law; section 277 of the National Gas Law.</w:t>
      </w:r>
    </w:p>
  </w:footnote>
  <w:footnote w:id="4">
    <w:p w14:paraId="46D35278" w14:textId="25214154" w:rsidR="00AA34C1" w:rsidRDefault="00AA34C1">
      <w:pPr>
        <w:pStyle w:val="FootnoteText"/>
      </w:pPr>
      <w:r>
        <w:rPr>
          <w:rStyle w:val="FootnoteReference"/>
        </w:rPr>
        <w:footnoteRef/>
      </w:r>
      <w:r>
        <w:t xml:space="preserve"> The AER may make a determination under section 76(2) of the National Electricity Law or 309(3) of the National Gas Law taking into account certain prescribed matters.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329A7"/>
    <w:multiLevelType w:val="hybridMultilevel"/>
    <w:tmpl w:val="36826184"/>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0EDA0532"/>
    <w:multiLevelType w:val="hybridMultilevel"/>
    <w:tmpl w:val="1D3CF5C0"/>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2" w15:restartNumberingAfterBreak="0">
    <w:nsid w:val="0FB41DD5"/>
    <w:multiLevelType w:val="hybridMultilevel"/>
    <w:tmpl w:val="3F54F1A8"/>
    <w:lvl w:ilvl="0" w:tplc="C8C609A4">
      <w:start w:val="1"/>
      <w:numFmt w:val="lowerRoman"/>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6951726"/>
    <w:multiLevelType w:val="hybridMultilevel"/>
    <w:tmpl w:val="764492F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6E147BF"/>
    <w:multiLevelType w:val="hybridMultilevel"/>
    <w:tmpl w:val="3F54F1A8"/>
    <w:lvl w:ilvl="0" w:tplc="C8C609A4">
      <w:start w:val="1"/>
      <w:numFmt w:val="lowerRoman"/>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30462227"/>
    <w:multiLevelType w:val="hybridMultilevel"/>
    <w:tmpl w:val="E10E94F8"/>
    <w:lvl w:ilvl="0" w:tplc="0C090001">
      <w:start w:val="1"/>
      <w:numFmt w:val="bullet"/>
      <w:lvlText w:val=""/>
      <w:lvlJc w:val="left"/>
      <w:pPr>
        <w:tabs>
          <w:tab w:val="num" w:pos="720"/>
        </w:tabs>
        <w:ind w:left="720" w:hanging="360"/>
      </w:pPr>
      <w:rPr>
        <w:rFonts w:ascii="Symbol" w:hAnsi="Symbol" w:hint="default"/>
      </w:rPr>
    </w:lvl>
    <w:lvl w:ilvl="1" w:tplc="0C090019">
      <w:start w:val="1"/>
      <w:numFmt w:val="lowerLetter"/>
      <w:lvlText w:val="%2."/>
      <w:lvlJc w:val="left"/>
      <w:pPr>
        <w:tabs>
          <w:tab w:val="num" w:pos="1440"/>
        </w:tabs>
        <w:ind w:left="1440" w:hanging="360"/>
      </w:pPr>
    </w:lvl>
    <w:lvl w:ilvl="2" w:tplc="0C09001B">
      <w:start w:val="1"/>
      <w:numFmt w:val="lowerRoman"/>
      <w:lvlText w:val="%3."/>
      <w:lvlJc w:val="right"/>
      <w:pPr>
        <w:tabs>
          <w:tab w:val="num" w:pos="2160"/>
        </w:tabs>
        <w:ind w:left="2160" w:hanging="180"/>
      </w:pPr>
    </w:lvl>
    <w:lvl w:ilvl="3" w:tplc="0C09000F">
      <w:start w:val="1"/>
      <w:numFmt w:val="decimal"/>
      <w:lvlText w:val="%4."/>
      <w:lvlJc w:val="left"/>
      <w:pPr>
        <w:tabs>
          <w:tab w:val="num" w:pos="2880"/>
        </w:tabs>
        <w:ind w:left="2880" w:hanging="360"/>
      </w:pPr>
    </w:lvl>
    <w:lvl w:ilvl="4" w:tplc="0C090019">
      <w:start w:val="1"/>
      <w:numFmt w:val="lowerLetter"/>
      <w:lvlText w:val="%5."/>
      <w:lvlJc w:val="left"/>
      <w:pPr>
        <w:tabs>
          <w:tab w:val="num" w:pos="3600"/>
        </w:tabs>
        <w:ind w:left="3600" w:hanging="360"/>
      </w:pPr>
    </w:lvl>
    <w:lvl w:ilvl="5" w:tplc="0C09001B">
      <w:start w:val="1"/>
      <w:numFmt w:val="lowerRoman"/>
      <w:lvlText w:val="%6."/>
      <w:lvlJc w:val="right"/>
      <w:pPr>
        <w:tabs>
          <w:tab w:val="num" w:pos="4320"/>
        </w:tabs>
        <w:ind w:left="4320" w:hanging="180"/>
      </w:pPr>
    </w:lvl>
    <w:lvl w:ilvl="6" w:tplc="0C09000F">
      <w:start w:val="1"/>
      <w:numFmt w:val="decimal"/>
      <w:lvlText w:val="%7."/>
      <w:lvlJc w:val="left"/>
      <w:pPr>
        <w:tabs>
          <w:tab w:val="num" w:pos="5040"/>
        </w:tabs>
        <w:ind w:left="5040" w:hanging="360"/>
      </w:pPr>
    </w:lvl>
    <w:lvl w:ilvl="7" w:tplc="0C090019">
      <w:start w:val="1"/>
      <w:numFmt w:val="lowerLetter"/>
      <w:lvlText w:val="%8."/>
      <w:lvlJc w:val="left"/>
      <w:pPr>
        <w:tabs>
          <w:tab w:val="num" w:pos="5760"/>
        </w:tabs>
        <w:ind w:left="5760" w:hanging="360"/>
      </w:pPr>
    </w:lvl>
    <w:lvl w:ilvl="8" w:tplc="0C09001B">
      <w:start w:val="1"/>
      <w:numFmt w:val="lowerRoman"/>
      <w:lvlText w:val="%9."/>
      <w:lvlJc w:val="right"/>
      <w:pPr>
        <w:tabs>
          <w:tab w:val="num" w:pos="6480"/>
        </w:tabs>
        <w:ind w:left="6480" w:hanging="180"/>
      </w:pPr>
    </w:lvl>
  </w:abstractNum>
  <w:abstractNum w:abstractNumId="6" w15:restartNumberingAfterBreak="0">
    <w:nsid w:val="3196028D"/>
    <w:multiLevelType w:val="hybridMultilevel"/>
    <w:tmpl w:val="1E62DE42"/>
    <w:lvl w:ilvl="0" w:tplc="42DC52C0">
      <w:start w:val="1"/>
      <w:numFmt w:val="decimal"/>
      <w:lvlText w:val="%1."/>
      <w:lvlJc w:val="left"/>
      <w:pPr>
        <w:ind w:left="360" w:hanging="360"/>
      </w:pPr>
      <w:rPr>
        <w:rFonts w:hint="default"/>
        <w:b/>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15:restartNumberingAfterBreak="0">
    <w:nsid w:val="360E0430"/>
    <w:multiLevelType w:val="hybridMultilevel"/>
    <w:tmpl w:val="4F62DC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72C4D13"/>
    <w:multiLevelType w:val="hybridMultilevel"/>
    <w:tmpl w:val="18BE9C18"/>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417D0902"/>
    <w:multiLevelType w:val="hybridMultilevel"/>
    <w:tmpl w:val="895C3A5A"/>
    <w:lvl w:ilvl="0" w:tplc="0C09000F">
      <w:start w:val="1"/>
      <w:numFmt w:val="decimal"/>
      <w:lvlText w:val="%1."/>
      <w:lvlJc w:val="left"/>
      <w:pPr>
        <w:tabs>
          <w:tab w:val="num" w:pos="360"/>
        </w:tabs>
        <w:ind w:left="360" w:hanging="360"/>
      </w:pPr>
      <w:rPr>
        <w:rFonts w:hint="default"/>
      </w:rPr>
    </w:lvl>
    <w:lvl w:ilvl="1" w:tplc="0C090019">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0" w15:restartNumberingAfterBreak="0">
    <w:nsid w:val="60310255"/>
    <w:multiLevelType w:val="hybridMultilevel"/>
    <w:tmpl w:val="3F54F1A8"/>
    <w:lvl w:ilvl="0" w:tplc="C8C609A4">
      <w:start w:val="1"/>
      <w:numFmt w:val="lowerRoman"/>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67347447"/>
    <w:multiLevelType w:val="hybridMultilevel"/>
    <w:tmpl w:val="34888FE4"/>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C070D53"/>
    <w:multiLevelType w:val="hybridMultilevel"/>
    <w:tmpl w:val="8A382BD0"/>
    <w:lvl w:ilvl="0" w:tplc="879E4B1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num>
  <w:num w:numId="2">
    <w:abstractNumId w:val="7"/>
  </w:num>
  <w:num w:numId="3">
    <w:abstractNumId w:val="1"/>
  </w:num>
  <w:num w:numId="4">
    <w:abstractNumId w:val="8"/>
  </w:num>
  <w:num w:numId="5">
    <w:abstractNumId w:val="4"/>
  </w:num>
  <w:num w:numId="6">
    <w:abstractNumId w:val="10"/>
  </w:num>
  <w:num w:numId="7">
    <w:abstractNumId w:val="2"/>
  </w:num>
  <w:num w:numId="8">
    <w:abstractNumId w:val="12"/>
  </w:num>
  <w:num w:numId="9">
    <w:abstractNumId w:val="11"/>
  </w:num>
  <w:num w:numId="10">
    <w:abstractNumId w:val="3"/>
  </w:num>
  <w:num w:numId="11">
    <w:abstractNumId w:val="0"/>
  </w:num>
  <w:num w:numId="12">
    <w:abstractNumId w:val="9"/>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081"/>
    <w:rsid w:val="000133C1"/>
    <w:rsid w:val="00057081"/>
    <w:rsid w:val="000A6ECE"/>
    <w:rsid w:val="000F7713"/>
    <w:rsid w:val="001030D8"/>
    <w:rsid w:val="00164DA5"/>
    <w:rsid w:val="001B06A1"/>
    <w:rsid w:val="0021627A"/>
    <w:rsid w:val="002312F1"/>
    <w:rsid w:val="002412D5"/>
    <w:rsid w:val="00260257"/>
    <w:rsid w:val="0032585C"/>
    <w:rsid w:val="003620F4"/>
    <w:rsid w:val="00372588"/>
    <w:rsid w:val="003A0A53"/>
    <w:rsid w:val="003B3D21"/>
    <w:rsid w:val="003C26D9"/>
    <w:rsid w:val="00443680"/>
    <w:rsid w:val="00485EDC"/>
    <w:rsid w:val="004D415D"/>
    <w:rsid w:val="00510D7E"/>
    <w:rsid w:val="00516702"/>
    <w:rsid w:val="005B5626"/>
    <w:rsid w:val="005D4AFA"/>
    <w:rsid w:val="005E1EEB"/>
    <w:rsid w:val="005F7D5A"/>
    <w:rsid w:val="006647C6"/>
    <w:rsid w:val="00692581"/>
    <w:rsid w:val="00696B2E"/>
    <w:rsid w:val="00741E34"/>
    <w:rsid w:val="007765D8"/>
    <w:rsid w:val="007F2929"/>
    <w:rsid w:val="00804514"/>
    <w:rsid w:val="008463B4"/>
    <w:rsid w:val="00920441"/>
    <w:rsid w:val="00925264"/>
    <w:rsid w:val="00965CAF"/>
    <w:rsid w:val="00973C57"/>
    <w:rsid w:val="009B0C84"/>
    <w:rsid w:val="009C2337"/>
    <w:rsid w:val="009C698E"/>
    <w:rsid w:val="009E36A5"/>
    <w:rsid w:val="00A024B5"/>
    <w:rsid w:val="00A07469"/>
    <w:rsid w:val="00A92BD3"/>
    <w:rsid w:val="00AA0F6C"/>
    <w:rsid w:val="00AA34C1"/>
    <w:rsid w:val="00B24B4E"/>
    <w:rsid w:val="00B30497"/>
    <w:rsid w:val="00B43D5D"/>
    <w:rsid w:val="00B97909"/>
    <w:rsid w:val="00BF4F8E"/>
    <w:rsid w:val="00C85C1C"/>
    <w:rsid w:val="00CC2D82"/>
    <w:rsid w:val="00CD0B74"/>
    <w:rsid w:val="00D263FB"/>
    <w:rsid w:val="00DA5B6F"/>
    <w:rsid w:val="00DB7925"/>
    <w:rsid w:val="00E251EA"/>
    <w:rsid w:val="00E25AAB"/>
    <w:rsid w:val="00E765DE"/>
    <w:rsid w:val="00ED1FA1"/>
    <w:rsid w:val="00F236AC"/>
    <w:rsid w:val="00F267A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4649D"/>
  <w15:chartTrackingRefBased/>
  <w15:docId w15:val="{8D1091E1-4DB6-4C70-A06D-777A79D17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081"/>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styleId="Hyperlink">
    <w:name w:val="Hyperlink"/>
    <w:basedOn w:val="DefaultParagraphFont"/>
    <w:uiPriority w:val="99"/>
    <w:unhideWhenUsed/>
    <w:rsid w:val="00057081"/>
    <w:rPr>
      <w:color w:val="0563C1"/>
      <w:u w:val="single"/>
    </w:rPr>
  </w:style>
  <w:style w:type="paragraph" w:styleId="ListParagraph">
    <w:name w:val="List Paragraph"/>
    <w:basedOn w:val="Normal"/>
    <w:uiPriority w:val="34"/>
    <w:qFormat/>
    <w:rsid w:val="00965CAF"/>
    <w:pPr>
      <w:ind w:left="720"/>
      <w:contextualSpacing/>
    </w:pPr>
  </w:style>
  <w:style w:type="character" w:styleId="FollowedHyperlink">
    <w:name w:val="FollowedHyperlink"/>
    <w:basedOn w:val="DefaultParagraphFont"/>
    <w:uiPriority w:val="99"/>
    <w:semiHidden/>
    <w:unhideWhenUsed/>
    <w:rsid w:val="000133C1"/>
    <w:rPr>
      <w:color w:val="954F72" w:themeColor="followedHyperlink"/>
      <w:u w:val="single"/>
    </w:rPr>
  </w:style>
  <w:style w:type="paragraph" w:styleId="FootnoteText">
    <w:name w:val="footnote text"/>
    <w:basedOn w:val="Normal"/>
    <w:link w:val="FootnoteTextChar"/>
    <w:uiPriority w:val="99"/>
    <w:semiHidden/>
    <w:unhideWhenUsed/>
    <w:rsid w:val="005D4AFA"/>
    <w:rPr>
      <w:sz w:val="20"/>
      <w:szCs w:val="20"/>
    </w:rPr>
  </w:style>
  <w:style w:type="character" w:customStyle="1" w:styleId="FootnoteTextChar">
    <w:name w:val="Footnote Text Char"/>
    <w:basedOn w:val="DefaultParagraphFont"/>
    <w:link w:val="FootnoteText"/>
    <w:uiPriority w:val="99"/>
    <w:semiHidden/>
    <w:rsid w:val="005D4AFA"/>
    <w:rPr>
      <w:rFonts w:ascii="Calibri" w:hAnsi="Calibri" w:cs="Calibri"/>
      <w:sz w:val="20"/>
      <w:szCs w:val="20"/>
    </w:rPr>
  </w:style>
  <w:style w:type="character" w:styleId="FootnoteReference">
    <w:name w:val="footnote reference"/>
    <w:basedOn w:val="DefaultParagraphFont"/>
    <w:uiPriority w:val="99"/>
    <w:semiHidden/>
    <w:unhideWhenUsed/>
    <w:rsid w:val="005D4AFA"/>
    <w:rPr>
      <w:vertAlign w:val="superscript"/>
    </w:rPr>
  </w:style>
  <w:style w:type="character" w:styleId="CommentReference">
    <w:name w:val="annotation reference"/>
    <w:basedOn w:val="DefaultParagraphFont"/>
    <w:uiPriority w:val="99"/>
    <w:semiHidden/>
    <w:unhideWhenUsed/>
    <w:rsid w:val="0032585C"/>
    <w:rPr>
      <w:sz w:val="16"/>
      <w:szCs w:val="16"/>
    </w:rPr>
  </w:style>
  <w:style w:type="paragraph" w:styleId="CommentText">
    <w:name w:val="annotation text"/>
    <w:basedOn w:val="Normal"/>
    <w:link w:val="CommentTextChar"/>
    <w:uiPriority w:val="99"/>
    <w:semiHidden/>
    <w:unhideWhenUsed/>
    <w:rsid w:val="0032585C"/>
    <w:rPr>
      <w:sz w:val="20"/>
      <w:szCs w:val="20"/>
    </w:rPr>
  </w:style>
  <w:style w:type="character" w:customStyle="1" w:styleId="CommentTextChar">
    <w:name w:val="Comment Text Char"/>
    <w:basedOn w:val="DefaultParagraphFont"/>
    <w:link w:val="CommentText"/>
    <w:uiPriority w:val="99"/>
    <w:semiHidden/>
    <w:rsid w:val="0032585C"/>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32585C"/>
    <w:rPr>
      <w:b/>
      <w:bCs/>
    </w:rPr>
  </w:style>
  <w:style w:type="character" w:customStyle="1" w:styleId="CommentSubjectChar">
    <w:name w:val="Comment Subject Char"/>
    <w:basedOn w:val="CommentTextChar"/>
    <w:link w:val="CommentSubject"/>
    <w:uiPriority w:val="99"/>
    <w:semiHidden/>
    <w:rsid w:val="0032585C"/>
    <w:rPr>
      <w:rFonts w:ascii="Calibri" w:hAnsi="Calibri" w:cs="Calibri"/>
      <w:b/>
      <w:bCs/>
      <w:sz w:val="20"/>
      <w:szCs w:val="20"/>
    </w:rPr>
  </w:style>
  <w:style w:type="paragraph" w:styleId="BalloonText">
    <w:name w:val="Balloon Text"/>
    <w:basedOn w:val="Normal"/>
    <w:link w:val="BalloonTextChar"/>
    <w:uiPriority w:val="99"/>
    <w:semiHidden/>
    <w:unhideWhenUsed/>
    <w:rsid w:val="0032585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585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996991">
      <w:bodyDiv w:val="1"/>
      <w:marLeft w:val="0"/>
      <w:marRight w:val="0"/>
      <w:marTop w:val="0"/>
      <w:marBottom w:val="0"/>
      <w:divBdr>
        <w:top w:val="none" w:sz="0" w:space="0" w:color="auto"/>
        <w:left w:val="none" w:sz="0" w:space="0" w:color="auto"/>
        <w:bottom w:val="none" w:sz="0" w:space="0" w:color="auto"/>
        <w:right w:val="none" w:sz="0" w:space="0" w:color="auto"/>
      </w:divBdr>
    </w:div>
    <w:div w:id="1206410184">
      <w:bodyDiv w:val="1"/>
      <w:marLeft w:val="0"/>
      <w:marRight w:val="0"/>
      <w:marTop w:val="0"/>
      <w:marBottom w:val="0"/>
      <w:divBdr>
        <w:top w:val="none" w:sz="0" w:space="0" w:color="auto"/>
        <w:left w:val="none" w:sz="0" w:space="0" w:color="auto"/>
        <w:bottom w:val="none" w:sz="0" w:space="0" w:color="auto"/>
        <w:right w:val="none" w:sz="0" w:space="0" w:color="auto"/>
      </w:divBdr>
    </w:div>
    <w:div w:id="1264799023">
      <w:bodyDiv w:val="1"/>
      <w:marLeft w:val="0"/>
      <w:marRight w:val="0"/>
      <w:marTop w:val="0"/>
      <w:marBottom w:val="0"/>
      <w:divBdr>
        <w:top w:val="none" w:sz="0" w:space="0" w:color="auto"/>
        <w:left w:val="none" w:sz="0" w:space="0" w:color="auto"/>
        <w:bottom w:val="none" w:sz="0" w:space="0" w:color="auto"/>
        <w:right w:val="none" w:sz="0" w:space="0" w:color="auto"/>
      </w:divBdr>
    </w:div>
    <w:div w:id="1289622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legislation.sa.gov.au/LZ/B/CURRENT/STATUTES%20AMENDMENT%20(NATIONAL%20ENERGY%20LAWS)%20(PENALTIES%20AND%20ENFORCEMENT)%20BILL%202020.aspx"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15301853E48443827B0412B5CC90D7" ma:contentTypeVersion="13" ma:contentTypeDescription="Create a new document." ma:contentTypeScope="" ma:versionID="ad4a25e0012f31f430e88f61edb69e42">
  <xsd:schema xmlns:xsd="http://www.w3.org/2001/XMLSchema" xmlns:xs="http://www.w3.org/2001/XMLSchema" xmlns:p="http://schemas.microsoft.com/office/2006/metadata/properties" xmlns:ns1="http://schemas.microsoft.com/sharepoint/v3" xmlns:ns2="81b0b899-d3b4-423a-ad23-a4937152e5a8" xmlns:ns3="b607d1c6-0cb7-4682-894b-7ec85b3b05c6" targetNamespace="http://schemas.microsoft.com/office/2006/metadata/properties" ma:root="true" ma:fieldsID="78bd02874f45df41320db31aec31ba0b" ns1:_="" ns2:_="" ns3:_="">
    <xsd:import namespace="http://schemas.microsoft.com/sharepoint/v3"/>
    <xsd:import namespace="81b0b899-d3b4-423a-ad23-a4937152e5a8"/>
    <xsd:import namespace="b607d1c6-0cb7-4682-894b-7ec85b3b05c6"/>
    <xsd:element name="properties">
      <xsd:complexType>
        <xsd:sequence>
          <xsd:element name="documentManagement">
            <xsd:complexType>
              <xsd:all>
                <xsd:element ref="ns2:_dlc_DocId" minOccurs="0"/>
                <xsd:element ref="ns2:_dlc_DocIdUrl" minOccurs="0"/>
                <xsd:element ref="ns2:_dlc_DocIdPersistId" minOccurs="0"/>
                <xsd:element ref="ns2:aa25a1a23adf4c92a153145de6afe324" minOccurs="0"/>
                <xsd:element ref="ns2:TaxCatchAll" minOccurs="0"/>
                <xsd:element ref="ns2:pe2555c81638466f9eb614edb9ecde52" minOccurs="0"/>
                <xsd:element ref="ns2:g7bcb40ba23249a78edca7d43a67c1c9" minOccurs="0"/>
                <xsd:element ref="ns2:adb9bed2e36e4a93af574aeb444da63e" minOccurs="0"/>
                <xsd:element ref="ns2:n99e4c9942c6404eb103464a00e6097b" minOccurs="0"/>
                <xsd:element ref="ns1:Comment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2" nillable="true" ma:displayName="Comments"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1b0b899-d3b4-423a-ad23-a4937152e5a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aa25a1a23adf4c92a153145de6afe324" ma:index="12" ma:taxonomy="true" ma:internalName="aa25a1a23adf4c92a153145de6afe324" ma:taxonomyFieldName="DocHub_SecurityClassification" ma:displayName="Security Classification" ma:fieldId="{aa25a1a2-3adf-4c92-a153-145de6afe324}" ma:sspId="fb0313f7-9433-48c0-866e-9e0bbee59a50" ma:termSetId="f68a6a0b-bd85-4d9d-9c73-c45af096016b" ma:anchorId="00000000-0000-0000-0000-000000000000" ma:open="false" ma:isKeyword="false">
      <xsd:complexType>
        <xsd:sequence>
          <xsd:element ref="pc:Terms" minOccurs="0" maxOccurs="1"/>
        </xsd:sequence>
      </xsd:complexType>
    </xsd:element>
    <xsd:element name="TaxCatchAll" ma:index="13" nillable="true" ma:displayName="Taxonomy Catch All Column" ma:description="" ma:hidden="true" ma:list="{24303ec4-fa4d-4aba-b07c-0dfa74773820}" ma:internalName="TaxCatchAll" ma:showField="CatchAllData" ma:web="b607d1c6-0cb7-4682-894b-7ec85b3b05c6">
      <xsd:complexType>
        <xsd:complexContent>
          <xsd:extension base="dms:MultiChoiceLookup">
            <xsd:sequence>
              <xsd:element name="Value" type="dms:Lookup" maxOccurs="unbounded" minOccurs="0" nillable="true"/>
            </xsd:sequence>
          </xsd:extension>
        </xsd:complexContent>
      </xsd:complexType>
    </xsd:element>
    <xsd:element name="pe2555c81638466f9eb614edb9ecde52" ma:index="15" ma:taxonomy="true" ma:internalName="pe2555c81638466f9eb614edb9ecde52" ma:taxonomyFieldName="DocHub_DocumentType" ma:displayName="Document Type" ma:indexed="true" ma:fieldId="{9e2555c8-1638-466f-9eb6-14edb9ecde52}" ma:sspId="fb0313f7-9433-48c0-866e-9e0bbee59a50" ma:termSetId="0e4c18c5-28eb-4f9e-8056-b3cddd4b5d9b" ma:anchorId="00000000-0000-0000-0000-000000000000" ma:open="false" ma:isKeyword="false">
      <xsd:complexType>
        <xsd:sequence>
          <xsd:element ref="pc:Terms" minOccurs="0" maxOccurs="1"/>
        </xsd:sequence>
      </xsd:complexType>
    </xsd:element>
    <xsd:element name="g7bcb40ba23249a78edca7d43a67c1c9" ma:index="17" nillable="true" ma:taxonomy="true" ma:internalName="g7bcb40ba23249a78edca7d43a67c1c9" ma:taxonomyFieldName="DocHub_WorkActivity" ma:displayName="Work Activity" ma:indexed="true" ma:fieldId="{07bcb40b-a232-49a7-8edc-a7d43a67c1c9}" ma:sspId="fb0313f7-9433-48c0-866e-9e0bbee59a50" ma:termSetId="6713ebbd-194a-499f-ab84-a4d70e145fb7" ma:anchorId="00000000-0000-0000-0000-000000000000" ma:open="false" ma:isKeyword="false">
      <xsd:complexType>
        <xsd:sequence>
          <xsd:element ref="pc:Terms" minOccurs="0" maxOccurs="1"/>
        </xsd:sequence>
      </xsd:complexType>
    </xsd:element>
    <xsd:element name="adb9bed2e36e4a93af574aeb444da63e" ma:index="19" nillable="true" ma:taxonomy="true" ma:internalName="adb9bed2e36e4a93af574aeb444da63e" ma:taxonomyFieldName="DocHub_Keywords" ma:displayName="Division Keywords" ma:fieldId="{adb9bed2-e36e-4a93-af57-4aeb444da63e}" ma:taxonomyMulti="true" ma:sspId="fb0313f7-9433-48c0-866e-9e0bbee59a50" ma:termSetId="403fb540-4f4c-43fd-9354-4e074a5f743f" ma:anchorId="00000000-0000-0000-0000-000000000000" ma:open="true" ma:isKeyword="false">
      <xsd:complexType>
        <xsd:sequence>
          <xsd:element ref="pc:Terms" minOccurs="0" maxOccurs="1"/>
        </xsd:sequence>
      </xsd:complexType>
    </xsd:element>
    <xsd:element name="n99e4c9942c6404eb103464a00e6097b" ma:index="21" nillable="true" ma:taxonomy="true" ma:internalName="n99e4c9942c6404eb103464a00e6097b" ma:taxonomyFieldName="DocHub_Year" ma:displayName="Year" ma:indexed="true" ma:fieldId="{799e4c99-42c6-404e-b103-464a00e6097b}" ma:sspId="fb0313f7-9433-48c0-866e-9e0bbee59a50" ma:termSetId="07e1743d-d980-4fe7-a67d-b87ecf7f18f6"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607d1c6-0cb7-4682-894b-7ec85b3b05c6" elementFormDefault="qualified">
    <xsd:import namespace="http://schemas.microsoft.com/office/2006/documentManagement/types"/>
    <xsd:import namespace="http://schemas.microsoft.com/office/infopath/2007/PartnerControls"/>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p r o p e r t i e s   x m l n s = " h t t p : / / w w w . i m a n a g e . c o m / w o r k / x m l s c h e m a " >  
     < d o c u m e n t i d > A C C C a n d A E R ! 1 1 2 3 1 3 5 5 . 1 < / d o c u m e n t i d >  
     < s e n d e r i d > T L O G A < / s e n d e r i d >  
     < s e n d e r e m a i l > T O M . L O G A N @ A E R . G O V . A U < / s e n d e r e m a i l >  
     < l a s t m o d i f i e d > 2 0 2 0 - 0 7 - 0 8 T 1 5 : 3 4 : 0 0 . 0 0 0 0 0 0 0 + 1 0 : 0 0 < / l a s t m o d i f i e d >  
     < d a t a b a s e > A C C C a n d A E R < / d a t a b a s e >  
 < / p r o p e r t i e s > 
</file>

<file path=customXml/item3.xml><?xml version="1.0" encoding="utf-8"?>
<p:properties xmlns:p="http://schemas.microsoft.com/office/2006/metadata/properties" xmlns:xsi="http://www.w3.org/2001/XMLSchema-instance" xmlns:pc="http://schemas.microsoft.com/office/infopath/2007/PartnerControls">
  <documentManagement>
    <Comments xmlns="http://schemas.microsoft.com/sharepoint/v3">Uploaded to Energy Council website 13 July</Comments>
    <pe2555c81638466f9eb614edb9ecde52 xmlns="81b0b899-d3b4-423a-ad23-a4937152e5a8">
      <Terms xmlns="http://schemas.microsoft.com/office/infopath/2007/PartnerControls">
        <TermInfo xmlns="http://schemas.microsoft.com/office/infopath/2007/PartnerControls">
          <TermName xmlns="http://schemas.microsoft.com/office/infopath/2007/PartnerControls">Information Brief</TermName>
          <TermId xmlns="http://schemas.microsoft.com/office/infopath/2007/PartnerControls">5bb47645-b332-496d-93a5-2868148a9bc4</TermId>
        </TermInfo>
      </Terms>
    </pe2555c81638466f9eb614edb9ecde52>
    <TaxCatchAll xmlns="81b0b899-d3b4-423a-ad23-a4937152e5a8">
      <Value>713</Value>
      <Value>100</Value>
      <Value>597</Value>
      <Value>5</Value>
      <Value>6</Value>
      <Value>39</Value>
      <Value>308</Value>
      <Value>35</Value>
      <Value>307</Value>
    </TaxCatchAll>
    <g7bcb40ba23249a78edca7d43a67c1c9 xmlns="81b0b899-d3b4-423a-ad23-a4937152e5a8">
      <Terms xmlns="http://schemas.microsoft.com/office/infopath/2007/PartnerControls">
        <TermInfo xmlns="http://schemas.microsoft.com/office/infopath/2007/PartnerControls">
          <TermName xmlns="http://schemas.microsoft.com/office/infopath/2007/PartnerControls">Consultation</TermName>
          <TermId xmlns="http://schemas.microsoft.com/office/infopath/2007/PartnerControls">fb51ee50-3149-4bd9-89ce-8613c76e7a2f</TermId>
        </TermInfo>
      </Terms>
    </g7bcb40ba23249a78edca7d43a67c1c9>
    <aa25a1a23adf4c92a153145de6afe324 xmlns="81b0b899-d3b4-423a-ad23-a4937152e5a8">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6106d03b-a1a0-4e30-9d91-d5e9fb4314f9</TermId>
        </TermInfo>
      </Terms>
    </aa25a1a23adf4c92a153145de6afe324>
    <adb9bed2e36e4a93af574aeb444da63e xmlns="81b0b899-d3b4-423a-ad23-a4937152e5a8">
      <Terms xmlns="http://schemas.microsoft.com/office/infopath/2007/PartnerControls">
        <TermInfo xmlns="http://schemas.microsoft.com/office/infopath/2007/PartnerControls">
          <TermName xmlns="http://schemas.microsoft.com/office/infopath/2007/PartnerControls">AER</TermName>
          <TermId xmlns="http://schemas.microsoft.com/office/infopath/2007/PartnerControls">0bb42a2f-8c3f-45cd-958f-abb9a1dc1d87</TermId>
        </TermInfo>
        <TermInfo xmlns="http://schemas.microsoft.com/office/infopath/2007/PartnerControls">
          <TermName xmlns="http://schemas.microsoft.com/office/infopath/2007/PartnerControls">COAG EC</TermName>
          <TermId xmlns="http://schemas.microsoft.com/office/infopath/2007/PartnerControls">9947f930-cab0-47fd-9693-fce686b6290f</TermId>
        </TermInfo>
        <TermInfo xmlns="http://schemas.microsoft.com/office/infopath/2007/PartnerControls">
          <TermName xmlns="http://schemas.microsoft.com/office/infopath/2007/PartnerControls">COAG Energy Council</TermName>
          <TermId xmlns="http://schemas.microsoft.com/office/infopath/2007/PartnerControls">efd92e35-ec00-402d-9dad-a88369d6e40f</TermId>
        </TermInfo>
        <TermInfo xmlns="http://schemas.microsoft.com/office/infopath/2007/PartnerControls">
          <TermName xmlns="http://schemas.microsoft.com/office/infopath/2007/PartnerControls">Consultation</TermName>
          <TermId xmlns="http://schemas.microsoft.com/office/infopath/2007/PartnerControls">dfc10b0d-21ba-4c22-8ff5-2e67ebdee003</TermId>
        </TermInfo>
        <TermInfo xmlns="http://schemas.microsoft.com/office/infopath/2007/PartnerControls">
          <TermName xmlns="http://schemas.microsoft.com/office/infopath/2007/PartnerControls">Energy Council</TermName>
          <TermId xmlns="http://schemas.microsoft.com/office/infopath/2007/PartnerControls">96b907d5-d83d-4fce-9e30-c4fba574c0ba</TermId>
        </TermInfo>
      </Terms>
    </adb9bed2e36e4a93af574aeb444da63e>
    <n99e4c9942c6404eb103464a00e6097b xmlns="81b0b899-d3b4-423a-ad23-a4937152e5a8">
      <Terms xmlns="http://schemas.microsoft.com/office/infopath/2007/PartnerControls">
        <TermInfo xmlns="http://schemas.microsoft.com/office/infopath/2007/PartnerControls">
          <TermName xmlns="http://schemas.microsoft.com/office/infopath/2007/PartnerControls">2020</TermName>
          <TermId xmlns="http://schemas.microsoft.com/office/infopath/2007/PartnerControls">6a3660c5-15bd-4052-a0a1-6237663b7600</TermId>
        </TermInfo>
      </Terms>
    </n99e4c9942c6404eb103464a00e6097b>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91A659-9D25-4E54-93A1-76EBA7A1C260}"/>
</file>

<file path=customXml/itemProps2.xml><?xml version="1.0" encoding="utf-8"?>
<ds:datastoreItem xmlns:ds="http://schemas.openxmlformats.org/officeDocument/2006/customXml" ds:itemID="{4BCFF47D-756D-46EB-88B8-F9BEBDA888FC}">
  <ds:schemaRefs>
    <ds:schemaRef ds:uri="http://www.imanage.com/work/xmlschema"/>
  </ds:schemaRefs>
</ds:datastoreItem>
</file>

<file path=customXml/itemProps3.xml><?xml version="1.0" encoding="utf-8"?>
<ds:datastoreItem xmlns:ds="http://schemas.openxmlformats.org/officeDocument/2006/customXml" ds:itemID="{FA2FE4EE-FFD4-4F88-B7D0-50BB20726551}">
  <ds:schemaRefs>
    <ds:schemaRef ds:uri="http://schemas.microsoft.com/office/2006/metadata/properties"/>
    <ds:schemaRef ds:uri="http://schemas.microsoft.com/office/infopath/2007/PartnerControls"/>
    <ds:schemaRef ds:uri="75e01f56-7b81-4514-8994-c80bb4ec94fc"/>
    <ds:schemaRef ds:uri="b607d1c6-0cb7-4682-894b-7ec85b3b05c6"/>
    <ds:schemaRef ds:uri="http://schemas.microsoft.com/sharepoint/v3"/>
  </ds:schemaRefs>
</ds:datastoreItem>
</file>

<file path=customXml/itemProps4.xml><?xml version="1.0" encoding="utf-8"?>
<ds:datastoreItem xmlns:ds="http://schemas.openxmlformats.org/officeDocument/2006/customXml" ds:itemID="{459A9AB2-804B-4415-B81D-6200DF288697}">
  <ds:schemaRefs>
    <ds:schemaRef ds:uri="http://schemas.microsoft.com/sharepoint/v3/contenttype/forms"/>
  </ds:schemaRefs>
</ds:datastoreItem>
</file>

<file path=customXml/itemProps5.xml><?xml version="1.0" encoding="utf-8"?>
<ds:datastoreItem xmlns:ds="http://schemas.openxmlformats.org/officeDocument/2006/customXml" ds:itemID="{6ECC69A1-3934-40C1-BFE5-64700875430C}"/>
</file>

<file path=customXml/itemProps6.xml><?xml version="1.0" encoding="utf-8"?>
<ds:datastoreItem xmlns:ds="http://schemas.openxmlformats.org/officeDocument/2006/customXml" ds:itemID="{9E00B859-9689-4B0A-BB88-2B91F0B6C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1309</Words>
  <Characters>7463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Department of Industry, Innovation and Science</Company>
  <LinksUpToDate>false</LinksUpToDate>
  <CharactersWithSpaces>8755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 Trinity</dc:creator>
  <cp:keywords/>
  <dc:description/>
  <cp:lastModifiedBy>Hirscher, Andrew</cp:lastModifiedBy>
  <cp:revision>4</cp:revision>
  <dcterms:created xsi:type="dcterms:W3CDTF">2020-07-08T05:31:00Z</dcterms:created>
  <dcterms:modified xsi:type="dcterms:W3CDTF">2020-07-08T07:38:00Z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0x0101009715301853E48443827B0412B5CC90D7</vt:lpwstr>
  </property>
  <property fmtid="{D5CDD505-2E9C-101B-9397-08002B2CF9AE}" pid="3" name="DocHub_Year">
    <vt:lpwstr>5;#2020|6a3660c5-15bd-4052-a0a1-6237663b7600</vt:lpwstr>
  </property>
  <property fmtid="{D5CDD505-2E9C-101B-9397-08002B2CF9AE}" pid="4" name="DocHub_Section">
    <vt:lpwstr>369;#Strategic Policy|1a839bb7-4d28-47c8-a409-25358e6e9022</vt:lpwstr>
  </property>
  <property fmtid="{D5CDD505-2E9C-101B-9397-08002B2CF9AE}" pid="5" name="DocHub_DocumentType">
    <vt:lpwstr>35;#Information Brief|5bb47645-b332-496d-93a5-2868148a9bc4</vt:lpwstr>
  </property>
  <property fmtid="{D5CDD505-2E9C-101B-9397-08002B2CF9AE}" pid="6" name="DocHub_SecurityClassification">
    <vt:lpwstr>6;#UNCLASSIFIED|6106d03b-a1a0-4e30-9d91-d5e9fb4314f9</vt:lpwstr>
  </property>
  <property fmtid="{D5CDD505-2E9C-101B-9397-08002B2CF9AE}" pid="7" name="DocHub_Keywords">
    <vt:lpwstr>713;#AER|0bb42a2f-8c3f-45cd-958f-abb9a1dc1d87;#39;#COAG EC|9947f930-cab0-47fd-9693-fce686b6290f;#308;#COAG Energy Council|efd92e35-ec00-402d-9dad-a88369d6e40f;#307;#Consultation|dfc10b0d-21ba-4c22-8ff5-2e67ebdee003;#597;#Energy Council|96b907d5-d83d-4fce-9e30-c4fba574c0ba</vt:lpwstr>
  </property>
  <property fmtid="{D5CDD505-2E9C-101B-9397-08002B2CF9AE}" pid="8" name="DocHub_WorkActivity">
    <vt:lpwstr>100;#Consultation|fb51ee50-3149-4bd9-89ce-8613c76e7a2f</vt:lpwstr>
  </property>
  <property fmtid="{D5CDD505-2E9C-101B-9397-08002B2CF9AE}" pid="9" name="_CopySource">
    <vt:lpwstr>Consultation Guide - Reform of the AER Civil Penalty Regime.docx</vt:lpwstr>
  </property>
</Properties>
</file>