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62AE1" w14:textId="77777777" w:rsidR="00F42423" w:rsidRDefault="00F42423" w:rsidP="00682302">
      <w:pPr>
        <w:spacing w:after="400"/>
        <w:ind w:left="-142" w:right="-1"/>
        <w:rPr>
          <w:b/>
          <w:bCs/>
          <w:sz w:val="48"/>
          <w:szCs w:val="48"/>
        </w:rPr>
      </w:pPr>
    </w:p>
    <w:p w14:paraId="5B77CE55" w14:textId="77777777" w:rsidR="00F42423" w:rsidRDefault="00F42423" w:rsidP="00682302">
      <w:pPr>
        <w:spacing w:after="400"/>
        <w:ind w:left="-142" w:right="-1"/>
        <w:rPr>
          <w:b/>
          <w:bCs/>
          <w:sz w:val="48"/>
          <w:szCs w:val="48"/>
        </w:rPr>
      </w:pPr>
    </w:p>
    <w:p w14:paraId="1E336F7E" w14:textId="77777777" w:rsidR="00F42423" w:rsidRDefault="00F42423" w:rsidP="00682302">
      <w:pPr>
        <w:spacing w:after="400"/>
        <w:ind w:left="-142" w:right="-1"/>
        <w:rPr>
          <w:b/>
          <w:bCs/>
          <w:sz w:val="48"/>
          <w:szCs w:val="48"/>
        </w:rPr>
      </w:pPr>
    </w:p>
    <w:p w14:paraId="3648FBBB" w14:textId="77777777" w:rsidR="00F92DC4" w:rsidRDefault="00F92DC4" w:rsidP="00E43796">
      <w:pPr>
        <w:spacing w:after="400"/>
        <w:ind w:left="-142" w:right="-1"/>
        <w:rPr>
          <w:b/>
          <w:bCs/>
          <w:sz w:val="48"/>
          <w:szCs w:val="48"/>
        </w:rPr>
      </w:pPr>
      <w:r w:rsidRPr="00E43796">
        <w:rPr>
          <w:b/>
          <w:bCs/>
          <w:sz w:val="48"/>
          <w:szCs w:val="48"/>
        </w:rPr>
        <w:t xml:space="preserve">Measures to Improve Transparency in </w:t>
      </w:r>
      <w:r w:rsidR="00682302" w:rsidRPr="00E43796">
        <w:rPr>
          <w:b/>
          <w:bCs/>
          <w:sz w:val="48"/>
          <w:szCs w:val="48"/>
        </w:rPr>
        <w:t xml:space="preserve">the Gas Market </w:t>
      </w:r>
    </w:p>
    <w:p w14:paraId="28EE0F4D" w14:textId="77777777" w:rsidR="00E03C68" w:rsidRPr="00E314C9" w:rsidRDefault="00E03C68" w:rsidP="00E314C9">
      <w:pPr>
        <w:spacing w:after="400"/>
        <w:ind w:left="-142" w:right="-1"/>
        <w:rPr>
          <w:b/>
          <w:bCs/>
          <w:color w:val="007BC1"/>
          <w:sz w:val="40"/>
          <w:szCs w:val="52"/>
        </w:rPr>
      </w:pPr>
    </w:p>
    <w:p w14:paraId="4FCDB2B2" w14:textId="77777777" w:rsidR="00E03C68" w:rsidRDefault="000D60C5" w:rsidP="00E43796">
      <w:pPr>
        <w:spacing w:after="400"/>
        <w:ind w:left="-142" w:right="-1"/>
        <w:rPr>
          <w:rFonts w:eastAsia="Arial" w:cs="Arial"/>
          <w:b/>
          <w:bCs/>
          <w:sz w:val="40"/>
          <w:szCs w:val="40"/>
        </w:rPr>
      </w:pPr>
      <w:r>
        <w:rPr>
          <w:rFonts w:eastAsia="Arial" w:cs="Arial"/>
          <w:b/>
          <w:bCs/>
          <w:sz w:val="40"/>
          <w:szCs w:val="40"/>
        </w:rPr>
        <w:t xml:space="preserve">Proposed legal package to give effect to Decision Regulation Impact Statement </w:t>
      </w:r>
    </w:p>
    <w:p w14:paraId="214D3992" w14:textId="017FE6EE" w:rsidR="00F92DC4" w:rsidRPr="00D40BD3" w:rsidRDefault="00E03C68" w:rsidP="00E43796">
      <w:pPr>
        <w:spacing w:after="400"/>
        <w:ind w:left="-142" w:right="-1"/>
        <w:rPr>
          <w:rFonts w:eastAsia="Arial" w:cs="Arial"/>
          <w:b/>
          <w:bCs/>
          <w:sz w:val="40"/>
          <w:szCs w:val="40"/>
        </w:rPr>
      </w:pPr>
      <w:r>
        <w:rPr>
          <w:rFonts w:eastAsia="Arial" w:cs="Arial"/>
          <w:b/>
          <w:bCs/>
          <w:sz w:val="40"/>
          <w:szCs w:val="40"/>
        </w:rPr>
        <w:t>Consultation paper</w:t>
      </w:r>
    </w:p>
    <w:p w14:paraId="2AA666E3" w14:textId="094484C3" w:rsidR="00682302" w:rsidRPr="00E61B8B" w:rsidRDefault="000C5CFC" w:rsidP="00D40BD3">
      <w:pPr>
        <w:spacing w:after="400"/>
        <w:ind w:left="-142" w:right="-1"/>
        <w:rPr>
          <w:rFonts w:eastAsia="Arial" w:cs="Arial"/>
          <w:b/>
          <w:bCs/>
          <w:iCs/>
          <w:sz w:val="40"/>
          <w:szCs w:val="40"/>
        </w:rPr>
        <w:sectPr w:rsidR="00682302" w:rsidRPr="00E61B8B" w:rsidSect="00436621">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361" w:right="1418" w:bottom="992" w:left="1701" w:header="567" w:footer="397" w:gutter="0"/>
          <w:pgNumType w:fmt="lowerRoman"/>
          <w:cols w:space="708"/>
          <w:titlePg/>
          <w:docGrid w:linePitch="360"/>
        </w:sectPr>
      </w:pPr>
      <w:bookmarkStart w:id="26" w:name="_Hlk487713733"/>
      <w:r>
        <w:rPr>
          <w:rFonts w:eastAsia="Arial" w:cs="Arial"/>
          <w:b/>
          <w:bCs/>
          <w:sz w:val="40"/>
          <w:szCs w:val="40"/>
        </w:rPr>
        <w:t>November</w:t>
      </w:r>
      <w:r w:rsidR="007C5B0D" w:rsidRPr="007C5B0D">
        <w:rPr>
          <w:rFonts w:eastAsia="Arial" w:cs="Arial"/>
          <w:b/>
          <w:bCs/>
          <w:iCs/>
          <w:sz w:val="40"/>
          <w:szCs w:val="40"/>
        </w:rPr>
        <w:t xml:space="preserve"> </w:t>
      </w:r>
      <w:r w:rsidR="007740DB" w:rsidRPr="007C5B0D">
        <w:rPr>
          <w:rFonts w:eastAsia="Arial" w:cs="Arial"/>
          <w:b/>
          <w:bCs/>
          <w:iCs/>
          <w:sz w:val="40"/>
          <w:szCs w:val="40"/>
        </w:rPr>
        <w:t>2020</w:t>
      </w:r>
      <w:bookmarkEnd w:id="26"/>
    </w:p>
    <w:p w14:paraId="4CC5EBEE" w14:textId="77777777" w:rsidR="00E03C68" w:rsidRDefault="00682302" w:rsidP="00E03C68">
      <w:pPr>
        <w:pStyle w:val="TOCHeading"/>
      </w:pPr>
      <w:r w:rsidRPr="00E43796">
        <w:lastRenderedPageBreak/>
        <w:t>Contents</w:t>
      </w:r>
    </w:p>
    <w:p w14:paraId="5FF8DEA7" w14:textId="77777777" w:rsidR="004F3221" w:rsidRDefault="00682302">
      <w:pPr>
        <w:pStyle w:val="TOC1"/>
        <w:rPr>
          <w:rFonts w:asciiTheme="minorHAnsi" w:eastAsiaTheme="minorEastAsia" w:hAnsiTheme="minorHAnsi"/>
          <w:b w:val="0"/>
          <w:lang w:eastAsia="en-AU"/>
        </w:rPr>
      </w:pPr>
      <w:r>
        <w:rPr>
          <w:rFonts w:eastAsiaTheme="minorEastAsia"/>
          <w:b w:val="0"/>
        </w:rPr>
        <w:fldChar w:fldCharType="begin"/>
      </w:r>
      <w:r>
        <w:rPr>
          <w:rFonts w:eastAsiaTheme="minorEastAsia"/>
          <w:b w:val="0"/>
        </w:rPr>
        <w:instrText xml:space="preserve"> TOC \o "1-2" \h \z \u </w:instrText>
      </w:r>
      <w:r>
        <w:rPr>
          <w:rFonts w:eastAsiaTheme="minorEastAsia"/>
          <w:b w:val="0"/>
        </w:rPr>
        <w:fldChar w:fldCharType="separate"/>
      </w:r>
      <w:hyperlink w:anchor="_Toc45015254" w:history="1">
        <w:r w:rsidR="004F3221" w:rsidRPr="008C5038">
          <w:rPr>
            <w:rStyle w:val="Hyperlink"/>
          </w:rPr>
          <w:t>Abbreviations</w:t>
        </w:r>
        <w:r w:rsidR="004F3221">
          <w:rPr>
            <w:webHidden/>
          </w:rPr>
          <w:tab/>
        </w:r>
        <w:r w:rsidR="004F3221">
          <w:rPr>
            <w:webHidden/>
          </w:rPr>
          <w:fldChar w:fldCharType="begin"/>
        </w:r>
        <w:r w:rsidR="004F3221">
          <w:rPr>
            <w:webHidden/>
          </w:rPr>
          <w:instrText xml:space="preserve"> PAGEREF _Toc45015254 \h </w:instrText>
        </w:r>
        <w:r w:rsidR="004F3221">
          <w:rPr>
            <w:webHidden/>
          </w:rPr>
        </w:r>
        <w:r w:rsidR="004F3221">
          <w:rPr>
            <w:webHidden/>
          </w:rPr>
          <w:fldChar w:fldCharType="separate"/>
        </w:r>
        <w:r w:rsidR="00844010">
          <w:rPr>
            <w:webHidden/>
          </w:rPr>
          <w:t>3</w:t>
        </w:r>
        <w:r w:rsidR="004F3221">
          <w:rPr>
            <w:webHidden/>
          </w:rPr>
          <w:fldChar w:fldCharType="end"/>
        </w:r>
      </w:hyperlink>
    </w:p>
    <w:p w14:paraId="69829AA9" w14:textId="77777777" w:rsidR="004F3221" w:rsidRDefault="00107827">
      <w:pPr>
        <w:pStyle w:val="TOC1"/>
        <w:rPr>
          <w:rFonts w:asciiTheme="minorHAnsi" w:eastAsiaTheme="minorEastAsia" w:hAnsiTheme="minorHAnsi"/>
          <w:b w:val="0"/>
          <w:lang w:eastAsia="en-AU"/>
        </w:rPr>
      </w:pPr>
      <w:hyperlink w:anchor="_Toc45015255" w:history="1">
        <w:r w:rsidR="004F3221" w:rsidRPr="008C5038">
          <w:rPr>
            <w:rStyle w:val="Hyperlink"/>
          </w:rPr>
          <w:t>1.</w:t>
        </w:r>
        <w:r w:rsidR="004F3221">
          <w:rPr>
            <w:rFonts w:asciiTheme="minorHAnsi" w:eastAsiaTheme="minorEastAsia" w:hAnsiTheme="minorHAnsi"/>
            <w:b w:val="0"/>
            <w:lang w:eastAsia="en-AU"/>
          </w:rPr>
          <w:tab/>
        </w:r>
        <w:r w:rsidR="004F3221" w:rsidRPr="008C5038">
          <w:rPr>
            <w:rStyle w:val="Hyperlink"/>
          </w:rPr>
          <w:t>Introduction</w:t>
        </w:r>
        <w:r w:rsidR="004F3221">
          <w:rPr>
            <w:webHidden/>
          </w:rPr>
          <w:tab/>
        </w:r>
        <w:r w:rsidR="004F3221">
          <w:rPr>
            <w:webHidden/>
          </w:rPr>
          <w:fldChar w:fldCharType="begin"/>
        </w:r>
        <w:r w:rsidR="004F3221">
          <w:rPr>
            <w:webHidden/>
          </w:rPr>
          <w:instrText xml:space="preserve"> PAGEREF _Toc45015255 \h </w:instrText>
        </w:r>
        <w:r w:rsidR="004F3221">
          <w:rPr>
            <w:webHidden/>
          </w:rPr>
        </w:r>
        <w:r w:rsidR="004F3221">
          <w:rPr>
            <w:webHidden/>
          </w:rPr>
          <w:fldChar w:fldCharType="separate"/>
        </w:r>
        <w:r w:rsidR="00844010">
          <w:rPr>
            <w:webHidden/>
          </w:rPr>
          <w:t>4</w:t>
        </w:r>
        <w:r w:rsidR="004F3221">
          <w:rPr>
            <w:webHidden/>
          </w:rPr>
          <w:fldChar w:fldCharType="end"/>
        </w:r>
      </w:hyperlink>
    </w:p>
    <w:p w14:paraId="5274381C" w14:textId="77777777" w:rsidR="004F3221" w:rsidRDefault="00107827">
      <w:pPr>
        <w:pStyle w:val="TOC2"/>
        <w:rPr>
          <w:rFonts w:asciiTheme="minorHAnsi" w:eastAsiaTheme="minorEastAsia" w:hAnsiTheme="minorHAnsi"/>
          <w:lang w:eastAsia="en-AU"/>
        </w:rPr>
      </w:pPr>
      <w:hyperlink w:anchor="_Toc45015256" w:history="1">
        <w:r w:rsidR="004F3221" w:rsidRPr="008C5038">
          <w:rPr>
            <w:rStyle w:val="Hyperlink"/>
          </w:rPr>
          <w:t>1.1</w:t>
        </w:r>
        <w:r w:rsidR="004F3221">
          <w:rPr>
            <w:rFonts w:asciiTheme="minorHAnsi" w:eastAsiaTheme="minorEastAsia" w:hAnsiTheme="minorHAnsi"/>
            <w:lang w:eastAsia="en-AU"/>
          </w:rPr>
          <w:tab/>
        </w:r>
        <w:r w:rsidR="004F3221" w:rsidRPr="008C5038">
          <w:rPr>
            <w:rStyle w:val="Hyperlink"/>
          </w:rPr>
          <w:t>Background</w:t>
        </w:r>
        <w:r w:rsidR="004F3221">
          <w:rPr>
            <w:webHidden/>
          </w:rPr>
          <w:tab/>
        </w:r>
        <w:r w:rsidR="004F3221">
          <w:rPr>
            <w:webHidden/>
          </w:rPr>
          <w:fldChar w:fldCharType="begin"/>
        </w:r>
        <w:r w:rsidR="004F3221">
          <w:rPr>
            <w:webHidden/>
          </w:rPr>
          <w:instrText xml:space="preserve"> PAGEREF _Toc45015256 \h </w:instrText>
        </w:r>
        <w:r w:rsidR="004F3221">
          <w:rPr>
            <w:webHidden/>
          </w:rPr>
        </w:r>
        <w:r w:rsidR="004F3221">
          <w:rPr>
            <w:webHidden/>
          </w:rPr>
          <w:fldChar w:fldCharType="separate"/>
        </w:r>
        <w:r w:rsidR="00844010">
          <w:rPr>
            <w:webHidden/>
          </w:rPr>
          <w:t>4</w:t>
        </w:r>
        <w:r w:rsidR="004F3221">
          <w:rPr>
            <w:webHidden/>
          </w:rPr>
          <w:fldChar w:fldCharType="end"/>
        </w:r>
      </w:hyperlink>
    </w:p>
    <w:p w14:paraId="4F996788" w14:textId="77777777" w:rsidR="004F3221" w:rsidRDefault="00107827">
      <w:pPr>
        <w:pStyle w:val="TOC2"/>
        <w:rPr>
          <w:rFonts w:asciiTheme="minorHAnsi" w:eastAsiaTheme="minorEastAsia" w:hAnsiTheme="minorHAnsi"/>
          <w:lang w:eastAsia="en-AU"/>
        </w:rPr>
      </w:pPr>
      <w:hyperlink w:anchor="_Toc45015257" w:history="1">
        <w:r w:rsidR="004F3221" w:rsidRPr="008C5038">
          <w:rPr>
            <w:rStyle w:val="Hyperlink"/>
          </w:rPr>
          <w:t>1.2</w:t>
        </w:r>
        <w:r w:rsidR="004F3221">
          <w:rPr>
            <w:rFonts w:asciiTheme="minorHAnsi" w:eastAsiaTheme="minorEastAsia" w:hAnsiTheme="minorHAnsi"/>
            <w:lang w:eastAsia="en-AU"/>
          </w:rPr>
          <w:tab/>
        </w:r>
        <w:r w:rsidR="004F3221" w:rsidRPr="008C5038">
          <w:rPr>
            <w:rStyle w:val="Hyperlink"/>
          </w:rPr>
          <w:t>Consultation process</w:t>
        </w:r>
        <w:r w:rsidR="004F3221">
          <w:rPr>
            <w:webHidden/>
          </w:rPr>
          <w:tab/>
        </w:r>
        <w:r w:rsidR="004F3221">
          <w:rPr>
            <w:webHidden/>
          </w:rPr>
          <w:fldChar w:fldCharType="begin"/>
        </w:r>
        <w:r w:rsidR="004F3221">
          <w:rPr>
            <w:webHidden/>
          </w:rPr>
          <w:instrText xml:space="preserve"> PAGEREF _Toc45015257 \h </w:instrText>
        </w:r>
        <w:r w:rsidR="004F3221">
          <w:rPr>
            <w:webHidden/>
          </w:rPr>
        </w:r>
        <w:r w:rsidR="004F3221">
          <w:rPr>
            <w:webHidden/>
          </w:rPr>
          <w:fldChar w:fldCharType="separate"/>
        </w:r>
        <w:r w:rsidR="00844010">
          <w:rPr>
            <w:webHidden/>
          </w:rPr>
          <w:t>4</w:t>
        </w:r>
        <w:r w:rsidR="004F3221">
          <w:rPr>
            <w:webHidden/>
          </w:rPr>
          <w:fldChar w:fldCharType="end"/>
        </w:r>
      </w:hyperlink>
    </w:p>
    <w:p w14:paraId="4B25B2AF" w14:textId="77777777" w:rsidR="004F3221" w:rsidRDefault="00107827">
      <w:pPr>
        <w:pStyle w:val="TOC2"/>
        <w:rPr>
          <w:rFonts w:asciiTheme="minorHAnsi" w:eastAsiaTheme="minorEastAsia" w:hAnsiTheme="minorHAnsi"/>
          <w:lang w:eastAsia="en-AU"/>
        </w:rPr>
      </w:pPr>
      <w:hyperlink w:anchor="_Toc45015258" w:history="1">
        <w:r w:rsidR="004F3221" w:rsidRPr="008C5038">
          <w:rPr>
            <w:rStyle w:val="Hyperlink"/>
          </w:rPr>
          <w:t>1.3</w:t>
        </w:r>
        <w:r w:rsidR="004F3221">
          <w:rPr>
            <w:rFonts w:asciiTheme="minorHAnsi" w:eastAsiaTheme="minorEastAsia" w:hAnsiTheme="minorHAnsi"/>
            <w:lang w:eastAsia="en-AU"/>
          </w:rPr>
          <w:tab/>
        </w:r>
        <w:r w:rsidR="004F3221" w:rsidRPr="008C5038">
          <w:rPr>
            <w:rStyle w:val="Hyperlink"/>
          </w:rPr>
          <w:t>Next Steps</w:t>
        </w:r>
        <w:r w:rsidR="004F3221">
          <w:rPr>
            <w:webHidden/>
          </w:rPr>
          <w:tab/>
        </w:r>
        <w:r w:rsidR="004F3221">
          <w:rPr>
            <w:webHidden/>
          </w:rPr>
          <w:fldChar w:fldCharType="begin"/>
        </w:r>
        <w:r w:rsidR="004F3221">
          <w:rPr>
            <w:webHidden/>
          </w:rPr>
          <w:instrText xml:space="preserve"> PAGEREF _Toc45015258 \h </w:instrText>
        </w:r>
        <w:r w:rsidR="004F3221">
          <w:rPr>
            <w:webHidden/>
          </w:rPr>
        </w:r>
        <w:r w:rsidR="004F3221">
          <w:rPr>
            <w:webHidden/>
          </w:rPr>
          <w:fldChar w:fldCharType="separate"/>
        </w:r>
        <w:r w:rsidR="00844010">
          <w:rPr>
            <w:webHidden/>
          </w:rPr>
          <w:t>5</w:t>
        </w:r>
        <w:r w:rsidR="004F3221">
          <w:rPr>
            <w:webHidden/>
          </w:rPr>
          <w:fldChar w:fldCharType="end"/>
        </w:r>
      </w:hyperlink>
    </w:p>
    <w:p w14:paraId="0044BB18" w14:textId="77777777" w:rsidR="004F3221" w:rsidRDefault="00107827">
      <w:pPr>
        <w:pStyle w:val="TOC2"/>
        <w:rPr>
          <w:rFonts w:asciiTheme="minorHAnsi" w:eastAsiaTheme="minorEastAsia" w:hAnsiTheme="minorHAnsi"/>
          <w:lang w:eastAsia="en-AU"/>
        </w:rPr>
      </w:pPr>
      <w:hyperlink w:anchor="_Toc45015259" w:history="1">
        <w:r w:rsidR="004F3221" w:rsidRPr="008C5038">
          <w:rPr>
            <w:rStyle w:val="Hyperlink"/>
          </w:rPr>
          <w:t>1.4</w:t>
        </w:r>
        <w:r w:rsidR="004F3221">
          <w:rPr>
            <w:rFonts w:asciiTheme="minorHAnsi" w:eastAsiaTheme="minorEastAsia" w:hAnsiTheme="minorHAnsi"/>
            <w:lang w:eastAsia="en-AU"/>
          </w:rPr>
          <w:tab/>
        </w:r>
        <w:r w:rsidR="004F3221" w:rsidRPr="008C5038">
          <w:rPr>
            <w:rStyle w:val="Hyperlink"/>
          </w:rPr>
          <w:t>Overview of this guide</w:t>
        </w:r>
        <w:r w:rsidR="004F3221">
          <w:rPr>
            <w:webHidden/>
          </w:rPr>
          <w:tab/>
        </w:r>
        <w:r w:rsidR="004F3221">
          <w:rPr>
            <w:webHidden/>
          </w:rPr>
          <w:fldChar w:fldCharType="begin"/>
        </w:r>
        <w:r w:rsidR="004F3221">
          <w:rPr>
            <w:webHidden/>
          </w:rPr>
          <w:instrText xml:space="preserve"> PAGEREF _Toc45015259 \h </w:instrText>
        </w:r>
        <w:r w:rsidR="004F3221">
          <w:rPr>
            <w:webHidden/>
          </w:rPr>
        </w:r>
        <w:r w:rsidR="004F3221">
          <w:rPr>
            <w:webHidden/>
          </w:rPr>
          <w:fldChar w:fldCharType="separate"/>
        </w:r>
        <w:r w:rsidR="00844010">
          <w:rPr>
            <w:webHidden/>
          </w:rPr>
          <w:t>5</w:t>
        </w:r>
        <w:r w:rsidR="004F3221">
          <w:rPr>
            <w:webHidden/>
          </w:rPr>
          <w:fldChar w:fldCharType="end"/>
        </w:r>
      </w:hyperlink>
    </w:p>
    <w:p w14:paraId="67CA4130" w14:textId="77777777" w:rsidR="004F3221" w:rsidRDefault="00107827">
      <w:pPr>
        <w:pStyle w:val="TOC1"/>
        <w:rPr>
          <w:rFonts w:asciiTheme="minorHAnsi" w:eastAsiaTheme="minorEastAsia" w:hAnsiTheme="minorHAnsi"/>
          <w:b w:val="0"/>
          <w:lang w:eastAsia="en-AU"/>
        </w:rPr>
      </w:pPr>
      <w:hyperlink w:anchor="_Toc45015260" w:history="1">
        <w:r w:rsidR="004F3221" w:rsidRPr="008C5038">
          <w:rPr>
            <w:rStyle w:val="Hyperlink"/>
          </w:rPr>
          <w:t>2.</w:t>
        </w:r>
        <w:r w:rsidR="004F3221">
          <w:rPr>
            <w:rFonts w:asciiTheme="minorHAnsi" w:eastAsiaTheme="minorEastAsia" w:hAnsiTheme="minorHAnsi"/>
            <w:b w:val="0"/>
            <w:lang w:eastAsia="en-AU"/>
          </w:rPr>
          <w:tab/>
        </w:r>
        <w:r w:rsidR="004F3221" w:rsidRPr="008C5038">
          <w:rPr>
            <w:rStyle w:val="Hyperlink"/>
          </w:rPr>
          <w:t>Measures in the endorsed option</w:t>
        </w:r>
        <w:r w:rsidR="004F3221">
          <w:rPr>
            <w:webHidden/>
          </w:rPr>
          <w:tab/>
        </w:r>
        <w:r w:rsidR="004F3221">
          <w:rPr>
            <w:webHidden/>
          </w:rPr>
          <w:fldChar w:fldCharType="begin"/>
        </w:r>
        <w:r w:rsidR="004F3221">
          <w:rPr>
            <w:webHidden/>
          </w:rPr>
          <w:instrText xml:space="preserve"> PAGEREF _Toc45015260 \h </w:instrText>
        </w:r>
        <w:r w:rsidR="004F3221">
          <w:rPr>
            <w:webHidden/>
          </w:rPr>
        </w:r>
        <w:r w:rsidR="004F3221">
          <w:rPr>
            <w:webHidden/>
          </w:rPr>
          <w:fldChar w:fldCharType="separate"/>
        </w:r>
        <w:r w:rsidR="00844010">
          <w:rPr>
            <w:webHidden/>
          </w:rPr>
          <w:t>7</w:t>
        </w:r>
        <w:r w:rsidR="004F3221">
          <w:rPr>
            <w:webHidden/>
          </w:rPr>
          <w:fldChar w:fldCharType="end"/>
        </w:r>
      </w:hyperlink>
    </w:p>
    <w:p w14:paraId="5533B47E" w14:textId="77777777" w:rsidR="004F3221" w:rsidRDefault="00107827">
      <w:pPr>
        <w:pStyle w:val="TOC1"/>
        <w:rPr>
          <w:rFonts w:asciiTheme="minorHAnsi" w:eastAsiaTheme="minorEastAsia" w:hAnsiTheme="minorHAnsi"/>
          <w:b w:val="0"/>
          <w:lang w:eastAsia="en-AU"/>
        </w:rPr>
      </w:pPr>
      <w:hyperlink w:anchor="_Toc45015261" w:history="1">
        <w:r w:rsidR="004F3221" w:rsidRPr="008C5038">
          <w:rPr>
            <w:rStyle w:val="Hyperlink"/>
          </w:rPr>
          <w:t>3.</w:t>
        </w:r>
        <w:r w:rsidR="004F3221">
          <w:rPr>
            <w:rFonts w:asciiTheme="minorHAnsi" w:eastAsiaTheme="minorEastAsia" w:hAnsiTheme="minorHAnsi"/>
            <w:b w:val="0"/>
            <w:lang w:eastAsia="en-AU"/>
          </w:rPr>
          <w:tab/>
        </w:r>
        <w:r w:rsidR="004F3221" w:rsidRPr="008C5038">
          <w:rPr>
            <w:rStyle w:val="Hyperlink"/>
          </w:rPr>
          <w:t>The legislative and regulatory framework</w:t>
        </w:r>
        <w:r w:rsidR="004F3221">
          <w:rPr>
            <w:webHidden/>
          </w:rPr>
          <w:tab/>
        </w:r>
        <w:r w:rsidR="004F3221">
          <w:rPr>
            <w:webHidden/>
          </w:rPr>
          <w:fldChar w:fldCharType="begin"/>
        </w:r>
        <w:r w:rsidR="004F3221">
          <w:rPr>
            <w:webHidden/>
          </w:rPr>
          <w:instrText xml:space="preserve"> PAGEREF _Toc45015261 \h </w:instrText>
        </w:r>
        <w:r w:rsidR="004F3221">
          <w:rPr>
            <w:webHidden/>
          </w:rPr>
        </w:r>
        <w:r w:rsidR="004F3221">
          <w:rPr>
            <w:webHidden/>
          </w:rPr>
          <w:fldChar w:fldCharType="separate"/>
        </w:r>
        <w:r w:rsidR="00844010">
          <w:rPr>
            <w:webHidden/>
          </w:rPr>
          <w:t>10</w:t>
        </w:r>
        <w:r w:rsidR="004F3221">
          <w:rPr>
            <w:webHidden/>
          </w:rPr>
          <w:fldChar w:fldCharType="end"/>
        </w:r>
      </w:hyperlink>
    </w:p>
    <w:p w14:paraId="3BA016C6" w14:textId="77777777" w:rsidR="004F3221" w:rsidRDefault="00107827">
      <w:pPr>
        <w:pStyle w:val="TOC2"/>
        <w:rPr>
          <w:rFonts w:asciiTheme="minorHAnsi" w:eastAsiaTheme="minorEastAsia" w:hAnsiTheme="minorHAnsi"/>
          <w:lang w:eastAsia="en-AU"/>
        </w:rPr>
      </w:pPr>
      <w:hyperlink w:anchor="_Toc45015262" w:history="1">
        <w:r w:rsidR="004F3221" w:rsidRPr="008C5038">
          <w:rPr>
            <w:rStyle w:val="Hyperlink"/>
          </w:rPr>
          <w:t>3.1</w:t>
        </w:r>
        <w:r w:rsidR="004F3221">
          <w:rPr>
            <w:rFonts w:asciiTheme="minorHAnsi" w:eastAsiaTheme="minorEastAsia" w:hAnsiTheme="minorHAnsi"/>
            <w:lang w:eastAsia="en-AU"/>
          </w:rPr>
          <w:tab/>
        </w:r>
        <w:r w:rsidR="004F3221" w:rsidRPr="008C5038">
          <w:rPr>
            <w:rStyle w:val="Hyperlink"/>
          </w:rPr>
          <w:t>Application of the transparency measures</w:t>
        </w:r>
        <w:r w:rsidR="004F3221">
          <w:rPr>
            <w:webHidden/>
          </w:rPr>
          <w:tab/>
        </w:r>
        <w:r w:rsidR="004F3221">
          <w:rPr>
            <w:webHidden/>
          </w:rPr>
          <w:fldChar w:fldCharType="begin"/>
        </w:r>
        <w:r w:rsidR="004F3221">
          <w:rPr>
            <w:webHidden/>
          </w:rPr>
          <w:instrText xml:space="preserve"> PAGEREF _Toc45015262 \h </w:instrText>
        </w:r>
        <w:r w:rsidR="004F3221">
          <w:rPr>
            <w:webHidden/>
          </w:rPr>
        </w:r>
        <w:r w:rsidR="004F3221">
          <w:rPr>
            <w:webHidden/>
          </w:rPr>
          <w:fldChar w:fldCharType="separate"/>
        </w:r>
        <w:r w:rsidR="00844010">
          <w:rPr>
            <w:webHidden/>
          </w:rPr>
          <w:t>10</w:t>
        </w:r>
        <w:r w:rsidR="004F3221">
          <w:rPr>
            <w:webHidden/>
          </w:rPr>
          <w:fldChar w:fldCharType="end"/>
        </w:r>
      </w:hyperlink>
    </w:p>
    <w:p w14:paraId="07966AF9" w14:textId="77777777" w:rsidR="004F3221" w:rsidRDefault="00107827">
      <w:pPr>
        <w:pStyle w:val="TOC2"/>
        <w:rPr>
          <w:rFonts w:asciiTheme="minorHAnsi" w:eastAsiaTheme="minorEastAsia" w:hAnsiTheme="minorHAnsi"/>
          <w:lang w:eastAsia="en-AU"/>
        </w:rPr>
      </w:pPr>
      <w:hyperlink w:anchor="_Toc45015263" w:history="1">
        <w:r w:rsidR="004F3221" w:rsidRPr="008C5038">
          <w:rPr>
            <w:rStyle w:val="Hyperlink"/>
          </w:rPr>
          <w:t>3.2</w:t>
        </w:r>
        <w:r w:rsidR="004F3221">
          <w:rPr>
            <w:rFonts w:asciiTheme="minorHAnsi" w:eastAsiaTheme="minorEastAsia" w:hAnsiTheme="minorHAnsi"/>
            <w:lang w:eastAsia="en-AU"/>
          </w:rPr>
          <w:tab/>
        </w:r>
        <w:r w:rsidR="004F3221" w:rsidRPr="008C5038">
          <w:rPr>
            <w:rStyle w:val="Hyperlink"/>
          </w:rPr>
          <w:t>Current policy frameworks relevant to the endorsed option</w:t>
        </w:r>
        <w:r w:rsidR="004F3221">
          <w:rPr>
            <w:webHidden/>
          </w:rPr>
          <w:tab/>
        </w:r>
        <w:r w:rsidR="004F3221">
          <w:rPr>
            <w:webHidden/>
          </w:rPr>
          <w:fldChar w:fldCharType="begin"/>
        </w:r>
        <w:r w:rsidR="004F3221">
          <w:rPr>
            <w:webHidden/>
          </w:rPr>
          <w:instrText xml:space="preserve"> PAGEREF _Toc45015263 \h </w:instrText>
        </w:r>
        <w:r w:rsidR="004F3221">
          <w:rPr>
            <w:webHidden/>
          </w:rPr>
        </w:r>
        <w:r w:rsidR="004F3221">
          <w:rPr>
            <w:webHidden/>
          </w:rPr>
          <w:fldChar w:fldCharType="separate"/>
        </w:r>
        <w:r w:rsidR="00844010">
          <w:rPr>
            <w:webHidden/>
          </w:rPr>
          <w:t>11</w:t>
        </w:r>
        <w:r w:rsidR="004F3221">
          <w:rPr>
            <w:webHidden/>
          </w:rPr>
          <w:fldChar w:fldCharType="end"/>
        </w:r>
      </w:hyperlink>
    </w:p>
    <w:p w14:paraId="3092790C" w14:textId="77777777" w:rsidR="004F3221" w:rsidRDefault="00107827">
      <w:pPr>
        <w:pStyle w:val="TOC2"/>
        <w:rPr>
          <w:rFonts w:asciiTheme="minorHAnsi" w:eastAsiaTheme="minorEastAsia" w:hAnsiTheme="minorHAnsi"/>
          <w:lang w:eastAsia="en-AU"/>
        </w:rPr>
      </w:pPr>
      <w:hyperlink w:anchor="_Toc45015264" w:history="1">
        <w:r w:rsidR="004F3221" w:rsidRPr="008C5038">
          <w:rPr>
            <w:rStyle w:val="Hyperlink"/>
          </w:rPr>
          <w:t>3.3</w:t>
        </w:r>
        <w:r w:rsidR="004F3221">
          <w:rPr>
            <w:rFonts w:asciiTheme="minorHAnsi" w:eastAsiaTheme="minorEastAsia" w:hAnsiTheme="minorHAnsi"/>
            <w:lang w:eastAsia="en-AU"/>
          </w:rPr>
          <w:tab/>
        </w:r>
        <w:r w:rsidR="004F3221" w:rsidRPr="008C5038">
          <w:rPr>
            <w:rStyle w:val="Hyperlink"/>
          </w:rPr>
          <w:t>Overview of changes</w:t>
        </w:r>
        <w:r w:rsidR="004F3221">
          <w:rPr>
            <w:webHidden/>
          </w:rPr>
          <w:tab/>
        </w:r>
        <w:r w:rsidR="004F3221">
          <w:rPr>
            <w:webHidden/>
          </w:rPr>
          <w:fldChar w:fldCharType="begin"/>
        </w:r>
        <w:r w:rsidR="004F3221">
          <w:rPr>
            <w:webHidden/>
          </w:rPr>
          <w:instrText xml:space="preserve"> PAGEREF _Toc45015264 \h </w:instrText>
        </w:r>
        <w:r w:rsidR="004F3221">
          <w:rPr>
            <w:webHidden/>
          </w:rPr>
        </w:r>
        <w:r w:rsidR="004F3221">
          <w:rPr>
            <w:webHidden/>
          </w:rPr>
          <w:fldChar w:fldCharType="separate"/>
        </w:r>
        <w:r w:rsidR="00844010">
          <w:rPr>
            <w:webHidden/>
          </w:rPr>
          <w:t>14</w:t>
        </w:r>
        <w:r w:rsidR="004F3221">
          <w:rPr>
            <w:webHidden/>
          </w:rPr>
          <w:fldChar w:fldCharType="end"/>
        </w:r>
      </w:hyperlink>
    </w:p>
    <w:p w14:paraId="7E3A89BD" w14:textId="77777777" w:rsidR="004F3221" w:rsidRDefault="00107827">
      <w:pPr>
        <w:pStyle w:val="TOC2"/>
        <w:rPr>
          <w:rFonts w:asciiTheme="minorHAnsi" w:eastAsiaTheme="minorEastAsia" w:hAnsiTheme="minorHAnsi"/>
          <w:lang w:eastAsia="en-AU"/>
        </w:rPr>
      </w:pPr>
      <w:hyperlink w:anchor="_Toc45015265" w:history="1">
        <w:r w:rsidR="004F3221" w:rsidRPr="008C5038">
          <w:rPr>
            <w:rStyle w:val="Hyperlink"/>
          </w:rPr>
          <w:t>3.4</w:t>
        </w:r>
        <w:r w:rsidR="004F3221">
          <w:rPr>
            <w:rFonts w:asciiTheme="minorHAnsi" w:eastAsiaTheme="minorEastAsia" w:hAnsiTheme="minorHAnsi"/>
            <w:lang w:eastAsia="en-AU"/>
          </w:rPr>
          <w:tab/>
        </w:r>
        <w:r w:rsidR="004F3221" w:rsidRPr="008C5038">
          <w:rPr>
            <w:rStyle w:val="Hyperlink"/>
          </w:rPr>
          <w:t>Incidental changes to Part 18</w:t>
        </w:r>
        <w:r w:rsidR="004F3221">
          <w:rPr>
            <w:webHidden/>
          </w:rPr>
          <w:tab/>
        </w:r>
        <w:r w:rsidR="004F3221">
          <w:rPr>
            <w:webHidden/>
          </w:rPr>
          <w:fldChar w:fldCharType="begin"/>
        </w:r>
        <w:r w:rsidR="004F3221">
          <w:rPr>
            <w:webHidden/>
          </w:rPr>
          <w:instrText xml:space="preserve"> PAGEREF _Toc45015265 \h </w:instrText>
        </w:r>
        <w:r w:rsidR="004F3221">
          <w:rPr>
            <w:webHidden/>
          </w:rPr>
        </w:r>
        <w:r w:rsidR="004F3221">
          <w:rPr>
            <w:webHidden/>
          </w:rPr>
          <w:fldChar w:fldCharType="separate"/>
        </w:r>
        <w:r w:rsidR="00844010">
          <w:rPr>
            <w:webHidden/>
          </w:rPr>
          <w:t>15</w:t>
        </w:r>
        <w:r w:rsidR="004F3221">
          <w:rPr>
            <w:webHidden/>
          </w:rPr>
          <w:fldChar w:fldCharType="end"/>
        </w:r>
      </w:hyperlink>
    </w:p>
    <w:p w14:paraId="26C30355" w14:textId="77777777" w:rsidR="004F3221" w:rsidRDefault="00107827">
      <w:pPr>
        <w:pStyle w:val="TOC1"/>
        <w:rPr>
          <w:rFonts w:asciiTheme="minorHAnsi" w:eastAsiaTheme="minorEastAsia" w:hAnsiTheme="minorHAnsi"/>
          <w:b w:val="0"/>
          <w:lang w:eastAsia="en-AU"/>
        </w:rPr>
      </w:pPr>
      <w:hyperlink w:anchor="_Toc45015266" w:history="1">
        <w:r w:rsidR="004F3221" w:rsidRPr="008C5038">
          <w:rPr>
            <w:rStyle w:val="Hyperlink"/>
          </w:rPr>
          <w:t>4.</w:t>
        </w:r>
        <w:r w:rsidR="004F3221">
          <w:rPr>
            <w:rFonts w:asciiTheme="minorHAnsi" w:eastAsiaTheme="minorEastAsia" w:hAnsiTheme="minorHAnsi"/>
            <w:b w:val="0"/>
            <w:lang w:eastAsia="en-AU"/>
          </w:rPr>
          <w:tab/>
        </w:r>
        <w:r w:rsidR="004F3221" w:rsidRPr="008C5038">
          <w:rPr>
            <w:rStyle w:val="Hyperlink"/>
          </w:rPr>
          <w:t>Changes to the National Gas Law and Regulations</w:t>
        </w:r>
        <w:r w:rsidR="004F3221">
          <w:rPr>
            <w:webHidden/>
          </w:rPr>
          <w:tab/>
        </w:r>
        <w:r w:rsidR="004F3221">
          <w:rPr>
            <w:webHidden/>
          </w:rPr>
          <w:fldChar w:fldCharType="begin"/>
        </w:r>
        <w:r w:rsidR="004F3221">
          <w:rPr>
            <w:webHidden/>
          </w:rPr>
          <w:instrText xml:space="preserve"> PAGEREF _Toc45015266 \h </w:instrText>
        </w:r>
        <w:r w:rsidR="004F3221">
          <w:rPr>
            <w:webHidden/>
          </w:rPr>
        </w:r>
        <w:r w:rsidR="004F3221">
          <w:rPr>
            <w:webHidden/>
          </w:rPr>
          <w:fldChar w:fldCharType="separate"/>
        </w:r>
        <w:r w:rsidR="00844010">
          <w:rPr>
            <w:webHidden/>
          </w:rPr>
          <w:t>17</w:t>
        </w:r>
        <w:r w:rsidR="004F3221">
          <w:rPr>
            <w:webHidden/>
          </w:rPr>
          <w:fldChar w:fldCharType="end"/>
        </w:r>
      </w:hyperlink>
    </w:p>
    <w:p w14:paraId="2263AE78" w14:textId="77777777" w:rsidR="004F3221" w:rsidRDefault="00107827">
      <w:pPr>
        <w:pStyle w:val="TOC2"/>
        <w:rPr>
          <w:rFonts w:asciiTheme="minorHAnsi" w:eastAsiaTheme="minorEastAsia" w:hAnsiTheme="minorHAnsi"/>
          <w:lang w:eastAsia="en-AU"/>
        </w:rPr>
      </w:pPr>
      <w:hyperlink w:anchor="_Toc45015267" w:history="1">
        <w:r w:rsidR="004F3221" w:rsidRPr="008C5038">
          <w:rPr>
            <w:rStyle w:val="Hyperlink"/>
          </w:rPr>
          <w:t>4.1</w:t>
        </w:r>
        <w:r w:rsidR="004F3221">
          <w:rPr>
            <w:rFonts w:asciiTheme="minorHAnsi" w:eastAsiaTheme="minorEastAsia" w:hAnsiTheme="minorHAnsi"/>
            <w:lang w:eastAsia="en-AU"/>
          </w:rPr>
          <w:tab/>
        </w:r>
        <w:r w:rsidR="004F3221" w:rsidRPr="008C5038">
          <w:rPr>
            <w:rStyle w:val="Hyperlink"/>
          </w:rPr>
          <w:t>Introduction</w:t>
        </w:r>
        <w:r w:rsidR="004F3221">
          <w:rPr>
            <w:webHidden/>
          </w:rPr>
          <w:tab/>
        </w:r>
        <w:r w:rsidR="004F3221">
          <w:rPr>
            <w:webHidden/>
          </w:rPr>
          <w:fldChar w:fldCharType="begin"/>
        </w:r>
        <w:r w:rsidR="004F3221">
          <w:rPr>
            <w:webHidden/>
          </w:rPr>
          <w:instrText xml:space="preserve"> PAGEREF _Toc45015267 \h </w:instrText>
        </w:r>
        <w:r w:rsidR="004F3221">
          <w:rPr>
            <w:webHidden/>
          </w:rPr>
        </w:r>
        <w:r w:rsidR="004F3221">
          <w:rPr>
            <w:webHidden/>
          </w:rPr>
          <w:fldChar w:fldCharType="separate"/>
        </w:r>
        <w:r w:rsidR="00844010">
          <w:rPr>
            <w:webHidden/>
          </w:rPr>
          <w:t>17</w:t>
        </w:r>
        <w:r w:rsidR="004F3221">
          <w:rPr>
            <w:webHidden/>
          </w:rPr>
          <w:fldChar w:fldCharType="end"/>
        </w:r>
      </w:hyperlink>
    </w:p>
    <w:p w14:paraId="6528FC38" w14:textId="77777777" w:rsidR="004F3221" w:rsidRDefault="00107827">
      <w:pPr>
        <w:pStyle w:val="TOC2"/>
        <w:rPr>
          <w:rFonts w:asciiTheme="minorHAnsi" w:eastAsiaTheme="minorEastAsia" w:hAnsiTheme="minorHAnsi"/>
          <w:lang w:eastAsia="en-AU"/>
        </w:rPr>
      </w:pPr>
      <w:hyperlink w:anchor="_Toc45015268" w:history="1">
        <w:r w:rsidR="004F3221" w:rsidRPr="008C5038">
          <w:rPr>
            <w:rStyle w:val="Hyperlink"/>
          </w:rPr>
          <w:t>4.2</w:t>
        </w:r>
        <w:r w:rsidR="004F3221">
          <w:rPr>
            <w:rFonts w:asciiTheme="minorHAnsi" w:eastAsiaTheme="minorEastAsia" w:hAnsiTheme="minorHAnsi"/>
            <w:lang w:eastAsia="en-AU"/>
          </w:rPr>
          <w:tab/>
        </w:r>
        <w:r w:rsidR="004F3221" w:rsidRPr="008C5038">
          <w:rPr>
            <w:rStyle w:val="Hyperlink"/>
          </w:rPr>
          <w:t>Expanding the scope of the BB</w:t>
        </w:r>
        <w:r w:rsidR="004F3221">
          <w:rPr>
            <w:webHidden/>
          </w:rPr>
          <w:tab/>
        </w:r>
        <w:r w:rsidR="004F3221">
          <w:rPr>
            <w:webHidden/>
          </w:rPr>
          <w:fldChar w:fldCharType="begin"/>
        </w:r>
        <w:r w:rsidR="004F3221">
          <w:rPr>
            <w:webHidden/>
          </w:rPr>
          <w:instrText xml:space="preserve"> PAGEREF _Toc45015268 \h </w:instrText>
        </w:r>
        <w:r w:rsidR="004F3221">
          <w:rPr>
            <w:webHidden/>
          </w:rPr>
        </w:r>
        <w:r w:rsidR="004F3221">
          <w:rPr>
            <w:webHidden/>
          </w:rPr>
          <w:fldChar w:fldCharType="separate"/>
        </w:r>
        <w:r w:rsidR="00844010">
          <w:rPr>
            <w:webHidden/>
          </w:rPr>
          <w:t>17</w:t>
        </w:r>
        <w:r w:rsidR="004F3221">
          <w:rPr>
            <w:webHidden/>
          </w:rPr>
          <w:fldChar w:fldCharType="end"/>
        </w:r>
      </w:hyperlink>
    </w:p>
    <w:p w14:paraId="7060ED3F" w14:textId="77777777" w:rsidR="004F3221" w:rsidRDefault="00107827">
      <w:pPr>
        <w:pStyle w:val="TOC2"/>
        <w:rPr>
          <w:rFonts w:asciiTheme="minorHAnsi" w:eastAsiaTheme="minorEastAsia" w:hAnsiTheme="minorHAnsi"/>
          <w:lang w:eastAsia="en-AU"/>
        </w:rPr>
      </w:pPr>
      <w:hyperlink w:anchor="_Toc45015269" w:history="1">
        <w:r w:rsidR="004F3221" w:rsidRPr="008C5038">
          <w:rPr>
            <w:rStyle w:val="Hyperlink"/>
          </w:rPr>
          <w:t>4.3</w:t>
        </w:r>
        <w:r w:rsidR="004F3221">
          <w:rPr>
            <w:rFonts w:asciiTheme="minorHAnsi" w:eastAsiaTheme="minorEastAsia" w:hAnsiTheme="minorHAnsi"/>
            <w:lang w:eastAsia="en-AU"/>
          </w:rPr>
          <w:tab/>
        </w:r>
        <w:r w:rsidR="004F3221" w:rsidRPr="008C5038">
          <w:rPr>
            <w:rStyle w:val="Hyperlink"/>
          </w:rPr>
          <w:t>Publication of standing offer information</w:t>
        </w:r>
        <w:r w:rsidR="004F3221">
          <w:rPr>
            <w:webHidden/>
          </w:rPr>
          <w:tab/>
        </w:r>
        <w:r w:rsidR="004F3221">
          <w:rPr>
            <w:webHidden/>
          </w:rPr>
          <w:fldChar w:fldCharType="begin"/>
        </w:r>
        <w:r w:rsidR="004F3221">
          <w:rPr>
            <w:webHidden/>
          </w:rPr>
          <w:instrText xml:space="preserve"> PAGEREF _Toc45015269 \h </w:instrText>
        </w:r>
        <w:r w:rsidR="004F3221">
          <w:rPr>
            <w:webHidden/>
          </w:rPr>
        </w:r>
        <w:r w:rsidR="004F3221">
          <w:rPr>
            <w:webHidden/>
          </w:rPr>
          <w:fldChar w:fldCharType="separate"/>
        </w:r>
        <w:r w:rsidR="00844010">
          <w:rPr>
            <w:webHidden/>
          </w:rPr>
          <w:t>19</w:t>
        </w:r>
        <w:r w:rsidR="004F3221">
          <w:rPr>
            <w:webHidden/>
          </w:rPr>
          <w:fldChar w:fldCharType="end"/>
        </w:r>
      </w:hyperlink>
    </w:p>
    <w:p w14:paraId="517A8239" w14:textId="77777777" w:rsidR="004F3221" w:rsidRDefault="00107827">
      <w:pPr>
        <w:pStyle w:val="TOC2"/>
        <w:rPr>
          <w:rFonts w:asciiTheme="minorHAnsi" w:eastAsiaTheme="minorEastAsia" w:hAnsiTheme="minorHAnsi"/>
          <w:lang w:eastAsia="en-AU"/>
        </w:rPr>
      </w:pPr>
      <w:hyperlink w:anchor="_Toc45015270" w:history="1">
        <w:r w:rsidR="004F3221" w:rsidRPr="008C5038">
          <w:rPr>
            <w:rStyle w:val="Hyperlink"/>
          </w:rPr>
          <w:t>4.4</w:t>
        </w:r>
        <w:r w:rsidR="004F3221">
          <w:rPr>
            <w:rFonts w:asciiTheme="minorHAnsi" w:eastAsiaTheme="minorEastAsia" w:hAnsiTheme="minorHAnsi"/>
            <w:lang w:eastAsia="en-AU"/>
          </w:rPr>
          <w:tab/>
        </w:r>
        <w:r w:rsidR="004F3221" w:rsidRPr="008C5038">
          <w:rPr>
            <w:rStyle w:val="Hyperlink"/>
          </w:rPr>
          <w:t>Updating the GSOO provisions</w:t>
        </w:r>
        <w:r w:rsidR="004F3221">
          <w:rPr>
            <w:webHidden/>
          </w:rPr>
          <w:tab/>
        </w:r>
        <w:r w:rsidR="004F3221">
          <w:rPr>
            <w:webHidden/>
          </w:rPr>
          <w:fldChar w:fldCharType="begin"/>
        </w:r>
        <w:r w:rsidR="004F3221">
          <w:rPr>
            <w:webHidden/>
          </w:rPr>
          <w:instrText xml:space="preserve"> PAGEREF _Toc45015270 \h </w:instrText>
        </w:r>
        <w:r w:rsidR="004F3221">
          <w:rPr>
            <w:webHidden/>
          </w:rPr>
        </w:r>
        <w:r w:rsidR="004F3221">
          <w:rPr>
            <w:webHidden/>
          </w:rPr>
          <w:fldChar w:fldCharType="separate"/>
        </w:r>
        <w:r w:rsidR="00844010">
          <w:rPr>
            <w:webHidden/>
          </w:rPr>
          <w:t>19</w:t>
        </w:r>
        <w:r w:rsidR="004F3221">
          <w:rPr>
            <w:webHidden/>
          </w:rPr>
          <w:fldChar w:fldCharType="end"/>
        </w:r>
      </w:hyperlink>
    </w:p>
    <w:p w14:paraId="63E293C1" w14:textId="77777777" w:rsidR="004F3221" w:rsidRDefault="00107827">
      <w:pPr>
        <w:pStyle w:val="TOC2"/>
        <w:rPr>
          <w:rFonts w:asciiTheme="minorHAnsi" w:eastAsiaTheme="minorEastAsia" w:hAnsiTheme="minorHAnsi"/>
          <w:lang w:eastAsia="en-AU"/>
        </w:rPr>
      </w:pPr>
      <w:hyperlink w:anchor="_Toc45015271" w:history="1">
        <w:r w:rsidR="004F3221" w:rsidRPr="008C5038">
          <w:rPr>
            <w:rStyle w:val="Hyperlink"/>
          </w:rPr>
          <w:t>4.5</w:t>
        </w:r>
        <w:r w:rsidR="004F3221">
          <w:rPr>
            <w:rFonts w:asciiTheme="minorHAnsi" w:eastAsiaTheme="minorEastAsia" w:hAnsiTheme="minorHAnsi"/>
            <w:lang w:eastAsia="en-AU"/>
          </w:rPr>
          <w:tab/>
        </w:r>
        <w:r w:rsidR="004F3221" w:rsidRPr="008C5038">
          <w:rPr>
            <w:rStyle w:val="Hyperlink"/>
          </w:rPr>
          <w:t>AER’s gas price reporting functions and powers</w:t>
        </w:r>
        <w:r w:rsidR="004F3221">
          <w:rPr>
            <w:webHidden/>
          </w:rPr>
          <w:tab/>
        </w:r>
        <w:r w:rsidR="004F3221">
          <w:rPr>
            <w:webHidden/>
          </w:rPr>
          <w:fldChar w:fldCharType="begin"/>
        </w:r>
        <w:r w:rsidR="004F3221">
          <w:rPr>
            <w:webHidden/>
          </w:rPr>
          <w:instrText xml:space="preserve"> PAGEREF _Toc45015271 \h </w:instrText>
        </w:r>
        <w:r w:rsidR="004F3221">
          <w:rPr>
            <w:webHidden/>
          </w:rPr>
        </w:r>
        <w:r w:rsidR="004F3221">
          <w:rPr>
            <w:webHidden/>
          </w:rPr>
          <w:fldChar w:fldCharType="separate"/>
        </w:r>
        <w:r w:rsidR="00844010">
          <w:rPr>
            <w:webHidden/>
          </w:rPr>
          <w:t>20</w:t>
        </w:r>
        <w:r w:rsidR="004F3221">
          <w:rPr>
            <w:webHidden/>
          </w:rPr>
          <w:fldChar w:fldCharType="end"/>
        </w:r>
      </w:hyperlink>
    </w:p>
    <w:p w14:paraId="064B4528" w14:textId="77777777" w:rsidR="004F3221" w:rsidRDefault="00107827">
      <w:pPr>
        <w:pStyle w:val="TOC2"/>
        <w:rPr>
          <w:rFonts w:asciiTheme="minorHAnsi" w:eastAsiaTheme="minorEastAsia" w:hAnsiTheme="minorHAnsi"/>
          <w:lang w:eastAsia="en-AU"/>
        </w:rPr>
      </w:pPr>
      <w:hyperlink w:anchor="_Toc45015272" w:history="1">
        <w:r w:rsidR="004F3221" w:rsidRPr="008C5038">
          <w:rPr>
            <w:rStyle w:val="Hyperlink"/>
          </w:rPr>
          <w:t>4.6</w:t>
        </w:r>
        <w:r w:rsidR="004F3221">
          <w:rPr>
            <w:rFonts w:asciiTheme="minorHAnsi" w:eastAsiaTheme="minorEastAsia" w:hAnsiTheme="minorHAnsi"/>
            <w:lang w:eastAsia="en-AU"/>
          </w:rPr>
          <w:tab/>
        </w:r>
        <w:r w:rsidR="004F3221" w:rsidRPr="008C5038">
          <w:rPr>
            <w:rStyle w:val="Hyperlink"/>
          </w:rPr>
          <w:t>Minister-made rules</w:t>
        </w:r>
        <w:r w:rsidR="004F3221">
          <w:rPr>
            <w:webHidden/>
          </w:rPr>
          <w:tab/>
        </w:r>
        <w:r w:rsidR="004F3221">
          <w:rPr>
            <w:webHidden/>
          </w:rPr>
          <w:fldChar w:fldCharType="begin"/>
        </w:r>
        <w:r w:rsidR="004F3221">
          <w:rPr>
            <w:webHidden/>
          </w:rPr>
          <w:instrText xml:space="preserve"> PAGEREF _Toc45015272 \h </w:instrText>
        </w:r>
        <w:r w:rsidR="004F3221">
          <w:rPr>
            <w:webHidden/>
          </w:rPr>
        </w:r>
        <w:r w:rsidR="004F3221">
          <w:rPr>
            <w:webHidden/>
          </w:rPr>
          <w:fldChar w:fldCharType="separate"/>
        </w:r>
        <w:r w:rsidR="00844010">
          <w:rPr>
            <w:webHidden/>
          </w:rPr>
          <w:t>20</w:t>
        </w:r>
        <w:r w:rsidR="004F3221">
          <w:rPr>
            <w:webHidden/>
          </w:rPr>
          <w:fldChar w:fldCharType="end"/>
        </w:r>
      </w:hyperlink>
    </w:p>
    <w:p w14:paraId="10A8D48B" w14:textId="77777777" w:rsidR="004F3221" w:rsidRDefault="00107827">
      <w:pPr>
        <w:pStyle w:val="TOC2"/>
        <w:rPr>
          <w:rFonts w:asciiTheme="minorHAnsi" w:eastAsiaTheme="minorEastAsia" w:hAnsiTheme="minorHAnsi"/>
          <w:lang w:eastAsia="en-AU"/>
        </w:rPr>
      </w:pPr>
      <w:hyperlink w:anchor="_Toc45015273" w:history="1">
        <w:r w:rsidR="004F3221" w:rsidRPr="008C5038">
          <w:rPr>
            <w:rStyle w:val="Hyperlink"/>
          </w:rPr>
          <w:t>4.7</w:t>
        </w:r>
        <w:r w:rsidR="004F3221">
          <w:rPr>
            <w:rFonts w:asciiTheme="minorHAnsi" w:eastAsiaTheme="minorEastAsia" w:hAnsiTheme="minorHAnsi"/>
            <w:lang w:eastAsia="en-AU"/>
          </w:rPr>
          <w:tab/>
        </w:r>
        <w:r w:rsidR="004F3221" w:rsidRPr="008C5038">
          <w:rPr>
            <w:rStyle w:val="Hyperlink"/>
          </w:rPr>
          <w:t>Changes to the Regulations</w:t>
        </w:r>
        <w:r w:rsidR="004F3221">
          <w:rPr>
            <w:webHidden/>
          </w:rPr>
          <w:tab/>
        </w:r>
        <w:r w:rsidR="004F3221">
          <w:rPr>
            <w:webHidden/>
          </w:rPr>
          <w:fldChar w:fldCharType="begin"/>
        </w:r>
        <w:r w:rsidR="004F3221">
          <w:rPr>
            <w:webHidden/>
          </w:rPr>
          <w:instrText xml:space="preserve"> PAGEREF _Toc45015273 \h </w:instrText>
        </w:r>
        <w:r w:rsidR="004F3221">
          <w:rPr>
            <w:webHidden/>
          </w:rPr>
        </w:r>
        <w:r w:rsidR="004F3221">
          <w:rPr>
            <w:webHidden/>
          </w:rPr>
          <w:fldChar w:fldCharType="separate"/>
        </w:r>
        <w:r w:rsidR="00844010">
          <w:rPr>
            <w:webHidden/>
          </w:rPr>
          <w:t>21</w:t>
        </w:r>
        <w:r w:rsidR="004F3221">
          <w:rPr>
            <w:webHidden/>
          </w:rPr>
          <w:fldChar w:fldCharType="end"/>
        </w:r>
      </w:hyperlink>
    </w:p>
    <w:p w14:paraId="37EE9723" w14:textId="77777777" w:rsidR="004F3221" w:rsidRDefault="00107827">
      <w:pPr>
        <w:pStyle w:val="TOC1"/>
        <w:rPr>
          <w:rFonts w:asciiTheme="minorHAnsi" w:eastAsiaTheme="minorEastAsia" w:hAnsiTheme="minorHAnsi"/>
          <w:b w:val="0"/>
          <w:lang w:eastAsia="en-AU"/>
        </w:rPr>
      </w:pPr>
      <w:hyperlink w:anchor="_Toc45015274" w:history="1">
        <w:r w:rsidR="004F3221" w:rsidRPr="008C5038">
          <w:rPr>
            <w:rStyle w:val="Hyperlink"/>
          </w:rPr>
          <w:t>5.</w:t>
        </w:r>
        <w:r w:rsidR="004F3221">
          <w:rPr>
            <w:rFonts w:asciiTheme="minorHAnsi" w:eastAsiaTheme="minorEastAsia" w:hAnsiTheme="minorHAnsi"/>
            <w:b w:val="0"/>
            <w:lang w:eastAsia="en-AU"/>
          </w:rPr>
          <w:tab/>
        </w:r>
        <w:r w:rsidR="004F3221" w:rsidRPr="008C5038">
          <w:rPr>
            <w:rStyle w:val="Hyperlink"/>
          </w:rPr>
          <w:t>Gas, LNG and infrastructure prices</w:t>
        </w:r>
        <w:r w:rsidR="004F3221">
          <w:rPr>
            <w:webHidden/>
          </w:rPr>
          <w:tab/>
        </w:r>
        <w:r w:rsidR="004F3221">
          <w:rPr>
            <w:webHidden/>
          </w:rPr>
          <w:fldChar w:fldCharType="begin"/>
        </w:r>
        <w:r w:rsidR="004F3221">
          <w:rPr>
            <w:webHidden/>
          </w:rPr>
          <w:instrText xml:space="preserve"> PAGEREF _Toc45015274 \h </w:instrText>
        </w:r>
        <w:r w:rsidR="004F3221">
          <w:rPr>
            <w:webHidden/>
          </w:rPr>
        </w:r>
        <w:r w:rsidR="004F3221">
          <w:rPr>
            <w:webHidden/>
          </w:rPr>
          <w:fldChar w:fldCharType="separate"/>
        </w:r>
        <w:r w:rsidR="00844010">
          <w:rPr>
            <w:webHidden/>
          </w:rPr>
          <w:t>22</w:t>
        </w:r>
        <w:r w:rsidR="004F3221">
          <w:rPr>
            <w:webHidden/>
          </w:rPr>
          <w:fldChar w:fldCharType="end"/>
        </w:r>
      </w:hyperlink>
    </w:p>
    <w:p w14:paraId="5728EDDC" w14:textId="77777777" w:rsidR="004F3221" w:rsidRDefault="00107827">
      <w:pPr>
        <w:pStyle w:val="TOC2"/>
        <w:rPr>
          <w:rFonts w:asciiTheme="minorHAnsi" w:eastAsiaTheme="minorEastAsia" w:hAnsiTheme="minorHAnsi"/>
          <w:lang w:eastAsia="en-AU"/>
        </w:rPr>
      </w:pPr>
      <w:hyperlink w:anchor="_Toc45015275" w:history="1">
        <w:r w:rsidR="004F3221" w:rsidRPr="008C5038">
          <w:rPr>
            <w:rStyle w:val="Hyperlink"/>
          </w:rPr>
          <w:t>5.1</w:t>
        </w:r>
        <w:r w:rsidR="004F3221">
          <w:rPr>
            <w:rFonts w:asciiTheme="minorHAnsi" w:eastAsiaTheme="minorEastAsia" w:hAnsiTheme="minorHAnsi"/>
            <w:lang w:eastAsia="en-AU"/>
          </w:rPr>
          <w:tab/>
        </w:r>
        <w:r w:rsidR="004F3221" w:rsidRPr="008C5038">
          <w:rPr>
            <w:rStyle w:val="Hyperlink"/>
          </w:rPr>
          <w:t>Production cost estimates</w:t>
        </w:r>
        <w:r w:rsidR="004F3221">
          <w:rPr>
            <w:webHidden/>
          </w:rPr>
          <w:tab/>
        </w:r>
        <w:r w:rsidR="004F3221">
          <w:rPr>
            <w:webHidden/>
          </w:rPr>
          <w:fldChar w:fldCharType="begin"/>
        </w:r>
        <w:r w:rsidR="004F3221">
          <w:rPr>
            <w:webHidden/>
          </w:rPr>
          <w:instrText xml:space="preserve"> PAGEREF _Toc45015275 \h </w:instrText>
        </w:r>
        <w:r w:rsidR="004F3221">
          <w:rPr>
            <w:webHidden/>
          </w:rPr>
        </w:r>
        <w:r w:rsidR="004F3221">
          <w:rPr>
            <w:webHidden/>
          </w:rPr>
          <w:fldChar w:fldCharType="separate"/>
        </w:r>
        <w:r w:rsidR="00844010">
          <w:rPr>
            <w:webHidden/>
          </w:rPr>
          <w:t>22</w:t>
        </w:r>
        <w:r w:rsidR="004F3221">
          <w:rPr>
            <w:webHidden/>
          </w:rPr>
          <w:fldChar w:fldCharType="end"/>
        </w:r>
      </w:hyperlink>
    </w:p>
    <w:p w14:paraId="5839EA16" w14:textId="77777777" w:rsidR="004F3221" w:rsidRDefault="00107827">
      <w:pPr>
        <w:pStyle w:val="TOC2"/>
        <w:rPr>
          <w:rFonts w:asciiTheme="minorHAnsi" w:eastAsiaTheme="minorEastAsia" w:hAnsiTheme="minorHAnsi"/>
          <w:lang w:eastAsia="en-AU"/>
        </w:rPr>
      </w:pPr>
      <w:hyperlink w:anchor="_Toc45015276" w:history="1">
        <w:r w:rsidR="004F3221" w:rsidRPr="008C5038">
          <w:rPr>
            <w:rStyle w:val="Hyperlink"/>
          </w:rPr>
          <w:t>5.2</w:t>
        </w:r>
        <w:r w:rsidR="004F3221">
          <w:rPr>
            <w:rFonts w:asciiTheme="minorHAnsi" w:eastAsiaTheme="minorEastAsia" w:hAnsiTheme="minorHAnsi"/>
            <w:lang w:eastAsia="en-AU"/>
          </w:rPr>
          <w:tab/>
        </w:r>
        <w:r w:rsidR="004F3221" w:rsidRPr="008C5038">
          <w:rPr>
            <w:rStyle w:val="Hyperlink"/>
          </w:rPr>
          <w:t>Short term gas supply agreements</w:t>
        </w:r>
        <w:r w:rsidR="004F3221">
          <w:rPr>
            <w:webHidden/>
          </w:rPr>
          <w:tab/>
        </w:r>
        <w:r w:rsidR="004F3221">
          <w:rPr>
            <w:webHidden/>
          </w:rPr>
          <w:fldChar w:fldCharType="begin"/>
        </w:r>
        <w:r w:rsidR="004F3221">
          <w:rPr>
            <w:webHidden/>
          </w:rPr>
          <w:instrText xml:space="preserve"> PAGEREF _Toc45015276 \h </w:instrText>
        </w:r>
        <w:r w:rsidR="004F3221">
          <w:rPr>
            <w:webHidden/>
          </w:rPr>
        </w:r>
        <w:r w:rsidR="004F3221">
          <w:rPr>
            <w:webHidden/>
          </w:rPr>
          <w:fldChar w:fldCharType="separate"/>
        </w:r>
        <w:r w:rsidR="00844010">
          <w:rPr>
            <w:webHidden/>
          </w:rPr>
          <w:t>22</w:t>
        </w:r>
        <w:r w:rsidR="004F3221">
          <w:rPr>
            <w:webHidden/>
          </w:rPr>
          <w:fldChar w:fldCharType="end"/>
        </w:r>
      </w:hyperlink>
    </w:p>
    <w:p w14:paraId="40D62DAD" w14:textId="77777777" w:rsidR="004F3221" w:rsidRDefault="00107827">
      <w:pPr>
        <w:pStyle w:val="TOC2"/>
        <w:rPr>
          <w:rFonts w:asciiTheme="minorHAnsi" w:eastAsiaTheme="minorEastAsia" w:hAnsiTheme="minorHAnsi"/>
          <w:lang w:eastAsia="en-AU"/>
        </w:rPr>
      </w:pPr>
      <w:hyperlink w:anchor="_Toc45015277" w:history="1">
        <w:r w:rsidR="004F3221" w:rsidRPr="008C5038">
          <w:rPr>
            <w:rStyle w:val="Hyperlink"/>
          </w:rPr>
          <w:t>5.3</w:t>
        </w:r>
        <w:r w:rsidR="004F3221">
          <w:rPr>
            <w:rFonts w:asciiTheme="minorHAnsi" w:eastAsiaTheme="minorEastAsia" w:hAnsiTheme="minorHAnsi"/>
            <w:lang w:eastAsia="en-AU"/>
          </w:rPr>
          <w:tab/>
        </w:r>
        <w:r w:rsidR="004F3221" w:rsidRPr="008C5038">
          <w:rPr>
            <w:rStyle w:val="Hyperlink"/>
          </w:rPr>
          <w:t>Short term gas swaps</w:t>
        </w:r>
        <w:r w:rsidR="004F3221">
          <w:rPr>
            <w:webHidden/>
          </w:rPr>
          <w:tab/>
        </w:r>
        <w:r w:rsidR="004F3221">
          <w:rPr>
            <w:webHidden/>
          </w:rPr>
          <w:fldChar w:fldCharType="begin"/>
        </w:r>
        <w:r w:rsidR="004F3221">
          <w:rPr>
            <w:webHidden/>
          </w:rPr>
          <w:instrText xml:space="preserve"> PAGEREF _Toc45015277 \h </w:instrText>
        </w:r>
        <w:r w:rsidR="004F3221">
          <w:rPr>
            <w:webHidden/>
          </w:rPr>
        </w:r>
        <w:r w:rsidR="004F3221">
          <w:rPr>
            <w:webHidden/>
          </w:rPr>
          <w:fldChar w:fldCharType="separate"/>
        </w:r>
        <w:r w:rsidR="00844010">
          <w:rPr>
            <w:webHidden/>
          </w:rPr>
          <w:t>23</w:t>
        </w:r>
        <w:r w:rsidR="004F3221">
          <w:rPr>
            <w:webHidden/>
          </w:rPr>
          <w:fldChar w:fldCharType="end"/>
        </w:r>
      </w:hyperlink>
    </w:p>
    <w:p w14:paraId="73A31DF6" w14:textId="77777777" w:rsidR="004F3221" w:rsidRDefault="00107827">
      <w:pPr>
        <w:pStyle w:val="TOC2"/>
        <w:rPr>
          <w:rFonts w:asciiTheme="minorHAnsi" w:eastAsiaTheme="minorEastAsia" w:hAnsiTheme="minorHAnsi"/>
          <w:lang w:eastAsia="en-AU"/>
        </w:rPr>
      </w:pPr>
      <w:hyperlink w:anchor="_Toc45015278" w:history="1">
        <w:r w:rsidR="004F3221" w:rsidRPr="008C5038">
          <w:rPr>
            <w:rStyle w:val="Hyperlink"/>
          </w:rPr>
          <w:t>5.4</w:t>
        </w:r>
        <w:r w:rsidR="004F3221">
          <w:rPr>
            <w:rFonts w:asciiTheme="minorHAnsi" w:eastAsiaTheme="minorEastAsia" w:hAnsiTheme="minorHAnsi"/>
            <w:lang w:eastAsia="en-AU"/>
          </w:rPr>
          <w:tab/>
        </w:r>
        <w:r w:rsidR="004F3221" w:rsidRPr="008C5038">
          <w:rPr>
            <w:rStyle w:val="Hyperlink"/>
          </w:rPr>
          <w:t>AER gas price reporting function</w:t>
        </w:r>
        <w:r w:rsidR="004F3221">
          <w:rPr>
            <w:webHidden/>
          </w:rPr>
          <w:tab/>
        </w:r>
        <w:r w:rsidR="004F3221">
          <w:rPr>
            <w:webHidden/>
          </w:rPr>
          <w:fldChar w:fldCharType="begin"/>
        </w:r>
        <w:r w:rsidR="004F3221">
          <w:rPr>
            <w:webHidden/>
          </w:rPr>
          <w:instrText xml:space="preserve"> PAGEREF _Toc45015278 \h </w:instrText>
        </w:r>
        <w:r w:rsidR="004F3221">
          <w:rPr>
            <w:webHidden/>
          </w:rPr>
        </w:r>
        <w:r w:rsidR="004F3221">
          <w:rPr>
            <w:webHidden/>
          </w:rPr>
          <w:fldChar w:fldCharType="separate"/>
        </w:r>
        <w:r w:rsidR="00844010">
          <w:rPr>
            <w:webHidden/>
          </w:rPr>
          <w:t>25</w:t>
        </w:r>
        <w:r w:rsidR="004F3221">
          <w:rPr>
            <w:webHidden/>
          </w:rPr>
          <w:fldChar w:fldCharType="end"/>
        </w:r>
      </w:hyperlink>
    </w:p>
    <w:p w14:paraId="53C15795" w14:textId="77777777" w:rsidR="004F3221" w:rsidRDefault="00107827">
      <w:pPr>
        <w:pStyle w:val="TOC2"/>
        <w:rPr>
          <w:rFonts w:asciiTheme="minorHAnsi" w:eastAsiaTheme="minorEastAsia" w:hAnsiTheme="minorHAnsi"/>
          <w:lang w:eastAsia="en-AU"/>
        </w:rPr>
      </w:pPr>
      <w:hyperlink w:anchor="_Toc45015279" w:history="1">
        <w:r w:rsidR="004F3221" w:rsidRPr="008C5038">
          <w:rPr>
            <w:rStyle w:val="Hyperlink"/>
          </w:rPr>
          <w:t>5.5</w:t>
        </w:r>
        <w:r w:rsidR="004F3221">
          <w:rPr>
            <w:rFonts w:asciiTheme="minorHAnsi" w:eastAsiaTheme="minorEastAsia" w:hAnsiTheme="minorHAnsi"/>
            <w:lang w:eastAsia="en-AU"/>
          </w:rPr>
          <w:tab/>
        </w:r>
        <w:r w:rsidR="004F3221" w:rsidRPr="008C5038">
          <w:rPr>
            <w:rStyle w:val="Hyperlink"/>
          </w:rPr>
          <w:t>Storage and compression price information</w:t>
        </w:r>
        <w:r w:rsidR="004F3221">
          <w:rPr>
            <w:webHidden/>
          </w:rPr>
          <w:tab/>
        </w:r>
        <w:r w:rsidR="004F3221">
          <w:rPr>
            <w:webHidden/>
          </w:rPr>
          <w:fldChar w:fldCharType="begin"/>
        </w:r>
        <w:r w:rsidR="004F3221">
          <w:rPr>
            <w:webHidden/>
          </w:rPr>
          <w:instrText xml:space="preserve"> PAGEREF _Toc45015279 \h </w:instrText>
        </w:r>
        <w:r w:rsidR="004F3221">
          <w:rPr>
            <w:webHidden/>
          </w:rPr>
        </w:r>
        <w:r w:rsidR="004F3221">
          <w:rPr>
            <w:webHidden/>
          </w:rPr>
          <w:fldChar w:fldCharType="separate"/>
        </w:r>
        <w:r w:rsidR="00844010">
          <w:rPr>
            <w:webHidden/>
          </w:rPr>
          <w:t>26</w:t>
        </w:r>
        <w:r w:rsidR="004F3221">
          <w:rPr>
            <w:webHidden/>
          </w:rPr>
          <w:fldChar w:fldCharType="end"/>
        </w:r>
      </w:hyperlink>
    </w:p>
    <w:p w14:paraId="3B49DAA7" w14:textId="77777777" w:rsidR="004F3221" w:rsidRDefault="00107827">
      <w:pPr>
        <w:pStyle w:val="TOC2"/>
        <w:rPr>
          <w:rFonts w:asciiTheme="minorHAnsi" w:eastAsiaTheme="minorEastAsia" w:hAnsiTheme="minorHAnsi"/>
          <w:lang w:eastAsia="en-AU"/>
        </w:rPr>
      </w:pPr>
      <w:hyperlink w:anchor="_Toc45015280" w:history="1">
        <w:r w:rsidR="004F3221" w:rsidRPr="008C5038">
          <w:rPr>
            <w:rStyle w:val="Hyperlink"/>
          </w:rPr>
          <w:t>5.6</w:t>
        </w:r>
        <w:r w:rsidR="004F3221">
          <w:rPr>
            <w:rFonts w:asciiTheme="minorHAnsi" w:eastAsiaTheme="minorEastAsia" w:hAnsiTheme="minorHAnsi"/>
            <w:lang w:eastAsia="en-AU"/>
          </w:rPr>
          <w:tab/>
        </w:r>
        <w:r w:rsidR="004F3221" w:rsidRPr="008C5038">
          <w:rPr>
            <w:rStyle w:val="Hyperlink"/>
          </w:rPr>
          <w:t>Short term LNG export transactions</w:t>
        </w:r>
        <w:r w:rsidR="004F3221">
          <w:rPr>
            <w:webHidden/>
          </w:rPr>
          <w:tab/>
        </w:r>
        <w:r w:rsidR="004F3221">
          <w:rPr>
            <w:webHidden/>
          </w:rPr>
          <w:fldChar w:fldCharType="begin"/>
        </w:r>
        <w:r w:rsidR="004F3221">
          <w:rPr>
            <w:webHidden/>
          </w:rPr>
          <w:instrText xml:space="preserve"> PAGEREF _Toc45015280 \h </w:instrText>
        </w:r>
        <w:r w:rsidR="004F3221">
          <w:rPr>
            <w:webHidden/>
          </w:rPr>
        </w:r>
        <w:r w:rsidR="004F3221">
          <w:rPr>
            <w:webHidden/>
          </w:rPr>
          <w:fldChar w:fldCharType="separate"/>
        </w:r>
        <w:r w:rsidR="00844010">
          <w:rPr>
            <w:webHidden/>
          </w:rPr>
          <w:t>27</w:t>
        </w:r>
        <w:r w:rsidR="004F3221">
          <w:rPr>
            <w:webHidden/>
          </w:rPr>
          <w:fldChar w:fldCharType="end"/>
        </w:r>
      </w:hyperlink>
    </w:p>
    <w:p w14:paraId="1B56053F" w14:textId="77777777" w:rsidR="004F3221" w:rsidRDefault="00107827">
      <w:pPr>
        <w:pStyle w:val="TOC2"/>
        <w:rPr>
          <w:rFonts w:asciiTheme="minorHAnsi" w:eastAsiaTheme="minorEastAsia" w:hAnsiTheme="minorHAnsi"/>
          <w:lang w:eastAsia="en-AU"/>
        </w:rPr>
      </w:pPr>
      <w:hyperlink w:anchor="_Toc45015281" w:history="1">
        <w:r w:rsidR="004F3221" w:rsidRPr="008C5038">
          <w:rPr>
            <w:rStyle w:val="Hyperlink"/>
          </w:rPr>
          <w:t>5.7</w:t>
        </w:r>
        <w:r w:rsidR="004F3221">
          <w:rPr>
            <w:rFonts w:asciiTheme="minorHAnsi" w:eastAsiaTheme="minorEastAsia" w:hAnsiTheme="minorHAnsi"/>
            <w:lang w:eastAsia="en-AU"/>
          </w:rPr>
          <w:tab/>
        </w:r>
        <w:r w:rsidR="004F3221" w:rsidRPr="008C5038">
          <w:rPr>
            <w:rStyle w:val="Hyperlink"/>
          </w:rPr>
          <w:t>Secondary storage capacity transactions</w:t>
        </w:r>
        <w:r w:rsidR="004F3221">
          <w:rPr>
            <w:webHidden/>
          </w:rPr>
          <w:tab/>
        </w:r>
        <w:r w:rsidR="004F3221">
          <w:rPr>
            <w:webHidden/>
          </w:rPr>
          <w:fldChar w:fldCharType="begin"/>
        </w:r>
        <w:r w:rsidR="004F3221">
          <w:rPr>
            <w:webHidden/>
          </w:rPr>
          <w:instrText xml:space="preserve"> PAGEREF _Toc45015281 \h </w:instrText>
        </w:r>
        <w:r w:rsidR="004F3221">
          <w:rPr>
            <w:webHidden/>
          </w:rPr>
        </w:r>
        <w:r w:rsidR="004F3221">
          <w:rPr>
            <w:webHidden/>
          </w:rPr>
          <w:fldChar w:fldCharType="separate"/>
        </w:r>
        <w:r w:rsidR="00844010">
          <w:rPr>
            <w:webHidden/>
          </w:rPr>
          <w:t>28</w:t>
        </w:r>
        <w:r w:rsidR="004F3221">
          <w:rPr>
            <w:webHidden/>
          </w:rPr>
          <w:fldChar w:fldCharType="end"/>
        </w:r>
      </w:hyperlink>
    </w:p>
    <w:p w14:paraId="4E140DCA" w14:textId="77777777" w:rsidR="004F3221" w:rsidRDefault="00107827">
      <w:pPr>
        <w:pStyle w:val="TOC1"/>
        <w:rPr>
          <w:rFonts w:asciiTheme="minorHAnsi" w:eastAsiaTheme="minorEastAsia" w:hAnsiTheme="minorHAnsi"/>
          <w:b w:val="0"/>
          <w:lang w:eastAsia="en-AU"/>
        </w:rPr>
      </w:pPr>
      <w:hyperlink w:anchor="_Toc45015282" w:history="1">
        <w:r w:rsidR="004F3221" w:rsidRPr="008C5038">
          <w:rPr>
            <w:rStyle w:val="Hyperlink"/>
          </w:rPr>
          <w:t>6.</w:t>
        </w:r>
        <w:r w:rsidR="004F3221">
          <w:rPr>
            <w:rFonts w:asciiTheme="minorHAnsi" w:eastAsiaTheme="minorEastAsia" w:hAnsiTheme="minorHAnsi"/>
            <w:b w:val="0"/>
            <w:lang w:eastAsia="en-AU"/>
          </w:rPr>
          <w:tab/>
        </w:r>
        <w:r w:rsidR="004F3221" w:rsidRPr="008C5038">
          <w:rPr>
            <w:rStyle w:val="Hyperlink"/>
          </w:rPr>
          <w:t>Supply and availability of gas</w:t>
        </w:r>
        <w:r w:rsidR="004F3221">
          <w:rPr>
            <w:webHidden/>
          </w:rPr>
          <w:tab/>
        </w:r>
        <w:r w:rsidR="004F3221">
          <w:rPr>
            <w:webHidden/>
          </w:rPr>
          <w:fldChar w:fldCharType="begin"/>
        </w:r>
        <w:r w:rsidR="004F3221">
          <w:rPr>
            <w:webHidden/>
          </w:rPr>
          <w:instrText xml:space="preserve"> PAGEREF _Toc45015282 \h </w:instrText>
        </w:r>
        <w:r w:rsidR="004F3221">
          <w:rPr>
            <w:webHidden/>
          </w:rPr>
        </w:r>
        <w:r w:rsidR="004F3221">
          <w:rPr>
            <w:webHidden/>
          </w:rPr>
          <w:fldChar w:fldCharType="separate"/>
        </w:r>
        <w:r w:rsidR="00844010">
          <w:rPr>
            <w:webHidden/>
          </w:rPr>
          <w:t>31</w:t>
        </w:r>
        <w:r w:rsidR="004F3221">
          <w:rPr>
            <w:webHidden/>
          </w:rPr>
          <w:fldChar w:fldCharType="end"/>
        </w:r>
      </w:hyperlink>
    </w:p>
    <w:p w14:paraId="7261D84B" w14:textId="77777777" w:rsidR="004F3221" w:rsidRDefault="00107827">
      <w:pPr>
        <w:pStyle w:val="TOC2"/>
        <w:rPr>
          <w:rFonts w:asciiTheme="minorHAnsi" w:eastAsiaTheme="minorEastAsia" w:hAnsiTheme="minorHAnsi"/>
          <w:lang w:eastAsia="en-AU"/>
        </w:rPr>
      </w:pPr>
      <w:hyperlink w:anchor="_Toc45015283" w:history="1">
        <w:r w:rsidR="004F3221" w:rsidRPr="008C5038">
          <w:rPr>
            <w:rStyle w:val="Hyperlink"/>
          </w:rPr>
          <w:t>6.1</w:t>
        </w:r>
        <w:r w:rsidR="004F3221">
          <w:rPr>
            <w:rFonts w:asciiTheme="minorHAnsi" w:eastAsiaTheme="minorEastAsia" w:hAnsiTheme="minorHAnsi"/>
            <w:lang w:eastAsia="en-AU"/>
          </w:rPr>
          <w:tab/>
        </w:r>
        <w:r w:rsidR="004F3221" w:rsidRPr="008C5038">
          <w:rPr>
            <w:rStyle w:val="Hyperlink"/>
          </w:rPr>
          <w:t>Reserves and resources information</w:t>
        </w:r>
        <w:r w:rsidR="004F3221">
          <w:rPr>
            <w:webHidden/>
          </w:rPr>
          <w:tab/>
        </w:r>
        <w:r w:rsidR="004F3221">
          <w:rPr>
            <w:webHidden/>
          </w:rPr>
          <w:fldChar w:fldCharType="begin"/>
        </w:r>
        <w:r w:rsidR="004F3221">
          <w:rPr>
            <w:webHidden/>
          </w:rPr>
          <w:instrText xml:space="preserve"> PAGEREF _Toc45015283 \h </w:instrText>
        </w:r>
        <w:r w:rsidR="004F3221">
          <w:rPr>
            <w:webHidden/>
          </w:rPr>
        </w:r>
        <w:r w:rsidR="004F3221">
          <w:rPr>
            <w:webHidden/>
          </w:rPr>
          <w:fldChar w:fldCharType="separate"/>
        </w:r>
        <w:r w:rsidR="00844010">
          <w:rPr>
            <w:webHidden/>
          </w:rPr>
          <w:t>31</w:t>
        </w:r>
        <w:r w:rsidR="004F3221">
          <w:rPr>
            <w:webHidden/>
          </w:rPr>
          <w:fldChar w:fldCharType="end"/>
        </w:r>
      </w:hyperlink>
    </w:p>
    <w:p w14:paraId="2EB3B440" w14:textId="77777777" w:rsidR="004F3221" w:rsidRDefault="00107827">
      <w:pPr>
        <w:pStyle w:val="TOC2"/>
        <w:rPr>
          <w:rFonts w:asciiTheme="minorHAnsi" w:eastAsiaTheme="minorEastAsia" w:hAnsiTheme="minorHAnsi"/>
          <w:lang w:eastAsia="en-AU"/>
        </w:rPr>
      </w:pPr>
      <w:hyperlink w:anchor="_Toc45015284" w:history="1">
        <w:r w:rsidR="004F3221" w:rsidRPr="008C5038">
          <w:rPr>
            <w:rStyle w:val="Hyperlink"/>
          </w:rPr>
          <w:t>6.2</w:t>
        </w:r>
        <w:r w:rsidR="004F3221">
          <w:rPr>
            <w:rFonts w:asciiTheme="minorHAnsi" w:eastAsiaTheme="minorEastAsia" w:hAnsiTheme="minorHAnsi"/>
            <w:lang w:eastAsia="en-AU"/>
          </w:rPr>
          <w:tab/>
        </w:r>
        <w:r w:rsidR="004F3221" w:rsidRPr="008C5038">
          <w:rPr>
            <w:rStyle w:val="Hyperlink"/>
          </w:rPr>
          <w:t>Gas price assumptions</w:t>
        </w:r>
        <w:r w:rsidR="004F3221">
          <w:rPr>
            <w:webHidden/>
          </w:rPr>
          <w:tab/>
        </w:r>
        <w:r w:rsidR="004F3221">
          <w:rPr>
            <w:webHidden/>
          </w:rPr>
          <w:fldChar w:fldCharType="begin"/>
        </w:r>
        <w:r w:rsidR="004F3221">
          <w:rPr>
            <w:webHidden/>
          </w:rPr>
          <w:instrText xml:space="preserve"> PAGEREF _Toc45015284 \h </w:instrText>
        </w:r>
        <w:r w:rsidR="004F3221">
          <w:rPr>
            <w:webHidden/>
          </w:rPr>
        </w:r>
        <w:r w:rsidR="004F3221">
          <w:rPr>
            <w:webHidden/>
          </w:rPr>
          <w:fldChar w:fldCharType="separate"/>
        </w:r>
        <w:r w:rsidR="00844010">
          <w:rPr>
            <w:webHidden/>
          </w:rPr>
          <w:t>35</w:t>
        </w:r>
        <w:r w:rsidR="004F3221">
          <w:rPr>
            <w:webHidden/>
          </w:rPr>
          <w:fldChar w:fldCharType="end"/>
        </w:r>
      </w:hyperlink>
    </w:p>
    <w:p w14:paraId="3F16D098" w14:textId="77777777" w:rsidR="004F3221" w:rsidRDefault="00107827">
      <w:pPr>
        <w:pStyle w:val="TOC2"/>
        <w:rPr>
          <w:rFonts w:asciiTheme="minorHAnsi" w:eastAsiaTheme="minorEastAsia" w:hAnsiTheme="minorHAnsi"/>
          <w:lang w:eastAsia="en-AU"/>
        </w:rPr>
      </w:pPr>
      <w:hyperlink w:anchor="_Toc45015285" w:history="1">
        <w:r w:rsidR="004F3221" w:rsidRPr="008C5038">
          <w:rPr>
            <w:rStyle w:val="Hyperlink"/>
          </w:rPr>
          <w:t>6.3</w:t>
        </w:r>
        <w:r w:rsidR="004F3221">
          <w:rPr>
            <w:rFonts w:asciiTheme="minorHAnsi" w:eastAsiaTheme="minorEastAsia" w:hAnsiTheme="minorHAnsi"/>
            <w:lang w:eastAsia="en-AU"/>
          </w:rPr>
          <w:tab/>
        </w:r>
        <w:r w:rsidR="004F3221" w:rsidRPr="008C5038">
          <w:rPr>
            <w:rStyle w:val="Hyperlink"/>
          </w:rPr>
          <w:t>Annual drilling activities</w:t>
        </w:r>
        <w:r w:rsidR="004F3221">
          <w:rPr>
            <w:webHidden/>
          </w:rPr>
          <w:tab/>
        </w:r>
        <w:r w:rsidR="004F3221">
          <w:rPr>
            <w:webHidden/>
          </w:rPr>
          <w:fldChar w:fldCharType="begin"/>
        </w:r>
        <w:r w:rsidR="004F3221">
          <w:rPr>
            <w:webHidden/>
          </w:rPr>
          <w:instrText xml:space="preserve"> PAGEREF _Toc45015285 \h </w:instrText>
        </w:r>
        <w:r w:rsidR="004F3221">
          <w:rPr>
            <w:webHidden/>
          </w:rPr>
        </w:r>
        <w:r w:rsidR="004F3221">
          <w:rPr>
            <w:webHidden/>
          </w:rPr>
          <w:fldChar w:fldCharType="separate"/>
        </w:r>
        <w:r w:rsidR="00844010">
          <w:rPr>
            <w:webHidden/>
          </w:rPr>
          <w:t>35</w:t>
        </w:r>
        <w:r w:rsidR="004F3221">
          <w:rPr>
            <w:webHidden/>
          </w:rPr>
          <w:fldChar w:fldCharType="end"/>
        </w:r>
      </w:hyperlink>
    </w:p>
    <w:p w14:paraId="694D2CC9" w14:textId="77777777" w:rsidR="004F3221" w:rsidRDefault="00107827">
      <w:pPr>
        <w:pStyle w:val="TOC2"/>
        <w:rPr>
          <w:rFonts w:asciiTheme="minorHAnsi" w:eastAsiaTheme="minorEastAsia" w:hAnsiTheme="minorHAnsi"/>
          <w:lang w:eastAsia="en-AU"/>
        </w:rPr>
      </w:pPr>
      <w:hyperlink w:anchor="_Toc45015286" w:history="1">
        <w:r w:rsidR="004F3221" w:rsidRPr="008C5038">
          <w:rPr>
            <w:rStyle w:val="Hyperlink"/>
          </w:rPr>
          <w:t>6.4</w:t>
        </w:r>
        <w:r w:rsidR="004F3221">
          <w:rPr>
            <w:rFonts w:asciiTheme="minorHAnsi" w:eastAsiaTheme="minorEastAsia" w:hAnsiTheme="minorHAnsi"/>
            <w:lang w:eastAsia="en-AU"/>
          </w:rPr>
          <w:tab/>
        </w:r>
        <w:r w:rsidR="004F3221" w:rsidRPr="008C5038">
          <w:rPr>
            <w:rStyle w:val="Hyperlink"/>
          </w:rPr>
          <w:t>Production estimates and contracted production</w:t>
        </w:r>
        <w:r w:rsidR="004F3221">
          <w:rPr>
            <w:webHidden/>
          </w:rPr>
          <w:tab/>
        </w:r>
        <w:r w:rsidR="004F3221">
          <w:rPr>
            <w:webHidden/>
          </w:rPr>
          <w:fldChar w:fldCharType="begin"/>
        </w:r>
        <w:r w:rsidR="004F3221">
          <w:rPr>
            <w:webHidden/>
          </w:rPr>
          <w:instrText xml:space="preserve"> PAGEREF _Toc45015286 \h </w:instrText>
        </w:r>
        <w:r w:rsidR="004F3221">
          <w:rPr>
            <w:webHidden/>
          </w:rPr>
        </w:r>
        <w:r w:rsidR="004F3221">
          <w:rPr>
            <w:webHidden/>
          </w:rPr>
          <w:fldChar w:fldCharType="separate"/>
        </w:r>
        <w:r w:rsidR="00844010">
          <w:rPr>
            <w:webHidden/>
          </w:rPr>
          <w:t>35</w:t>
        </w:r>
        <w:r w:rsidR="004F3221">
          <w:rPr>
            <w:webHidden/>
          </w:rPr>
          <w:fldChar w:fldCharType="end"/>
        </w:r>
      </w:hyperlink>
    </w:p>
    <w:p w14:paraId="50BC057E" w14:textId="77777777" w:rsidR="004F3221" w:rsidRDefault="00107827">
      <w:pPr>
        <w:pStyle w:val="TOC2"/>
        <w:rPr>
          <w:rFonts w:asciiTheme="minorHAnsi" w:eastAsiaTheme="minorEastAsia" w:hAnsiTheme="minorHAnsi"/>
          <w:lang w:eastAsia="en-AU"/>
        </w:rPr>
      </w:pPr>
      <w:hyperlink w:anchor="_Toc45015287" w:history="1">
        <w:r w:rsidR="004F3221" w:rsidRPr="008C5038">
          <w:rPr>
            <w:rStyle w:val="Hyperlink"/>
          </w:rPr>
          <w:t>6.5</w:t>
        </w:r>
        <w:r w:rsidR="004F3221">
          <w:rPr>
            <w:rFonts w:asciiTheme="minorHAnsi" w:eastAsiaTheme="minorEastAsia" w:hAnsiTheme="minorHAnsi"/>
            <w:lang w:eastAsia="en-AU"/>
          </w:rPr>
          <w:tab/>
        </w:r>
        <w:r w:rsidR="004F3221" w:rsidRPr="008C5038">
          <w:rPr>
            <w:rStyle w:val="Hyperlink"/>
          </w:rPr>
          <w:t>LNG export supply-demand balance</w:t>
        </w:r>
        <w:r w:rsidR="004F3221">
          <w:rPr>
            <w:webHidden/>
          </w:rPr>
          <w:tab/>
        </w:r>
        <w:r w:rsidR="004F3221">
          <w:rPr>
            <w:webHidden/>
          </w:rPr>
          <w:fldChar w:fldCharType="begin"/>
        </w:r>
        <w:r w:rsidR="004F3221">
          <w:rPr>
            <w:webHidden/>
          </w:rPr>
          <w:instrText xml:space="preserve"> PAGEREF _Toc45015287 \h </w:instrText>
        </w:r>
        <w:r w:rsidR="004F3221">
          <w:rPr>
            <w:webHidden/>
          </w:rPr>
        </w:r>
        <w:r w:rsidR="004F3221">
          <w:rPr>
            <w:webHidden/>
          </w:rPr>
          <w:fldChar w:fldCharType="separate"/>
        </w:r>
        <w:r w:rsidR="00844010">
          <w:rPr>
            <w:webHidden/>
          </w:rPr>
          <w:t>36</w:t>
        </w:r>
        <w:r w:rsidR="004F3221">
          <w:rPr>
            <w:webHidden/>
          </w:rPr>
          <w:fldChar w:fldCharType="end"/>
        </w:r>
      </w:hyperlink>
    </w:p>
    <w:p w14:paraId="582B90E2" w14:textId="77777777" w:rsidR="004F3221" w:rsidRDefault="00107827">
      <w:pPr>
        <w:pStyle w:val="TOC2"/>
        <w:rPr>
          <w:rFonts w:asciiTheme="minorHAnsi" w:eastAsiaTheme="minorEastAsia" w:hAnsiTheme="minorHAnsi"/>
          <w:lang w:eastAsia="en-AU"/>
        </w:rPr>
      </w:pPr>
      <w:hyperlink w:anchor="_Toc45015288" w:history="1">
        <w:r w:rsidR="004F3221" w:rsidRPr="008C5038">
          <w:rPr>
            <w:rStyle w:val="Hyperlink"/>
          </w:rPr>
          <w:t>6.6</w:t>
        </w:r>
        <w:r w:rsidR="004F3221">
          <w:rPr>
            <w:rFonts w:asciiTheme="minorHAnsi" w:eastAsiaTheme="minorEastAsia" w:hAnsiTheme="minorHAnsi"/>
            <w:lang w:eastAsia="en-AU"/>
          </w:rPr>
          <w:tab/>
        </w:r>
        <w:r w:rsidR="004F3221" w:rsidRPr="008C5038">
          <w:rPr>
            <w:rStyle w:val="Hyperlink"/>
          </w:rPr>
          <w:t>LNG import facilities and LNG import quantities</w:t>
        </w:r>
        <w:r w:rsidR="004F3221">
          <w:rPr>
            <w:webHidden/>
          </w:rPr>
          <w:tab/>
        </w:r>
        <w:r w:rsidR="004F3221">
          <w:rPr>
            <w:webHidden/>
          </w:rPr>
          <w:fldChar w:fldCharType="begin"/>
        </w:r>
        <w:r w:rsidR="004F3221">
          <w:rPr>
            <w:webHidden/>
          </w:rPr>
          <w:instrText xml:space="preserve"> PAGEREF _Toc45015288 \h </w:instrText>
        </w:r>
        <w:r w:rsidR="004F3221">
          <w:rPr>
            <w:webHidden/>
          </w:rPr>
        </w:r>
        <w:r w:rsidR="004F3221">
          <w:rPr>
            <w:webHidden/>
          </w:rPr>
          <w:fldChar w:fldCharType="separate"/>
        </w:r>
        <w:r w:rsidR="00844010">
          <w:rPr>
            <w:webHidden/>
          </w:rPr>
          <w:t>37</w:t>
        </w:r>
        <w:r w:rsidR="004F3221">
          <w:rPr>
            <w:webHidden/>
          </w:rPr>
          <w:fldChar w:fldCharType="end"/>
        </w:r>
      </w:hyperlink>
    </w:p>
    <w:p w14:paraId="1A620D57" w14:textId="77777777" w:rsidR="004F3221" w:rsidRDefault="00107827">
      <w:pPr>
        <w:pStyle w:val="TOC1"/>
        <w:rPr>
          <w:rFonts w:asciiTheme="minorHAnsi" w:eastAsiaTheme="minorEastAsia" w:hAnsiTheme="minorHAnsi"/>
          <w:b w:val="0"/>
          <w:lang w:eastAsia="en-AU"/>
        </w:rPr>
      </w:pPr>
      <w:hyperlink w:anchor="_Toc45015289" w:history="1">
        <w:r w:rsidR="004F3221" w:rsidRPr="008C5038">
          <w:rPr>
            <w:rStyle w:val="Hyperlink"/>
          </w:rPr>
          <w:t>7.</w:t>
        </w:r>
        <w:r w:rsidR="004F3221">
          <w:rPr>
            <w:rFonts w:asciiTheme="minorHAnsi" w:eastAsiaTheme="minorEastAsia" w:hAnsiTheme="minorHAnsi"/>
            <w:b w:val="0"/>
            <w:lang w:eastAsia="en-AU"/>
          </w:rPr>
          <w:tab/>
        </w:r>
        <w:r w:rsidR="004F3221" w:rsidRPr="008C5038">
          <w:rPr>
            <w:rStyle w:val="Hyperlink"/>
          </w:rPr>
          <w:t>Demand for gas</w:t>
        </w:r>
        <w:r w:rsidR="004F3221">
          <w:rPr>
            <w:webHidden/>
          </w:rPr>
          <w:tab/>
        </w:r>
        <w:r w:rsidR="004F3221">
          <w:rPr>
            <w:webHidden/>
          </w:rPr>
          <w:fldChar w:fldCharType="begin"/>
        </w:r>
        <w:r w:rsidR="004F3221">
          <w:rPr>
            <w:webHidden/>
          </w:rPr>
          <w:instrText xml:space="preserve"> PAGEREF _Toc45015289 \h </w:instrText>
        </w:r>
        <w:r w:rsidR="004F3221">
          <w:rPr>
            <w:webHidden/>
          </w:rPr>
        </w:r>
        <w:r w:rsidR="004F3221">
          <w:rPr>
            <w:webHidden/>
          </w:rPr>
          <w:fldChar w:fldCharType="separate"/>
        </w:r>
        <w:r w:rsidR="00844010">
          <w:rPr>
            <w:webHidden/>
          </w:rPr>
          <w:t>39</w:t>
        </w:r>
        <w:r w:rsidR="004F3221">
          <w:rPr>
            <w:webHidden/>
          </w:rPr>
          <w:fldChar w:fldCharType="end"/>
        </w:r>
      </w:hyperlink>
    </w:p>
    <w:p w14:paraId="3EA670E9" w14:textId="77777777" w:rsidR="004F3221" w:rsidRDefault="00107827">
      <w:pPr>
        <w:pStyle w:val="TOC2"/>
        <w:rPr>
          <w:rFonts w:asciiTheme="minorHAnsi" w:eastAsiaTheme="minorEastAsia" w:hAnsiTheme="minorHAnsi"/>
          <w:lang w:eastAsia="en-AU"/>
        </w:rPr>
      </w:pPr>
      <w:hyperlink w:anchor="_Toc45015290" w:history="1">
        <w:r w:rsidR="004F3221" w:rsidRPr="008C5038">
          <w:rPr>
            <w:rStyle w:val="Hyperlink"/>
          </w:rPr>
          <w:t>7.1</w:t>
        </w:r>
        <w:r w:rsidR="004F3221">
          <w:rPr>
            <w:rFonts w:asciiTheme="minorHAnsi" w:eastAsiaTheme="minorEastAsia" w:hAnsiTheme="minorHAnsi"/>
            <w:lang w:eastAsia="en-AU"/>
          </w:rPr>
          <w:tab/>
        </w:r>
        <w:r w:rsidR="004F3221" w:rsidRPr="008C5038">
          <w:rPr>
            <w:rStyle w:val="Hyperlink"/>
          </w:rPr>
          <w:t>Large users</w:t>
        </w:r>
        <w:r w:rsidR="004F3221">
          <w:rPr>
            <w:webHidden/>
          </w:rPr>
          <w:tab/>
        </w:r>
        <w:r w:rsidR="004F3221">
          <w:rPr>
            <w:webHidden/>
          </w:rPr>
          <w:fldChar w:fldCharType="begin"/>
        </w:r>
        <w:r w:rsidR="004F3221">
          <w:rPr>
            <w:webHidden/>
          </w:rPr>
          <w:instrText xml:space="preserve"> PAGEREF _Toc45015290 \h </w:instrText>
        </w:r>
        <w:r w:rsidR="004F3221">
          <w:rPr>
            <w:webHidden/>
          </w:rPr>
        </w:r>
        <w:r w:rsidR="004F3221">
          <w:rPr>
            <w:webHidden/>
          </w:rPr>
          <w:fldChar w:fldCharType="separate"/>
        </w:r>
        <w:r w:rsidR="00844010">
          <w:rPr>
            <w:webHidden/>
          </w:rPr>
          <w:t>39</w:t>
        </w:r>
        <w:r w:rsidR="004F3221">
          <w:rPr>
            <w:webHidden/>
          </w:rPr>
          <w:fldChar w:fldCharType="end"/>
        </w:r>
      </w:hyperlink>
    </w:p>
    <w:p w14:paraId="12467E3A" w14:textId="77777777" w:rsidR="004F3221" w:rsidRDefault="00107827">
      <w:pPr>
        <w:pStyle w:val="TOC2"/>
        <w:rPr>
          <w:rFonts w:asciiTheme="minorHAnsi" w:eastAsiaTheme="minorEastAsia" w:hAnsiTheme="minorHAnsi"/>
          <w:lang w:eastAsia="en-AU"/>
        </w:rPr>
      </w:pPr>
      <w:hyperlink w:anchor="_Toc45015291" w:history="1">
        <w:r w:rsidR="004F3221" w:rsidRPr="008C5038">
          <w:rPr>
            <w:rStyle w:val="Hyperlink"/>
          </w:rPr>
          <w:t>7.2</w:t>
        </w:r>
        <w:r w:rsidR="004F3221">
          <w:rPr>
            <w:rFonts w:asciiTheme="minorHAnsi" w:eastAsiaTheme="minorEastAsia" w:hAnsiTheme="minorHAnsi"/>
            <w:lang w:eastAsia="en-AU"/>
          </w:rPr>
          <w:tab/>
        </w:r>
        <w:r w:rsidR="004F3221" w:rsidRPr="008C5038">
          <w:rPr>
            <w:rStyle w:val="Hyperlink"/>
          </w:rPr>
          <w:t>LNG export facilities and LNG export quantities</w:t>
        </w:r>
        <w:r w:rsidR="004F3221">
          <w:rPr>
            <w:webHidden/>
          </w:rPr>
          <w:tab/>
        </w:r>
        <w:r w:rsidR="004F3221">
          <w:rPr>
            <w:webHidden/>
          </w:rPr>
          <w:fldChar w:fldCharType="begin"/>
        </w:r>
        <w:r w:rsidR="004F3221">
          <w:rPr>
            <w:webHidden/>
          </w:rPr>
          <w:instrText xml:space="preserve"> PAGEREF _Toc45015291 \h </w:instrText>
        </w:r>
        <w:r w:rsidR="004F3221">
          <w:rPr>
            <w:webHidden/>
          </w:rPr>
        </w:r>
        <w:r w:rsidR="004F3221">
          <w:rPr>
            <w:webHidden/>
          </w:rPr>
          <w:fldChar w:fldCharType="separate"/>
        </w:r>
        <w:r w:rsidR="00844010">
          <w:rPr>
            <w:webHidden/>
          </w:rPr>
          <w:t>41</w:t>
        </w:r>
        <w:r w:rsidR="004F3221">
          <w:rPr>
            <w:webHidden/>
          </w:rPr>
          <w:fldChar w:fldCharType="end"/>
        </w:r>
      </w:hyperlink>
    </w:p>
    <w:p w14:paraId="356539E8" w14:textId="77777777" w:rsidR="004F3221" w:rsidRDefault="00107827">
      <w:pPr>
        <w:pStyle w:val="TOC1"/>
        <w:rPr>
          <w:rFonts w:asciiTheme="minorHAnsi" w:eastAsiaTheme="minorEastAsia" w:hAnsiTheme="minorHAnsi"/>
          <w:b w:val="0"/>
          <w:lang w:eastAsia="en-AU"/>
        </w:rPr>
      </w:pPr>
      <w:hyperlink w:anchor="_Toc45015292" w:history="1">
        <w:r w:rsidR="004F3221" w:rsidRPr="008C5038">
          <w:rPr>
            <w:rStyle w:val="Hyperlink"/>
          </w:rPr>
          <w:t>8.</w:t>
        </w:r>
        <w:r w:rsidR="004F3221">
          <w:rPr>
            <w:rFonts w:asciiTheme="minorHAnsi" w:eastAsiaTheme="minorEastAsia" w:hAnsiTheme="minorHAnsi"/>
            <w:b w:val="0"/>
            <w:lang w:eastAsia="en-AU"/>
          </w:rPr>
          <w:tab/>
        </w:r>
        <w:r w:rsidR="004F3221" w:rsidRPr="008C5038">
          <w:rPr>
            <w:rStyle w:val="Hyperlink"/>
          </w:rPr>
          <w:t>Infrastructure</w:t>
        </w:r>
        <w:r w:rsidR="004F3221">
          <w:rPr>
            <w:webHidden/>
          </w:rPr>
          <w:tab/>
        </w:r>
        <w:r w:rsidR="004F3221">
          <w:rPr>
            <w:webHidden/>
          </w:rPr>
          <w:fldChar w:fldCharType="begin"/>
        </w:r>
        <w:r w:rsidR="004F3221">
          <w:rPr>
            <w:webHidden/>
          </w:rPr>
          <w:instrText xml:space="preserve"> PAGEREF _Toc45015292 \h </w:instrText>
        </w:r>
        <w:r w:rsidR="004F3221">
          <w:rPr>
            <w:webHidden/>
          </w:rPr>
        </w:r>
        <w:r w:rsidR="004F3221">
          <w:rPr>
            <w:webHidden/>
          </w:rPr>
          <w:fldChar w:fldCharType="separate"/>
        </w:r>
        <w:r w:rsidR="00844010">
          <w:rPr>
            <w:webHidden/>
          </w:rPr>
          <w:t>44</w:t>
        </w:r>
        <w:r w:rsidR="004F3221">
          <w:rPr>
            <w:webHidden/>
          </w:rPr>
          <w:fldChar w:fldCharType="end"/>
        </w:r>
      </w:hyperlink>
    </w:p>
    <w:p w14:paraId="076B5406" w14:textId="77777777" w:rsidR="004F3221" w:rsidRDefault="00107827">
      <w:pPr>
        <w:pStyle w:val="TOC2"/>
        <w:rPr>
          <w:rFonts w:asciiTheme="minorHAnsi" w:eastAsiaTheme="minorEastAsia" w:hAnsiTheme="minorHAnsi"/>
          <w:lang w:eastAsia="en-AU"/>
        </w:rPr>
      </w:pPr>
      <w:hyperlink w:anchor="_Toc45015293" w:history="1">
        <w:r w:rsidR="004F3221" w:rsidRPr="008C5038">
          <w:rPr>
            <w:rStyle w:val="Hyperlink"/>
          </w:rPr>
          <w:t>8.1</w:t>
        </w:r>
        <w:r w:rsidR="004F3221">
          <w:rPr>
            <w:rFonts w:asciiTheme="minorHAnsi" w:eastAsiaTheme="minorEastAsia" w:hAnsiTheme="minorHAnsi"/>
            <w:lang w:eastAsia="en-AU"/>
          </w:rPr>
          <w:tab/>
        </w:r>
        <w:r w:rsidR="004F3221" w:rsidRPr="008C5038">
          <w:rPr>
            <w:rStyle w:val="Hyperlink"/>
          </w:rPr>
          <w:t>Infrastructure developments</w:t>
        </w:r>
        <w:r w:rsidR="004F3221">
          <w:rPr>
            <w:webHidden/>
          </w:rPr>
          <w:tab/>
        </w:r>
        <w:r w:rsidR="004F3221">
          <w:rPr>
            <w:webHidden/>
          </w:rPr>
          <w:fldChar w:fldCharType="begin"/>
        </w:r>
        <w:r w:rsidR="004F3221">
          <w:rPr>
            <w:webHidden/>
          </w:rPr>
          <w:instrText xml:space="preserve"> PAGEREF _Toc45015293 \h </w:instrText>
        </w:r>
        <w:r w:rsidR="004F3221">
          <w:rPr>
            <w:webHidden/>
          </w:rPr>
        </w:r>
        <w:r w:rsidR="004F3221">
          <w:rPr>
            <w:webHidden/>
          </w:rPr>
          <w:fldChar w:fldCharType="separate"/>
        </w:r>
        <w:r w:rsidR="00844010">
          <w:rPr>
            <w:webHidden/>
          </w:rPr>
          <w:t>44</w:t>
        </w:r>
        <w:r w:rsidR="004F3221">
          <w:rPr>
            <w:webHidden/>
          </w:rPr>
          <w:fldChar w:fldCharType="end"/>
        </w:r>
      </w:hyperlink>
    </w:p>
    <w:p w14:paraId="3B831C62" w14:textId="77777777" w:rsidR="004F3221" w:rsidRDefault="00107827">
      <w:pPr>
        <w:pStyle w:val="TOC2"/>
        <w:rPr>
          <w:rFonts w:asciiTheme="minorHAnsi" w:eastAsiaTheme="minorEastAsia" w:hAnsiTheme="minorHAnsi"/>
          <w:lang w:eastAsia="en-AU"/>
        </w:rPr>
      </w:pPr>
      <w:hyperlink w:anchor="_Toc45015294" w:history="1">
        <w:r w:rsidR="004F3221" w:rsidRPr="008C5038">
          <w:rPr>
            <w:rStyle w:val="Hyperlink"/>
          </w:rPr>
          <w:t>8.2</w:t>
        </w:r>
        <w:r w:rsidR="004F3221">
          <w:rPr>
            <w:rFonts w:asciiTheme="minorHAnsi" w:eastAsiaTheme="minorEastAsia" w:hAnsiTheme="minorHAnsi"/>
            <w:lang w:eastAsia="en-AU"/>
          </w:rPr>
          <w:tab/>
        </w:r>
        <w:r w:rsidR="004F3221" w:rsidRPr="008C5038">
          <w:rPr>
            <w:rStyle w:val="Hyperlink"/>
            <w:rFonts w:cs="Arial"/>
          </w:rPr>
          <w:t>36-month uncontracted capacity outlooks – storage and compression</w:t>
        </w:r>
        <w:r w:rsidR="004F3221">
          <w:rPr>
            <w:webHidden/>
          </w:rPr>
          <w:tab/>
        </w:r>
        <w:r w:rsidR="004F3221">
          <w:rPr>
            <w:webHidden/>
          </w:rPr>
          <w:fldChar w:fldCharType="begin"/>
        </w:r>
        <w:r w:rsidR="004F3221">
          <w:rPr>
            <w:webHidden/>
          </w:rPr>
          <w:instrText xml:space="preserve"> PAGEREF _Toc45015294 \h </w:instrText>
        </w:r>
        <w:r w:rsidR="004F3221">
          <w:rPr>
            <w:webHidden/>
          </w:rPr>
        </w:r>
        <w:r w:rsidR="004F3221">
          <w:rPr>
            <w:webHidden/>
          </w:rPr>
          <w:fldChar w:fldCharType="separate"/>
        </w:r>
        <w:r w:rsidR="00844010">
          <w:rPr>
            <w:webHidden/>
          </w:rPr>
          <w:t>45</w:t>
        </w:r>
        <w:r w:rsidR="004F3221">
          <w:rPr>
            <w:webHidden/>
          </w:rPr>
          <w:fldChar w:fldCharType="end"/>
        </w:r>
      </w:hyperlink>
    </w:p>
    <w:p w14:paraId="2FE4A9E7" w14:textId="77777777" w:rsidR="004F3221" w:rsidRDefault="00107827">
      <w:pPr>
        <w:pStyle w:val="TOC2"/>
        <w:rPr>
          <w:rFonts w:asciiTheme="minorHAnsi" w:eastAsiaTheme="minorEastAsia" w:hAnsiTheme="minorHAnsi"/>
          <w:lang w:eastAsia="en-AU"/>
        </w:rPr>
      </w:pPr>
      <w:hyperlink w:anchor="_Toc45015295" w:history="1">
        <w:r w:rsidR="004F3221" w:rsidRPr="008C5038">
          <w:rPr>
            <w:rStyle w:val="Hyperlink"/>
          </w:rPr>
          <w:t>8.3</w:t>
        </w:r>
        <w:r w:rsidR="004F3221">
          <w:rPr>
            <w:rFonts w:asciiTheme="minorHAnsi" w:eastAsiaTheme="minorEastAsia" w:hAnsiTheme="minorHAnsi"/>
            <w:lang w:eastAsia="en-AU"/>
          </w:rPr>
          <w:tab/>
        </w:r>
        <w:r w:rsidR="004F3221" w:rsidRPr="008C5038">
          <w:rPr>
            <w:rStyle w:val="Hyperlink"/>
            <w:rFonts w:cs="Arial"/>
          </w:rPr>
          <w:t>Stand-alone compression facilities</w:t>
        </w:r>
        <w:r w:rsidR="004F3221">
          <w:rPr>
            <w:webHidden/>
          </w:rPr>
          <w:tab/>
        </w:r>
        <w:r w:rsidR="004F3221">
          <w:rPr>
            <w:webHidden/>
          </w:rPr>
          <w:fldChar w:fldCharType="begin"/>
        </w:r>
        <w:r w:rsidR="004F3221">
          <w:rPr>
            <w:webHidden/>
          </w:rPr>
          <w:instrText xml:space="preserve"> PAGEREF _Toc45015295 \h </w:instrText>
        </w:r>
        <w:r w:rsidR="004F3221">
          <w:rPr>
            <w:webHidden/>
          </w:rPr>
        </w:r>
        <w:r w:rsidR="004F3221">
          <w:rPr>
            <w:webHidden/>
          </w:rPr>
          <w:fldChar w:fldCharType="separate"/>
        </w:r>
        <w:r w:rsidR="00844010">
          <w:rPr>
            <w:webHidden/>
          </w:rPr>
          <w:t>46</w:t>
        </w:r>
        <w:r w:rsidR="004F3221">
          <w:rPr>
            <w:webHidden/>
          </w:rPr>
          <w:fldChar w:fldCharType="end"/>
        </w:r>
      </w:hyperlink>
    </w:p>
    <w:p w14:paraId="7256D5A3" w14:textId="77777777" w:rsidR="004F3221" w:rsidRDefault="00107827">
      <w:pPr>
        <w:pStyle w:val="TOC2"/>
        <w:rPr>
          <w:rFonts w:asciiTheme="minorHAnsi" w:eastAsiaTheme="minorEastAsia" w:hAnsiTheme="minorHAnsi"/>
          <w:lang w:eastAsia="en-AU"/>
        </w:rPr>
      </w:pPr>
      <w:hyperlink w:anchor="_Toc45015296" w:history="1">
        <w:r w:rsidR="004F3221" w:rsidRPr="008C5038">
          <w:rPr>
            <w:rStyle w:val="Hyperlink"/>
          </w:rPr>
          <w:t>8.4</w:t>
        </w:r>
        <w:r w:rsidR="004F3221">
          <w:rPr>
            <w:rFonts w:asciiTheme="minorHAnsi" w:eastAsiaTheme="minorEastAsia" w:hAnsiTheme="minorHAnsi"/>
            <w:lang w:eastAsia="en-AU"/>
          </w:rPr>
          <w:tab/>
        </w:r>
        <w:r w:rsidR="004F3221" w:rsidRPr="008C5038">
          <w:rPr>
            <w:rStyle w:val="Hyperlink"/>
          </w:rPr>
          <w:t>36-month uncontracted capacity outlooks – production facilities</w:t>
        </w:r>
        <w:r w:rsidR="004F3221">
          <w:rPr>
            <w:webHidden/>
          </w:rPr>
          <w:tab/>
        </w:r>
        <w:r w:rsidR="004F3221">
          <w:rPr>
            <w:webHidden/>
          </w:rPr>
          <w:fldChar w:fldCharType="begin"/>
        </w:r>
        <w:r w:rsidR="004F3221">
          <w:rPr>
            <w:webHidden/>
          </w:rPr>
          <w:instrText xml:space="preserve"> PAGEREF _Toc45015296 \h </w:instrText>
        </w:r>
        <w:r w:rsidR="004F3221">
          <w:rPr>
            <w:webHidden/>
          </w:rPr>
        </w:r>
        <w:r w:rsidR="004F3221">
          <w:rPr>
            <w:webHidden/>
          </w:rPr>
          <w:fldChar w:fldCharType="separate"/>
        </w:r>
        <w:r w:rsidR="00844010">
          <w:rPr>
            <w:webHidden/>
          </w:rPr>
          <w:t>47</w:t>
        </w:r>
        <w:r w:rsidR="004F3221">
          <w:rPr>
            <w:webHidden/>
          </w:rPr>
          <w:fldChar w:fldCharType="end"/>
        </w:r>
      </w:hyperlink>
    </w:p>
    <w:p w14:paraId="084EBC70" w14:textId="77777777" w:rsidR="004F3221" w:rsidRDefault="00107827">
      <w:pPr>
        <w:pStyle w:val="TOC2"/>
        <w:rPr>
          <w:rFonts w:asciiTheme="minorHAnsi" w:eastAsiaTheme="minorEastAsia" w:hAnsiTheme="minorHAnsi"/>
          <w:lang w:eastAsia="en-AU"/>
        </w:rPr>
      </w:pPr>
      <w:hyperlink w:anchor="_Toc45015297" w:history="1">
        <w:r w:rsidR="004F3221" w:rsidRPr="008C5038">
          <w:rPr>
            <w:rStyle w:val="Hyperlink"/>
          </w:rPr>
          <w:t>8.5</w:t>
        </w:r>
        <w:r w:rsidR="004F3221">
          <w:rPr>
            <w:rFonts w:asciiTheme="minorHAnsi" w:eastAsiaTheme="minorEastAsia" w:hAnsiTheme="minorHAnsi"/>
            <w:lang w:eastAsia="en-AU"/>
          </w:rPr>
          <w:tab/>
        </w:r>
        <w:r w:rsidR="004F3221" w:rsidRPr="008C5038">
          <w:rPr>
            <w:rStyle w:val="Hyperlink"/>
          </w:rPr>
          <w:t>Materiality threshold</w:t>
        </w:r>
        <w:r w:rsidR="004F3221">
          <w:rPr>
            <w:webHidden/>
          </w:rPr>
          <w:tab/>
        </w:r>
        <w:r w:rsidR="004F3221">
          <w:rPr>
            <w:webHidden/>
          </w:rPr>
          <w:fldChar w:fldCharType="begin"/>
        </w:r>
        <w:r w:rsidR="004F3221">
          <w:rPr>
            <w:webHidden/>
          </w:rPr>
          <w:instrText xml:space="preserve"> PAGEREF _Toc45015297 \h </w:instrText>
        </w:r>
        <w:r w:rsidR="004F3221">
          <w:rPr>
            <w:webHidden/>
          </w:rPr>
        </w:r>
        <w:r w:rsidR="004F3221">
          <w:rPr>
            <w:webHidden/>
          </w:rPr>
          <w:fldChar w:fldCharType="separate"/>
        </w:r>
        <w:r w:rsidR="00844010">
          <w:rPr>
            <w:webHidden/>
          </w:rPr>
          <w:t>47</w:t>
        </w:r>
        <w:r w:rsidR="004F3221">
          <w:rPr>
            <w:webHidden/>
          </w:rPr>
          <w:fldChar w:fldCharType="end"/>
        </w:r>
      </w:hyperlink>
    </w:p>
    <w:p w14:paraId="4F9FCFA8" w14:textId="77777777" w:rsidR="004F3221" w:rsidRDefault="00107827">
      <w:pPr>
        <w:pStyle w:val="TOC2"/>
        <w:rPr>
          <w:rFonts w:asciiTheme="minorHAnsi" w:eastAsiaTheme="minorEastAsia" w:hAnsiTheme="minorHAnsi"/>
          <w:lang w:eastAsia="en-AU"/>
        </w:rPr>
      </w:pPr>
      <w:hyperlink w:anchor="_Toc45015298" w:history="1">
        <w:r w:rsidR="004F3221" w:rsidRPr="008C5038">
          <w:rPr>
            <w:rStyle w:val="Hyperlink"/>
          </w:rPr>
          <w:t>8.6</w:t>
        </w:r>
        <w:r w:rsidR="004F3221">
          <w:rPr>
            <w:rFonts w:asciiTheme="minorHAnsi" w:eastAsiaTheme="minorEastAsia" w:hAnsiTheme="minorHAnsi"/>
            <w:lang w:eastAsia="en-AU"/>
          </w:rPr>
          <w:tab/>
        </w:r>
        <w:r w:rsidR="004F3221" w:rsidRPr="008C5038">
          <w:rPr>
            <w:rStyle w:val="Hyperlink"/>
          </w:rPr>
          <w:t>Policy Clarification – Facility Operators reporting of nominations and forecast nominations</w:t>
        </w:r>
        <w:r w:rsidR="004F3221">
          <w:rPr>
            <w:webHidden/>
          </w:rPr>
          <w:tab/>
        </w:r>
        <w:r w:rsidR="004F3221">
          <w:rPr>
            <w:webHidden/>
          </w:rPr>
          <w:fldChar w:fldCharType="begin"/>
        </w:r>
        <w:r w:rsidR="004F3221">
          <w:rPr>
            <w:webHidden/>
          </w:rPr>
          <w:instrText xml:space="preserve"> PAGEREF _Toc45015298 \h </w:instrText>
        </w:r>
        <w:r w:rsidR="004F3221">
          <w:rPr>
            <w:webHidden/>
          </w:rPr>
        </w:r>
        <w:r w:rsidR="004F3221">
          <w:rPr>
            <w:webHidden/>
          </w:rPr>
          <w:fldChar w:fldCharType="separate"/>
        </w:r>
        <w:r w:rsidR="00844010">
          <w:rPr>
            <w:webHidden/>
          </w:rPr>
          <w:t>48</w:t>
        </w:r>
        <w:r w:rsidR="004F3221">
          <w:rPr>
            <w:webHidden/>
          </w:rPr>
          <w:fldChar w:fldCharType="end"/>
        </w:r>
      </w:hyperlink>
    </w:p>
    <w:p w14:paraId="40EE37FF" w14:textId="77777777" w:rsidR="004F3221" w:rsidRDefault="00107827">
      <w:pPr>
        <w:pStyle w:val="TOC1"/>
        <w:rPr>
          <w:rFonts w:asciiTheme="minorHAnsi" w:eastAsiaTheme="minorEastAsia" w:hAnsiTheme="minorHAnsi"/>
          <w:b w:val="0"/>
          <w:lang w:eastAsia="en-AU"/>
        </w:rPr>
      </w:pPr>
      <w:hyperlink w:anchor="_Toc45015299" w:history="1">
        <w:r w:rsidR="004F3221" w:rsidRPr="008C5038">
          <w:rPr>
            <w:rStyle w:val="Hyperlink"/>
          </w:rPr>
          <w:t>9.</w:t>
        </w:r>
        <w:r w:rsidR="004F3221">
          <w:rPr>
            <w:rFonts w:asciiTheme="minorHAnsi" w:eastAsiaTheme="minorEastAsia" w:hAnsiTheme="minorHAnsi"/>
            <w:b w:val="0"/>
            <w:lang w:eastAsia="en-AU"/>
          </w:rPr>
          <w:tab/>
        </w:r>
        <w:r w:rsidR="004F3221" w:rsidRPr="008C5038">
          <w:rPr>
            <w:rStyle w:val="Hyperlink"/>
          </w:rPr>
          <w:t>GSOO</w:t>
        </w:r>
        <w:r w:rsidR="004F3221">
          <w:rPr>
            <w:webHidden/>
          </w:rPr>
          <w:tab/>
        </w:r>
        <w:r w:rsidR="004F3221">
          <w:rPr>
            <w:webHidden/>
          </w:rPr>
          <w:fldChar w:fldCharType="begin"/>
        </w:r>
        <w:r w:rsidR="004F3221">
          <w:rPr>
            <w:webHidden/>
          </w:rPr>
          <w:instrText xml:space="preserve"> PAGEREF _Toc45015299 \h </w:instrText>
        </w:r>
        <w:r w:rsidR="004F3221">
          <w:rPr>
            <w:webHidden/>
          </w:rPr>
        </w:r>
        <w:r w:rsidR="004F3221">
          <w:rPr>
            <w:webHidden/>
          </w:rPr>
          <w:fldChar w:fldCharType="separate"/>
        </w:r>
        <w:r w:rsidR="00844010">
          <w:rPr>
            <w:webHidden/>
          </w:rPr>
          <w:t>49</w:t>
        </w:r>
        <w:r w:rsidR="004F3221">
          <w:rPr>
            <w:webHidden/>
          </w:rPr>
          <w:fldChar w:fldCharType="end"/>
        </w:r>
      </w:hyperlink>
    </w:p>
    <w:p w14:paraId="0DE714EC" w14:textId="77777777" w:rsidR="004F3221" w:rsidRDefault="00107827">
      <w:pPr>
        <w:pStyle w:val="TOC2"/>
        <w:rPr>
          <w:rFonts w:asciiTheme="minorHAnsi" w:eastAsiaTheme="minorEastAsia" w:hAnsiTheme="minorHAnsi"/>
          <w:lang w:eastAsia="en-AU"/>
        </w:rPr>
      </w:pPr>
      <w:hyperlink w:anchor="_Toc45015300" w:history="1">
        <w:r w:rsidR="004F3221" w:rsidRPr="008C5038">
          <w:rPr>
            <w:rStyle w:val="Hyperlink"/>
          </w:rPr>
          <w:t>9.1</w:t>
        </w:r>
        <w:r w:rsidR="004F3221">
          <w:rPr>
            <w:rFonts w:asciiTheme="minorHAnsi" w:eastAsiaTheme="minorEastAsia" w:hAnsiTheme="minorHAnsi"/>
            <w:lang w:eastAsia="en-AU"/>
          </w:rPr>
          <w:tab/>
        </w:r>
        <w:r w:rsidR="004F3221" w:rsidRPr="008C5038">
          <w:rPr>
            <w:rStyle w:val="Hyperlink"/>
            <w:rFonts w:cs="Arial"/>
          </w:rPr>
          <w:t>Mandatory GSOO survey</w:t>
        </w:r>
        <w:r w:rsidR="004F3221">
          <w:rPr>
            <w:webHidden/>
          </w:rPr>
          <w:tab/>
        </w:r>
        <w:r w:rsidR="004F3221">
          <w:rPr>
            <w:webHidden/>
          </w:rPr>
          <w:fldChar w:fldCharType="begin"/>
        </w:r>
        <w:r w:rsidR="004F3221">
          <w:rPr>
            <w:webHidden/>
          </w:rPr>
          <w:instrText xml:space="preserve"> PAGEREF _Toc45015300 \h </w:instrText>
        </w:r>
        <w:r w:rsidR="004F3221">
          <w:rPr>
            <w:webHidden/>
          </w:rPr>
        </w:r>
        <w:r w:rsidR="004F3221">
          <w:rPr>
            <w:webHidden/>
          </w:rPr>
          <w:fldChar w:fldCharType="separate"/>
        </w:r>
        <w:r w:rsidR="00844010">
          <w:rPr>
            <w:webHidden/>
          </w:rPr>
          <w:t>49</w:t>
        </w:r>
        <w:r w:rsidR="004F3221">
          <w:rPr>
            <w:webHidden/>
          </w:rPr>
          <w:fldChar w:fldCharType="end"/>
        </w:r>
      </w:hyperlink>
    </w:p>
    <w:p w14:paraId="751A48B2" w14:textId="77777777" w:rsidR="004F3221" w:rsidRDefault="00107827">
      <w:pPr>
        <w:pStyle w:val="TOC2"/>
        <w:rPr>
          <w:rFonts w:asciiTheme="minorHAnsi" w:eastAsiaTheme="minorEastAsia" w:hAnsiTheme="minorHAnsi"/>
          <w:lang w:eastAsia="en-AU"/>
        </w:rPr>
      </w:pPr>
      <w:hyperlink w:anchor="_Toc45015301" w:history="1">
        <w:r w:rsidR="004F3221" w:rsidRPr="008C5038">
          <w:rPr>
            <w:rStyle w:val="Hyperlink"/>
          </w:rPr>
          <w:t>9.2</w:t>
        </w:r>
        <w:r w:rsidR="004F3221">
          <w:rPr>
            <w:rFonts w:asciiTheme="minorHAnsi" w:eastAsiaTheme="minorEastAsia" w:hAnsiTheme="minorHAnsi"/>
            <w:lang w:eastAsia="en-AU"/>
          </w:rPr>
          <w:tab/>
        </w:r>
        <w:r w:rsidR="004F3221" w:rsidRPr="008C5038">
          <w:rPr>
            <w:rStyle w:val="Hyperlink"/>
            <w:rFonts w:cs="Arial"/>
          </w:rPr>
          <w:t>Extend the coverage of the GSOO to the Northern Territory</w:t>
        </w:r>
        <w:r w:rsidR="004F3221">
          <w:rPr>
            <w:webHidden/>
          </w:rPr>
          <w:tab/>
        </w:r>
        <w:r w:rsidR="004F3221">
          <w:rPr>
            <w:webHidden/>
          </w:rPr>
          <w:fldChar w:fldCharType="begin"/>
        </w:r>
        <w:r w:rsidR="004F3221">
          <w:rPr>
            <w:webHidden/>
          </w:rPr>
          <w:instrText xml:space="preserve"> PAGEREF _Toc45015301 \h </w:instrText>
        </w:r>
        <w:r w:rsidR="004F3221">
          <w:rPr>
            <w:webHidden/>
          </w:rPr>
        </w:r>
        <w:r w:rsidR="004F3221">
          <w:rPr>
            <w:webHidden/>
          </w:rPr>
          <w:fldChar w:fldCharType="separate"/>
        </w:r>
        <w:r w:rsidR="00844010">
          <w:rPr>
            <w:webHidden/>
          </w:rPr>
          <w:t>50</w:t>
        </w:r>
        <w:r w:rsidR="004F3221">
          <w:rPr>
            <w:webHidden/>
          </w:rPr>
          <w:fldChar w:fldCharType="end"/>
        </w:r>
      </w:hyperlink>
    </w:p>
    <w:p w14:paraId="0C63BFE4" w14:textId="77777777" w:rsidR="004F3221" w:rsidRDefault="00107827">
      <w:pPr>
        <w:pStyle w:val="TOC1"/>
        <w:rPr>
          <w:rFonts w:asciiTheme="minorHAnsi" w:eastAsiaTheme="minorEastAsia" w:hAnsiTheme="minorHAnsi"/>
          <w:b w:val="0"/>
          <w:lang w:eastAsia="en-AU"/>
        </w:rPr>
      </w:pPr>
      <w:hyperlink w:anchor="_Toc45015302" w:history="1">
        <w:r w:rsidR="004F3221" w:rsidRPr="008C5038">
          <w:rPr>
            <w:rStyle w:val="Hyperlink"/>
          </w:rPr>
          <w:t>10.</w:t>
        </w:r>
        <w:r w:rsidR="004F3221">
          <w:rPr>
            <w:rFonts w:asciiTheme="minorHAnsi" w:eastAsiaTheme="minorEastAsia" w:hAnsiTheme="minorHAnsi"/>
            <w:b w:val="0"/>
            <w:lang w:eastAsia="en-AU"/>
          </w:rPr>
          <w:tab/>
        </w:r>
        <w:r w:rsidR="004F3221" w:rsidRPr="008C5038">
          <w:rPr>
            <w:rStyle w:val="Hyperlink"/>
          </w:rPr>
          <w:t>Transitional arrangements</w:t>
        </w:r>
        <w:r w:rsidR="004F3221">
          <w:rPr>
            <w:webHidden/>
          </w:rPr>
          <w:tab/>
        </w:r>
        <w:r w:rsidR="004F3221">
          <w:rPr>
            <w:webHidden/>
          </w:rPr>
          <w:fldChar w:fldCharType="begin"/>
        </w:r>
        <w:r w:rsidR="004F3221">
          <w:rPr>
            <w:webHidden/>
          </w:rPr>
          <w:instrText xml:space="preserve"> PAGEREF _Toc45015302 \h </w:instrText>
        </w:r>
        <w:r w:rsidR="004F3221">
          <w:rPr>
            <w:webHidden/>
          </w:rPr>
        </w:r>
        <w:r w:rsidR="004F3221">
          <w:rPr>
            <w:webHidden/>
          </w:rPr>
          <w:fldChar w:fldCharType="separate"/>
        </w:r>
        <w:r w:rsidR="00844010">
          <w:rPr>
            <w:webHidden/>
          </w:rPr>
          <w:t>51</w:t>
        </w:r>
        <w:r w:rsidR="004F3221">
          <w:rPr>
            <w:webHidden/>
          </w:rPr>
          <w:fldChar w:fldCharType="end"/>
        </w:r>
      </w:hyperlink>
    </w:p>
    <w:p w14:paraId="69C53E9B" w14:textId="77777777" w:rsidR="004F3221" w:rsidRDefault="00107827">
      <w:pPr>
        <w:pStyle w:val="TOC2"/>
        <w:rPr>
          <w:rFonts w:asciiTheme="minorHAnsi" w:eastAsiaTheme="minorEastAsia" w:hAnsiTheme="minorHAnsi"/>
          <w:lang w:eastAsia="en-AU"/>
        </w:rPr>
      </w:pPr>
      <w:hyperlink w:anchor="_Toc45015303" w:history="1">
        <w:r w:rsidR="004F3221" w:rsidRPr="008C5038">
          <w:rPr>
            <w:rStyle w:val="Hyperlink"/>
          </w:rPr>
          <w:t>10.1</w:t>
        </w:r>
        <w:r w:rsidR="004F3221">
          <w:rPr>
            <w:rFonts w:asciiTheme="minorHAnsi" w:eastAsiaTheme="minorEastAsia" w:hAnsiTheme="minorHAnsi"/>
            <w:lang w:eastAsia="en-AU"/>
          </w:rPr>
          <w:tab/>
        </w:r>
        <w:r w:rsidR="004F3221" w:rsidRPr="008C5038">
          <w:rPr>
            <w:rStyle w:val="Hyperlink"/>
          </w:rPr>
          <w:t>Transitional provisions</w:t>
        </w:r>
        <w:r w:rsidR="004F3221">
          <w:rPr>
            <w:webHidden/>
          </w:rPr>
          <w:tab/>
        </w:r>
        <w:r w:rsidR="004F3221">
          <w:rPr>
            <w:webHidden/>
          </w:rPr>
          <w:fldChar w:fldCharType="begin"/>
        </w:r>
        <w:r w:rsidR="004F3221">
          <w:rPr>
            <w:webHidden/>
          </w:rPr>
          <w:instrText xml:space="preserve"> PAGEREF _Toc45015303 \h </w:instrText>
        </w:r>
        <w:r w:rsidR="004F3221">
          <w:rPr>
            <w:webHidden/>
          </w:rPr>
        </w:r>
        <w:r w:rsidR="004F3221">
          <w:rPr>
            <w:webHidden/>
          </w:rPr>
          <w:fldChar w:fldCharType="separate"/>
        </w:r>
        <w:r w:rsidR="00844010">
          <w:rPr>
            <w:webHidden/>
          </w:rPr>
          <w:t>51</w:t>
        </w:r>
        <w:r w:rsidR="004F3221">
          <w:rPr>
            <w:webHidden/>
          </w:rPr>
          <w:fldChar w:fldCharType="end"/>
        </w:r>
      </w:hyperlink>
    </w:p>
    <w:p w14:paraId="4EFFA3AA" w14:textId="2E252C9C" w:rsidR="004F3221" w:rsidRDefault="00107827">
      <w:pPr>
        <w:pStyle w:val="TOC1"/>
        <w:rPr>
          <w:rFonts w:asciiTheme="minorHAnsi" w:eastAsiaTheme="minorEastAsia" w:hAnsiTheme="minorHAnsi"/>
          <w:b w:val="0"/>
          <w:lang w:eastAsia="en-AU"/>
        </w:rPr>
      </w:pPr>
      <w:hyperlink w:anchor="_Toc45015304" w:history="1">
        <w:r w:rsidR="004F3221" w:rsidRPr="008C5038">
          <w:rPr>
            <w:rStyle w:val="Hyperlink"/>
          </w:rPr>
          <w:t>11.</w:t>
        </w:r>
        <w:r w:rsidR="004F3221">
          <w:rPr>
            <w:rFonts w:asciiTheme="minorHAnsi" w:eastAsiaTheme="minorEastAsia" w:hAnsiTheme="minorHAnsi"/>
            <w:b w:val="0"/>
            <w:lang w:eastAsia="en-AU"/>
          </w:rPr>
          <w:tab/>
        </w:r>
        <w:r w:rsidR="004F3221" w:rsidRPr="008C5038">
          <w:rPr>
            <w:rStyle w:val="Hyperlink"/>
          </w:rPr>
          <w:t>Incidental Rule amendments</w:t>
        </w:r>
        <w:r w:rsidR="004F3221">
          <w:rPr>
            <w:webHidden/>
          </w:rPr>
          <w:tab/>
        </w:r>
        <w:r w:rsidR="004F3221">
          <w:rPr>
            <w:webHidden/>
          </w:rPr>
          <w:fldChar w:fldCharType="begin"/>
        </w:r>
        <w:r w:rsidR="004F3221">
          <w:rPr>
            <w:webHidden/>
          </w:rPr>
          <w:instrText xml:space="preserve"> PAGEREF _Toc45015304 \h </w:instrText>
        </w:r>
        <w:r w:rsidR="004F3221">
          <w:rPr>
            <w:webHidden/>
          </w:rPr>
        </w:r>
        <w:r w:rsidR="004F3221">
          <w:rPr>
            <w:webHidden/>
          </w:rPr>
          <w:fldChar w:fldCharType="separate"/>
        </w:r>
        <w:r w:rsidR="00844010">
          <w:rPr>
            <w:webHidden/>
          </w:rPr>
          <w:t>54</w:t>
        </w:r>
        <w:r w:rsidR="004F3221">
          <w:rPr>
            <w:webHidden/>
          </w:rPr>
          <w:fldChar w:fldCharType="end"/>
        </w:r>
      </w:hyperlink>
    </w:p>
    <w:p w14:paraId="4036850D" w14:textId="632D1FBB" w:rsidR="004F3221" w:rsidRDefault="00107827">
      <w:pPr>
        <w:pStyle w:val="TOC1"/>
        <w:rPr>
          <w:rFonts w:asciiTheme="minorHAnsi" w:eastAsiaTheme="minorEastAsia" w:hAnsiTheme="minorHAnsi"/>
          <w:b w:val="0"/>
          <w:lang w:eastAsia="en-AU"/>
        </w:rPr>
      </w:pPr>
      <w:hyperlink w:anchor="_Toc45015305" w:history="1">
        <w:r w:rsidR="004F3221" w:rsidRPr="008C5038">
          <w:rPr>
            <w:rStyle w:val="Hyperlink"/>
          </w:rPr>
          <w:t>12.</w:t>
        </w:r>
        <w:r w:rsidR="004F3221">
          <w:rPr>
            <w:rFonts w:asciiTheme="minorHAnsi" w:eastAsiaTheme="minorEastAsia" w:hAnsiTheme="minorHAnsi"/>
            <w:b w:val="0"/>
            <w:lang w:eastAsia="en-AU"/>
          </w:rPr>
          <w:tab/>
        </w:r>
        <w:r w:rsidR="004F3221" w:rsidRPr="008C5038">
          <w:rPr>
            <w:rStyle w:val="Hyperlink"/>
          </w:rPr>
          <w:t>Proposed civil penalty provisions</w:t>
        </w:r>
        <w:r w:rsidR="004F3221">
          <w:rPr>
            <w:webHidden/>
          </w:rPr>
          <w:tab/>
        </w:r>
        <w:r w:rsidR="004F3221">
          <w:rPr>
            <w:webHidden/>
          </w:rPr>
          <w:fldChar w:fldCharType="begin"/>
        </w:r>
        <w:r w:rsidR="004F3221">
          <w:rPr>
            <w:webHidden/>
          </w:rPr>
          <w:instrText xml:space="preserve"> PAGEREF _Toc45015305 \h </w:instrText>
        </w:r>
        <w:r w:rsidR="004F3221">
          <w:rPr>
            <w:webHidden/>
          </w:rPr>
        </w:r>
        <w:r w:rsidR="004F3221">
          <w:rPr>
            <w:webHidden/>
          </w:rPr>
          <w:fldChar w:fldCharType="separate"/>
        </w:r>
        <w:r w:rsidR="00844010">
          <w:rPr>
            <w:webHidden/>
          </w:rPr>
          <w:t>59</w:t>
        </w:r>
        <w:r w:rsidR="004F3221">
          <w:rPr>
            <w:webHidden/>
          </w:rPr>
          <w:fldChar w:fldCharType="end"/>
        </w:r>
      </w:hyperlink>
    </w:p>
    <w:p w14:paraId="069B2AD4" w14:textId="55273893" w:rsidR="004F3221" w:rsidRDefault="00107827">
      <w:pPr>
        <w:pStyle w:val="TOC1"/>
        <w:rPr>
          <w:rFonts w:asciiTheme="minorHAnsi" w:eastAsiaTheme="minorEastAsia" w:hAnsiTheme="minorHAnsi"/>
          <w:b w:val="0"/>
          <w:lang w:eastAsia="en-AU"/>
        </w:rPr>
      </w:pPr>
      <w:hyperlink w:anchor="_Toc45015306" w:history="1">
        <w:r w:rsidR="004F3221" w:rsidRPr="008C5038">
          <w:rPr>
            <w:rStyle w:val="Hyperlink"/>
          </w:rPr>
          <w:t>13.</w:t>
        </w:r>
        <w:r w:rsidR="004F3221">
          <w:rPr>
            <w:rFonts w:asciiTheme="minorHAnsi" w:eastAsiaTheme="minorEastAsia" w:hAnsiTheme="minorHAnsi"/>
            <w:b w:val="0"/>
            <w:lang w:eastAsia="en-AU"/>
          </w:rPr>
          <w:tab/>
        </w:r>
        <w:r w:rsidR="004F3221" w:rsidRPr="008C5038">
          <w:rPr>
            <w:rStyle w:val="Hyperlink"/>
          </w:rPr>
          <w:t>Potential reduction of duplication in the Law</w:t>
        </w:r>
        <w:r w:rsidR="004F3221">
          <w:rPr>
            <w:webHidden/>
          </w:rPr>
          <w:tab/>
        </w:r>
        <w:r w:rsidR="004F3221">
          <w:rPr>
            <w:webHidden/>
          </w:rPr>
          <w:fldChar w:fldCharType="begin"/>
        </w:r>
        <w:r w:rsidR="004F3221">
          <w:rPr>
            <w:webHidden/>
          </w:rPr>
          <w:instrText xml:space="preserve"> PAGEREF _Toc45015306 \h </w:instrText>
        </w:r>
        <w:r w:rsidR="004F3221">
          <w:rPr>
            <w:webHidden/>
          </w:rPr>
        </w:r>
        <w:r w:rsidR="004F3221">
          <w:rPr>
            <w:webHidden/>
          </w:rPr>
          <w:fldChar w:fldCharType="separate"/>
        </w:r>
        <w:r w:rsidR="00844010">
          <w:rPr>
            <w:webHidden/>
          </w:rPr>
          <w:t>65</w:t>
        </w:r>
        <w:r w:rsidR="004F3221">
          <w:rPr>
            <w:webHidden/>
          </w:rPr>
          <w:fldChar w:fldCharType="end"/>
        </w:r>
      </w:hyperlink>
    </w:p>
    <w:p w14:paraId="09C6B819" w14:textId="77777777" w:rsidR="00682302" w:rsidRPr="00C55946" w:rsidRDefault="00682302" w:rsidP="00682302">
      <w:pPr>
        <w:spacing w:after="60"/>
        <w:sectPr w:rsidR="00682302" w:rsidRPr="00C55946" w:rsidSect="00436621">
          <w:headerReference w:type="even" r:id="rId18"/>
          <w:headerReference w:type="default" r:id="rId19"/>
          <w:footerReference w:type="default" r:id="rId20"/>
          <w:headerReference w:type="first" r:id="rId21"/>
          <w:pgSz w:w="11907" w:h="16840" w:code="9"/>
          <w:pgMar w:top="1361" w:right="1418" w:bottom="992" w:left="1701" w:header="567" w:footer="397" w:gutter="0"/>
          <w:pgNumType w:fmt="lowerRoman" w:start="1"/>
          <w:cols w:space="708"/>
          <w:docGrid w:linePitch="360"/>
        </w:sectPr>
      </w:pPr>
      <w:r>
        <w:rPr>
          <w:rFonts w:eastAsiaTheme="minorEastAsia" w:cstheme="minorBidi"/>
          <w:b/>
          <w:noProof/>
          <w:lang w:eastAsia="en-US"/>
        </w:rPr>
        <w:fldChar w:fldCharType="end"/>
      </w:r>
    </w:p>
    <w:p w14:paraId="27914996" w14:textId="77777777" w:rsidR="00C57CF8" w:rsidRPr="00C57CF8" w:rsidRDefault="00C57CF8" w:rsidP="00C57CF8">
      <w:pPr>
        <w:pStyle w:val="Heading1"/>
        <w:numPr>
          <w:ilvl w:val="0"/>
          <w:numId w:val="0"/>
        </w:numPr>
        <w:ind w:left="567" w:hanging="567"/>
      </w:pPr>
      <w:bookmarkStart w:id="27" w:name="_Toc10197834"/>
      <w:bookmarkStart w:id="28" w:name="_Toc10213270"/>
      <w:bookmarkStart w:id="29" w:name="_Toc11149677"/>
      <w:bookmarkStart w:id="30" w:name="_Toc33527973"/>
      <w:bookmarkStart w:id="31" w:name="_Toc37081159"/>
      <w:bookmarkStart w:id="32" w:name="_Toc45015254"/>
      <w:r w:rsidRPr="00C57CF8">
        <w:lastRenderedPageBreak/>
        <w:t>Abbreviations</w:t>
      </w:r>
      <w:bookmarkEnd w:id="27"/>
      <w:bookmarkEnd w:id="28"/>
      <w:bookmarkEnd w:id="29"/>
      <w:bookmarkEnd w:id="30"/>
      <w:bookmarkEnd w:id="31"/>
      <w:bookmarkEnd w:id="32"/>
    </w:p>
    <w:tbl>
      <w:tblPr>
        <w:tblStyle w:val="TableGrid"/>
        <w:tblW w:w="9356" w:type="dxa"/>
        <w:tblLook w:val="06A0" w:firstRow="1" w:lastRow="0" w:firstColumn="1" w:lastColumn="0" w:noHBand="1" w:noVBand="1"/>
        <w:tblCaption w:val="Abbreviations table"/>
        <w:tblDescription w:val="Table of abbreviations used throughout the document"/>
      </w:tblPr>
      <w:tblGrid>
        <w:gridCol w:w="2127"/>
        <w:gridCol w:w="7229"/>
      </w:tblGrid>
      <w:tr w:rsidR="00C57CF8" w:rsidRPr="00331C42" w14:paraId="1B4055C2" w14:textId="77777777" w:rsidTr="00795A82">
        <w:trPr>
          <w:cnfStyle w:val="100000000000" w:firstRow="1" w:lastRow="0" w:firstColumn="0" w:lastColumn="0" w:oddVBand="0" w:evenVBand="0" w:oddHBand="0" w:evenHBand="0" w:firstRowFirstColumn="0" w:firstRowLastColumn="0" w:lastRowFirstColumn="0" w:lastRowLastColumn="0"/>
          <w:trHeight w:val="279"/>
          <w:tblHeader/>
        </w:trPr>
        <w:tc>
          <w:tcPr>
            <w:tcW w:w="2127" w:type="dxa"/>
            <w:tcBorders>
              <w:bottom w:val="single" w:sz="4" w:space="0" w:color="auto"/>
            </w:tcBorders>
            <w:shd w:val="clear" w:color="auto" w:fill="005595"/>
          </w:tcPr>
          <w:p w14:paraId="0BC0C34E" w14:textId="77777777" w:rsidR="00C57CF8" w:rsidRPr="00E44CBB" w:rsidRDefault="00C57CF8" w:rsidP="00795A82">
            <w:pPr>
              <w:pStyle w:val="TableHeadingBold"/>
            </w:pPr>
            <w:r w:rsidRPr="00E44CBB">
              <w:t>Term</w:t>
            </w:r>
          </w:p>
        </w:tc>
        <w:tc>
          <w:tcPr>
            <w:tcW w:w="7229" w:type="dxa"/>
            <w:tcBorders>
              <w:bottom w:val="single" w:sz="4" w:space="0" w:color="auto"/>
            </w:tcBorders>
            <w:shd w:val="clear" w:color="auto" w:fill="005595"/>
          </w:tcPr>
          <w:p w14:paraId="7D114992" w14:textId="77777777" w:rsidR="00C57CF8" w:rsidRPr="00E44CBB" w:rsidRDefault="00C57CF8" w:rsidP="00795A82">
            <w:pPr>
              <w:pStyle w:val="TableHeadingBold"/>
            </w:pPr>
            <w:r w:rsidRPr="00E44CBB">
              <w:t>Definition</w:t>
            </w:r>
          </w:p>
        </w:tc>
      </w:tr>
      <w:tr w:rsidR="00C57CF8" w:rsidRPr="00331C42" w14:paraId="741B2817" w14:textId="77777777" w:rsidTr="00795A82">
        <w:tc>
          <w:tcPr>
            <w:tcW w:w="2127" w:type="dxa"/>
          </w:tcPr>
          <w:p w14:paraId="0E26C6BA"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ACCC</w:t>
            </w:r>
          </w:p>
        </w:tc>
        <w:tc>
          <w:tcPr>
            <w:tcW w:w="7229" w:type="dxa"/>
          </w:tcPr>
          <w:p w14:paraId="00A2797C"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Australian Competition and Consumer Commission</w:t>
            </w:r>
          </w:p>
        </w:tc>
      </w:tr>
      <w:tr w:rsidR="00C57CF8" w:rsidRPr="00331C42" w14:paraId="32B13150" w14:textId="77777777" w:rsidTr="00795A82">
        <w:tc>
          <w:tcPr>
            <w:tcW w:w="2127" w:type="dxa"/>
          </w:tcPr>
          <w:p w14:paraId="50DDF457"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AEMC</w:t>
            </w:r>
          </w:p>
        </w:tc>
        <w:tc>
          <w:tcPr>
            <w:tcW w:w="7229" w:type="dxa"/>
          </w:tcPr>
          <w:p w14:paraId="6DF387E4"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Australian Energy Market Commission</w:t>
            </w:r>
          </w:p>
        </w:tc>
      </w:tr>
      <w:tr w:rsidR="00C57CF8" w:rsidRPr="00331C42" w14:paraId="5EA9CCFB" w14:textId="77777777" w:rsidTr="00795A82">
        <w:tc>
          <w:tcPr>
            <w:tcW w:w="2127" w:type="dxa"/>
          </w:tcPr>
          <w:p w14:paraId="52BD8ABA"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AEMO</w:t>
            </w:r>
          </w:p>
        </w:tc>
        <w:tc>
          <w:tcPr>
            <w:tcW w:w="7229" w:type="dxa"/>
          </w:tcPr>
          <w:p w14:paraId="4C7FD20B"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Australian Energy Market Operator</w:t>
            </w:r>
          </w:p>
        </w:tc>
      </w:tr>
      <w:tr w:rsidR="00C57CF8" w:rsidRPr="00331C42" w14:paraId="4314854C" w14:textId="77777777" w:rsidTr="00795A82">
        <w:tc>
          <w:tcPr>
            <w:tcW w:w="2127" w:type="dxa"/>
          </w:tcPr>
          <w:p w14:paraId="3329A2FC"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AER</w:t>
            </w:r>
          </w:p>
        </w:tc>
        <w:tc>
          <w:tcPr>
            <w:tcW w:w="7229" w:type="dxa"/>
          </w:tcPr>
          <w:p w14:paraId="5F5E634E"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Australian Energy Regulator</w:t>
            </w:r>
          </w:p>
        </w:tc>
      </w:tr>
      <w:tr w:rsidR="00C57CF8" w:rsidRPr="00331C42" w14:paraId="73FB24A1" w14:textId="77777777" w:rsidTr="00795A82">
        <w:tc>
          <w:tcPr>
            <w:tcW w:w="2127" w:type="dxa"/>
          </w:tcPr>
          <w:p w14:paraId="054A85E9"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BB</w:t>
            </w:r>
          </w:p>
        </w:tc>
        <w:tc>
          <w:tcPr>
            <w:tcW w:w="7229" w:type="dxa"/>
          </w:tcPr>
          <w:p w14:paraId="16FFF232"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Natural Gas Services Bulletin Board</w:t>
            </w:r>
          </w:p>
        </w:tc>
      </w:tr>
      <w:tr w:rsidR="00C57CF8" w:rsidRPr="00331C42" w14:paraId="4BA43DE0" w14:textId="77777777" w:rsidTr="00795A82">
        <w:tc>
          <w:tcPr>
            <w:tcW w:w="2127" w:type="dxa"/>
          </w:tcPr>
          <w:p w14:paraId="04B924BC"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COAG</w:t>
            </w:r>
          </w:p>
        </w:tc>
        <w:tc>
          <w:tcPr>
            <w:tcW w:w="7229" w:type="dxa"/>
          </w:tcPr>
          <w:p w14:paraId="4DC2F7AB"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Council of Australian Governments</w:t>
            </w:r>
          </w:p>
        </w:tc>
      </w:tr>
      <w:tr w:rsidR="004300D5" w:rsidRPr="00331C42" w14:paraId="50FDBC89" w14:textId="77777777" w:rsidTr="00795A82">
        <w:tc>
          <w:tcPr>
            <w:tcW w:w="2127" w:type="dxa"/>
          </w:tcPr>
          <w:p w14:paraId="76E6A3A5" w14:textId="77777777" w:rsidR="004300D5" w:rsidRPr="00331C42" w:rsidRDefault="004300D5" w:rsidP="00795A82">
            <w:pPr>
              <w:pStyle w:val="TableBodyText"/>
              <w:rPr>
                <w:rFonts w:asciiTheme="majorHAnsi" w:hAnsiTheme="majorHAnsi" w:cstheme="majorHAnsi"/>
                <w:szCs w:val="18"/>
              </w:rPr>
            </w:pPr>
            <w:r>
              <w:rPr>
                <w:rFonts w:asciiTheme="majorHAnsi" w:hAnsiTheme="majorHAnsi" w:cstheme="majorHAnsi"/>
                <w:szCs w:val="18"/>
              </w:rPr>
              <w:t>DRIS</w:t>
            </w:r>
          </w:p>
        </w:tc>
        <w:tc>
          <w:tcPr>
            <w:tcW w:w="7229" w:type="dxa"/>
          </w:tcPr>
          <w:p w14:paraId="0920F904" w14:textId="77777777" w:rsidR="004300D5" w:rsidRPr="00331C42" w:rsidRDefault="00CC46E1" w:rsidP="00795A82">
            <w:pPr>
              <w:pStyle w:val="TableBodyText"/>
              <w:rPr>
                <w:rFonts w:asciiTheme="majorHAnsi" w:hAnsiTheme="majorHAnsi" w:cstheme="majorHAnsi"/>
                <w:szCs w:val="18"/>
              </w:rPr>
            </w:pPr>
            <w:r>
              <w:rPr>
                <w:rFonts w:asciiTheme="majorHAnsi" w:hAnsiTheme="majorHAnsi" w:cstheme="majorHAnsi"/>
                <w:szCs w:val="18"/>
              </w:rPr>
              <w:t xml:space="preserve">The </w:t>
            </w:r>
            <w:r w:rsidR="004300D5">
              <w:rPr>
                <w:rFonts w:asciiTheme="majorHAnsi" w:hAnsiTheme="majorHAnsi" w:cstheme="majorHAnsi"/>
                <w:szCs w:val="18"/>
              </w:rPr>
              <w:t xml:space="preserve">Decision Regulation Impact Statement </w:t>
            </w:r>
            <w:r>
              <w:rPr>
                <w:rFonts w:asciiTheme="majorHAnsi" w:hAnsiTheme="majorHAnsi" w:cstheme="majorHAnsi"/>
                <w:szCs w:val="18"/>
              </w:rPr>
              <w:t>for Measures to Improve Transparency in the Gas Market, which was endorsed by the COAG Energy Council on 20 March 2020</w:t>
            </w:r>
          </w:p>
        </w:tc>
      </w:tr>
      <w:tr w:rsidR="00C57CF8" w:rsidRPr="00331C42" w14:paraId="3C5766A6" w14:textId="77777777" w:rsidTr="00795A82">
        <w:tc>
          <w:tcPr>
            <w:tcW w:w="2127" w:type="dxa"/>
          </w:tcPr>
          <w:p w14:paraId="3136A272"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Energy Council</w:t>
            </w:r>
          </w:p>
        </w:tc>
        <w:tc>
          <w:tcPr>
            <w:tcW w:w="7229" w:type="dxa"/>
          </w:tcPr>
          <w:p w14:paraId="1802BE9E"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COAG Energy Council</w:t>
            </w:r>
          </w:p>
        </w:tc>
      </w:tr>
      <w:tr w:rsidR="00C57CF8" w:rsidRPr="00331C42" w14:paraId="0CFC4D5F" w14:textId="77777777" w:rsidTr="00795A82">
        <w:tc>
          <w:tcPr>
            <w:tcW w:w="2127" w:type="dxa"/>
          </w:tcPr>
          <w:p w14:paraId="0009D170"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Gas Inquiry</w:t>
            </w:r>
          </w:p>
        </w:tc>
        <w:tc>
          <w:tcPr>
            <w:tcW w:w="7229" w:type="dxa"/>
          </w:tcPr>
          <w:p w14:paraId="13B47514"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ACCC’s 2017-2025 Gas Inquiry</w:t>
            </w:r>
          </w:p>
        </w:tc>
      </w:tr>
      <w:tr w:rsidR="00C57CF8" w:rsidRPr="00331C42" w14:paraId="16B4B637" w14:textId="77777777" w:rsidTr="00795A82">
        <w:tc>
          <w:tcPr>
            <w:tcW w:w="2127" w:type="dxa"/>
          </w:tcPr>
          <w:p w14:paraId="4630F31F"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GMRG</w:t>
            </w:r>
          </w:p>
        </w:tc>
        <w:tc>
          <w:tcPr>
            <w:tcW w:w="7229" w:type="dxa"/>
          </w:tcPr>
          <w:p w14:paraId="5EEBCA17"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Gas Market Reform Group</w:t>
            </w:r>
          </w:p>
        </w:tc>
      </w:tr>
      <w:tr w:rsidR="00C57CF8" w:rsidRPr="00331C42" w14:paraId="3BE73846" w14:textId="77777777" w:rsidTr="00795A82">
        <w:tc>
          <w:tcPr>
            <w:tcW w:w="2127" w:type="dxa"/>
          </w:tcPr>
          <w:p w14:paraId="2DBF1800"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GSA</w:t>
            </w:r>
          </w:p>
        </w:tc>
        <w:tc>
          <w:tcPr>
            <w:tcW w:w="7229" w:type="dxa"/>
          </w:tcPr>
          <w:p w14:paraId="17087E6F"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Gas Supply Agreement</w:t>
            </w:r>
          </w:p>
        </w:tc>
      </w:tr>
      <w:tr w:rsidR="00C57CF8" w:rsidRPr="00331C42" w14:paraId="7AA6FBA7" w14:textId="77777777" w:rsidTr="00795A82">
        <w:tc>
          <w:tcPr>
            <w:tcW w:w="2127" w:type="dxa"/>
          </w:tcPr>
          <w:p w14:paraId="3066A800"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GSH</w:t>
            </w:r>
          </w:p>
        </w:tc>
        <w:tc>
          <w:tcPr>
            <w:tcW w:w="7229" w:type="dxa"/>
          </w:tcPr>
          <w:p w14:paraId="6D47E848"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Gas Supply Hub</w:t>
            </w:r>
          </w:p>
        </w:tc>
      </w:tr>
      <w:tr w:rsidR="00C57CF8" w:rsidRPr="00331C42" w14:paraId="4C4C69E7" w14:textId="77777777" w:rsidTr="00795A82">
        <w:tc>
          <w:tcPr>
            <w:tcW w:w="2127" w:type="dxa"/>
          </w:tcPr>
          <w:p w14:paraId="73112C47"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GSOO</w:t>
            </w:r>
          </w:p>
        </w:tc>
        <w:tc>
          <w:tcPr>
            <w:tcW w:w="7229" w:type="dxa"/>
          </w:tcPr>
          <w:p w14:paraId="74DC8E4F"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Gas Statement of Opportunities</w:t>
            </w:r>
          </w:p>
        </w:tc>
      </w:tr>
      <w:tr w:rsidR="00C57CF8" w:rsidRPr="00331C42" w14:paraId="097EB5E5" w14:textId="77777777" w:rsidTr="00795A82">
        <w:tc>
          <w:tcPr>
            <w:tcW w:w="2127" w:type="dxa"/>
          </w:tcPr>
          <w:p w14:paraId="2A87B0D7"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 xml:space="preserve">LNG netback price </w:t>
            </w:r>
          </w:p>
        </w:tc>
        <w:tc>
          <w:tcPr>
            <w:tcW w:w="7229" w:type="dxa"/>
          </w:tcPr>
          <w:p w14:paraId="3297ED7D"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A measure of an export parity price that a gas supplier can expect to receive for exporting its gas. It is calculated by taking the price that could be received for LNG and subtracting or ‘netting back’ the costs incurred by the supplier to convert the gas to LNG and ship it to the destination port</w:t>
            </w:r>
          </w:p>
        </w:tc>
      </w:tr>
      <w:tr w:rsidR="00C57CF8" w:rsidRPr="00331C42" w14:paraId="6CF09788" w14:textId="77777777" w:rsidTr="00795A82">
        <w:tc>
          <w:tcPr>
            <w:tcW w:w="2127" w:type="dxa"/>
          </w:tcPr>
          <w:p w14:paraId="5D14D1BB"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NGL</w:t>
            </w:r>
            <w:r>
              <w:rPr>
                <w:rFonts w:asciiTheme="majorHAnsi" w:hAnsiTheme="majorHAnsi" w:cstheme="majorHAnsi"/>
                <w:szCs w:val="18"/>
              </w:rPr>
              <w:t xml:space="preserve"> or Law</w:t>
            </w:r>
          </w:p>
        </w:tc>
        <w:tc>
          <w:tcPr>
            <w:tcW w:w="7229" w:type="dxa"/>
          </w:tcPr>
          <w:p w14:paraId="02BECDFA"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National Gas Law</w:t>
            </w:r>
          </w:p>
        </w:tc>
      </w:tr>
      <w:tr w:rsidR="00C57CF8" w:rsidRPr="00331C42" w14:paraId="1BBD148D" w14:textId="77777777" w:rsidTr="00795A82">
        <w:tc>
          <w:tcPr>
            <w:tcW w:w="2127" w:type="dxa"/>
          </w:tcPr>
          <w:p w14:paraId="64F22096"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NGO</w:t>
            </w:r>
          </w:p>
        </w:tc>
        <w:tc>
          <w:tcPr>
            <w:tcW w:w="7229" w:type="dxa"/>
          </w:tcPr>
          <w:p w14:paraId="37D905B7"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National Gas Objective</w:t>
            </w:r>
          </w:p>
        </w:tc>
      </w:tr>
      <w:tr w:rsidR="00C57CF8" w:rsidRPr="00331C42" w14:paraId="31A528B3" w14:textId="77777777" w:rsidTr="00795A82">
        <w:tc>
          <w:tcPr>
            <w:tcW w:w="2127" w:type="dxa"/>
          </w:tcPr>
          <w:p w14:paraId="3FCA1B3F"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NGR or Rules</w:t>
            </w:r>
          </w:p>
        </w:tc>
        <w:tc>
          <w:tcPr>
            <w:tcW w:w="7229" w:type="dxa"/>
          </w:tcPr>
          <w:p w14:paraId="4784184D"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National Gas Rules</w:t>
            </w:r>
          </w:p>
        </w:tc>
      </w:tr>
      <w:tr w:rsidR="00C57CF8" w:rsidRPr="00331C42" w14:paraId="2FD7298A" w14:textId="77777777" w:rsidTr="00795A82">
        <w:tc>
          <w:tcPr>
            <w:tcW w:w="2127" w:type="dxa"/>
          </w:tcPr>
          <w:p w14:paraId="281735FE"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Non-scheme pipeline</w:t>
            </w:r>
          </w:p>
        </w:tc>
        <w:tc>
          <w:tcPr>
            <w:tcW w:w="7229" w:type="dxa"/>
          </w:tcPr>
          <w:p w14:paraId="1D7F1862"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 xml:space="preserve">A pipeline which is not subject to economic regulation under Part 8 – 12 of the National Gas Rules but is subject to the information disclosure and arbitration framework in Part 23 of the NGR. </w:t>
            </w:r>
          </w:p>
        </w:tc>
      </w:tr>
      <w:tr w:rsidR="00CC46E1" w:rsidRPr="00331C42" w14:paraId="108CDA47" w14:textId="77777777" w:rsidTr="00795A82">
        <w:tc>
          <w:tcPr>
            <w:tcW w:w="2127" w:type="dxa"/>
          </w:tcPr>
          <w:p w14:paraId="6C6166FA" w14:textId="77777777" w:rsidR="00CC46E1" w:rsidRPr="00187E44" w:rsidRDefault="00CC46E1" w:rsidP="00187E44">
            <w:pPr>
              <w:pStyle w:val="TableBodyText"/>
            </w:pPr>
            <w:r w:rsidRPr="00187E44">
              <w:t>PJ</w:t>
            </w:r>
          </w:p>
        </w:tc>
        <w:tc>
          <w:tcPr>
            <w:tcW w:w="7229" w:type="dxa"/>
          </w:tcPr>
          <w:p w14:paraId="6FB86879" w14:textId="77777777" w:rsidR="00CC46E1" w:rsidRDefault="00CC46E1" w:rsidP="00D40BD3">
            <w:pPr>
              <w:pStyle w:val="TableBodyText"/>
            </w:pPr>
            <w:proofErr w:type="spellStart"/>
            <w:r w:rsidRPr="00D40BD3">
              <w:rPr>
                <w:rFonts w:asciiTheme="majorHAnsi" w:hAnsiTheme="majorHAnsi" w:cstheme="majorHAnsi"/>
                <w:szCs w:val="18"/>
              </w:rPr>
              <w:t>Petajoule</w:t>
            </w:r>
            <w:proofErr w:type="spellEnd"/>
          </w:p>
        </w:tc>
      </w:tr>
      <w:tr w:rsidR="00C57CF8" w:rsidRPr="00331C42" w14:paraId="5EBCD54E" w14:textId="77777777" w:rsidTr="00795A82">
        <w:tc>
          <w:tcPr>
            <w:tcW w:w="2127" w:type="dxa"/>
          </w:tcPr>
          <w:p w14:paraId="069E9410" w14:textId="77777777" w:rsidR="00C57CF8" w:rsidRPr="00187E44" w:rsidRDefault="00C57CF8" w:rsidP="00187E44">
            <w:pPr>
              <w:pStyle w:val="TableBodyText"/>
            </w:pPr>
            <w:r w:rsidRPr="00187E44">
              <w:t>Producer</w:t>
            </w:r>
          </w:p>
        </w:tc>
        <w:tc>
          <w:tcPr>
            <w:tcW w:w="7229" w:type="dxa"/>
          </w:tcPr>
          <w:p w14:paraId="0CA2DB1E" w14:textId="77777777" w:rsidR="00C57CF8" w:rsidRPr="00D40BD3" w:rsidRDefault="00C57CF8" w:rsidP="00D40BD3">
            <w:pPr>
              <w:pStyle w:val="TableBodyText"/>
              <w:rPr>
                <w:rFonts w:asciiTheme="majorHAnsi" w:hAnsiTheme="majorHAnsi" w:cstheme="majorHAnsi"/>
                <w:szCs w:val="18"/>
              </w:rPr>
            </w:pPr>
            <w:r w:rsidRPr="00D40BD3">
              <w:rPr>
                <w:rFonts w:asciiTheme="majorHAnsi" w:hAnsiTheme="majorHAnsi" w:cstheme="majorHAnsi"/>
                <w:szCs w:val="18"/>
              </w:rPr>
              <w:t xml:space="preserve">This term is used throughout the Decision RIS to refer to entities that are currently producing gas and those entities that are not currently producing gas but have an interest in gas reserves and/or resources. </w:t>
            </w:r>
          </w:p>
        </w:tc>
      </w:tr>
      <w:tr w:rsidR="00C57CF8" w:rsidRPr="00331C42" w14:paraId="765B5868" w14:textId="77777777" w:rsidTr="00795A82">
        <w:tc>
          <w:tcPr>
            <w:tcW w:w="2127" w:type="dxa"/>
          </w:tcPr>
          <w:p w14:paraId="0D4FEF26"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Regulations</w:t>
            </w:r>
          </w:p>
        </w:tc>
        <w:tc>
          <w:tcPr>
            <w:tcW w:w="7229" w:type="dxa"/>
          </w:tcPr>
          <w:p w14:paraId="4E96482A"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Regulations made under the National Gas Law</w:t>
            </w:r>
          </w:p>
        </w:tc>
      </w:tr>
      <w:tr w:rsidR="00C57CF8" w:rsidRPr="00331C42" w14:paraId="23D27394" w14:textId="77777777" w:rsidTr="00795A82">
        <w:tc>
          <w:tcPr>
            <w:tcW w:w="2127" w:type="dxa"/>
          </w:tcPr>
          <w:p w14:paraId="295B963A"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SCO</w:t>
            </w:r>
          </w:p>
        </w:tc>
        <w:tc>
          <w:tcPr>
            <w:tcW w:w="7229" w:type="dxa"/>
          </w:tcPr>
          <w:p w14:paraId="399F0012"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COAG Energy Council - Senior Committee of Officials</w:t>
            </w:r>
          </w:p>
        </w:tc>
      </w:tr>
      <w:tr w:rsidR="00C57CF8" w:rsidRPr="00331C42" w14:paraId="033D0E62" w14:textId="77777777" w:rsidTr="00795A82">
        <w:tc>
          <w:tcPr>
            <w:tcW w:w="2127" w:type="dxa"/>
          </w:tcPr>
          <w:p w14:paraId="5BA8C1B7" w14:textId="77777777" w:rsidR="00C57CF8" w:rsidRPr="00331C42" w:rsidRDefault="00C57CF8" w:rsidP="00795A82">
            <w:pPr>
              <w:pStyle w:val="TableBodyText"/>
              <w:rPr>
                <w:rFonts w:asciiTheme="majorHAnsi" w:hAnsiTheme="majorHAnsi" w:cstheme="majorHAnsi"/>
                <w:szCs w:val="18"/>
              </w:rPr>
            </w:pPr>
            <w:r w:rsidRPr="00331C42">
              <w:rPr>
                <w:rFonts w:asciiTheme="majorHAnsi" w:hAnsiTheme="majorHAnsi" w:cstheme="majorHAnsi"/>
                <w:szCs w:val="18"/>
              </w:rPr>
              <w:t>SPE-PRMS</w:t>
            </w:r>
          </w:p>
        </w:tc>
        <w:tc>
          <w:tcPr>
            <w:tcW w:w="7229" w:type="dxa"/>
          </w:tcPr>
          <w:p w14:paraId="741C7839" w14:textId="5CB251F7" w:rsidR="00C57CF8" w:rsidRPr="00331C42" w:rsidRDefault="00C57CF8" w:rsidP="00EA54B2">
            <w:pPr>
              <w:pStyle w:val="TableBodyText"/>
              <w:rPr>
                <w:rFonts w:asciiTheme="majorHAnsi" w:hAnsiTheme="majorHAnsi" w:cstheme="majorHAnsi"/>
                <w:szCs w:val="18"/>
              </w:rPr>
            </w:pPr>
            <w:r w:rsidRPr="00331C42">
              <w:rPr>
                <w:rFonts w:asciiTheme="majorHAnsi" w:hAnsiTheme="majorHAnsi" w:cstheme="majorHAnsi"/>
                <w:szCs w:val="18"/>
              </w:rPr>
              <w:t>“Petroleum Resources Management System” revised June 2018 and sponsored by the Society of Petroleum Engineers, the American Association of Petroleum Geologists, the World Petroleum Council, the Society of Petroleum Evaluation Engineers and others.</w:t>
            </w:r>
          </w:p>
        </w:tc>
      </w:tr>
      <w:tr w:rsidR="00CC46E1" w:rsidRPr="00331C42" w14:paraId="42489B7D" w14:textId="77777777" w:rsidTr="00795A82">
        <w:tc>
          <w:tcPr>
            <w:tcW w:w="2127" w:type="dxa"/>
          </w:tcPr>
          <w:p w14:paraId="585D79D3" w14:textId="77777777" w:rsidR="00CC46E1" w:rsidRPr="00331C42" w:rsidRDefault="00CC46E1" w:rsidP="00795A82">
            <w:pPr>
              <w:pStyle w:val="TableBodyText"/>
              <w:rPr>
                <w:rFonts w:asciiTheme="majorHAnsi" w:hAnsiTheme="majorHAnsi" w:cstheme="majorHAnsi"/>
                <w:szCs w:val="18"/>
              </w:rPr>
            </w:pPr>
            <w:r>
              <w:rPr>
                <w:rFonts w:asciiTheme="majorHAnsi" w:hAnsiTheme="majorHAnsi" w:cstheme="majorHAnsi"/>
                <w:szCs w:val="18"/>
              </w:rPr>
              <w:t>TJ</w:t>
            </w:r>
          </w:p>
        </w:tc>
        <w:tc>
          <w:tcPr>
            <w:tcW w:w="7229" w:type="dxa"/>
          </w:tcPr>
          <w:p w14:paraId="151784A6" w14:textId="77777777" w:rsidR="00CC46E1" w:rsidRPr="00331C42" w:rsidRDefault="00CC46E1" w:rsidP="00795A82">
            <w:pPr>
              <w:pStyle w:val="TableBodyText"/>
              <w:rPr>
                <w:rFonts w:asciiTheme="majorHAnsi" w:hAnsiTheme="majorHAnsi" w:cstheme="majorHAnsi"/>
                <w:szCs w:val="18"/>
              </w:rPr>
            </w:pPr>
            <w:proofErr w:type="spellStart"/>
            <w:r>
              <w:rPr>
                <w:rFonts w:asciiTheme="majorHAnsi" w:hAnsiTheme="majorHAnsi" w:cstheme="majorHAnsi"/>
                <w:szCs w:val="18"/>
              </w:rPr>
              <w:t>Terajoule</w:t>
            </w:r>
            <w:proofErr w:type="spellEnd"/>
            <w:r>
              <w:rPr>
                <w:rFonts w:asciiTheme="majorHAnsi" w:hAnsiTheme="majorHAnsi" w:cstheme="majorHAnsi"/>
                <w:szCs w:val="18"/>
              </w:rPr>
              <w:t xml:space="preserve"> </w:t>
            </w:r>
          </w:p>
        </w:tc>
      </w:tr>
    </w:tbl>
    <w:p w14:paraId="7681D350" w14:textId="77777777" w:rsidR="00C57CF8" w:rsidRPr="00C57CF8" w:rsidRDefault="00C57CF8" w:rsidP="00C57CF8">
      <w:pPr>
        <w:pStyle w:val="BodyText"/>
      </w:pPr>
    </w:p>
    <w:p w14:paraId="6D949A26" w14:textId="77777777" w:rsidR="00682302" w:rsidRPr="00E51706" w:rsidRDefault="00FF4E7D" w:rsidP="00E51706">
      <w:pPr>
        <w:pStyle w:val="Heading1"/>
      </w:pPr>
      <w:bookmarkStart w:id="33" w:name="_Toc45015255"/>
      <w:r>
        <w:lastRenderedPageBreak/>
        <w:t>Introduction</w:t>
      </w:r>
      <w:bookmarkEnd w:id="33"/>
    </w:p>
    <w:p w14:paraId="78EA87D5" w14:textId="77777777" w:rsidR="00E8611F" w:rsidRDefault="00FF4E7D" w:rsidP="00E8611F">
      <w:pPr>
        <w:pStyle w:val="Heading2"/>
      </w:pPr>
      <w:bookmarkStart w:id="34" w:name="_Toc45015256"/>
      <w:r>
        <w:t>Background</w:t>
      </w:r>
      <w:bookmarkEnd w:id="34"/>
    </w:p>
    <w:p w14:paraId="5869E319" w14:textId="77777777" w:rsidR="00053457" w:rsidRDefault="00FF4E7D" w:rsidP="00FF4E7D">
      <w:pPr>
        <w:pStyle w:val="BodyText"/>
      </w:pPr>
      <w:r>
        <w:t>The COAG Energy Council (</w:t>
      </w:r>
      <w:r w:rsidRPr="00F026C8">
        <w:rPr>
          <w:b/>
        </w:rPr>
        <w:t>Energy Council</w:t>
      </w:r>
      <w:r>
        <w:t xml:space="preserve">) at its meeting on 20 March 2020 endorsed a package of measures to enhance transparency in </w:t>
      </w:r>
      <w:r w:rsidR="00487B94">
        <w:t xml:space="preserve">the </w:t>
      </w:r>
      <w:r>
        <w:t xml:space="preserve">gas market. The package is </w:t>
      </w:r>
      <w:r w:rsidR="00053457">
        <w:t xml:space="preserve">set out </w:t>
      </w:r>
      <w:r>
        <w:t>in the Energy Council’s Regulation Impact for Decision (</w:t>
      </w:r>
      <w:r w:rsidRPr="00FF4E7D">
        <w:rPr>
          <w:b/>
        </w:rPr>
        <w:t>Decision RIS</w:t>
      </w:r>
      <w:r>
        <w:t>) of March 2020.</w:t>
      </w:r>
      <w:r>
        <w:rPr>
          <w:rStyle w:val="FootnoteReference"/>
        </w:rPr>
        <w:footnoteReference w:id="2"/>
      </w:r>
      <w:r w:rsidR="00053457">
        <w:t xml:space="preserve"> </w:t>
      </w:r>
    </w:p>
    <w:p w14:paraId="713A257F" w14:textId="77777777" w:rsidR="00FF4E7D" w:rsidRPr="00F026C8" w:rsidRDefault="00053457" w:rsidP="00FF4E7D">
      <w:pPr>
        <w:pStyle w:val="BodyText"/>
      </w:pPr>
      <w:r>
        <w:t>The final package of measures is identified in the Decision</w:t>
      </w:r>
      <w:r w:rsidR="00FF4E7D">
        <w:t xml:space="preserve"> </w:t>
      </w:r>
      <w:r>
        <w:t>RIS as ‘Option 5’</w:t>
      </w:r>
      <w:r w:rsidR="00440252">
        <w:t>, known as the endorsed option</w:t>
      </w:r>
      <w:r w:rsidR="009A095B">
        <w:t xml:space="preserve">. </w:t>
      </w:r>
      <w:r w:rsidR="00440252">
        <w:t>The endorsed option</w:t>
      </w:r>
      <w:r w:rsidR="009A095B">
        <w:t xml:space="preserve"> is a </w:t>
      </w:r>
      <w:r>
        <w:t xml:space="preserve">modification of the options consulted on </w:t>
      </w:r>
      <w:r w:rsidR="00245A01">
        <w:t xml:space="preserve">in </w:t>
      </w:r>
      <w:r w:rsidR="00FF4E7D">
        <w:t>the Energy Council</w:t>
      </w:r>
      <w:r w:rsidR="00245A01">
        <w:t xml:space="preserve">’s </w:t>
      </w:r>
      <w:r w:rsidR="00FF4E7D" w:rsidRPr="009138A1">
        <w:rPr>
          <w:rFonts w:cs="Arial"/>
          <w:color w:val="000000"/>
        </w:rPr>
        <w:t>Consultation Re</w:t>
      </w:r>
      <w:r w:rsidR="00FF4E7D">
        <w:rPr>
          <w:rFonts w:cs="Arial"/>
          <w:color w:val="000000"/>
        </w:rPr>
        <w:t>gulation Impact Statement published in August 2019</w:t>
      </w:r>
      <w:r w:rsidR="00245A01">
        <w:rPr>
          <w:rFonts w:cs="Arial"/>
          <w:color w:val="000000"/>
        </w:rPr>
        <w:t xml:space="preserve"> (</w:t>
      </w:r>
      <w:r w:rsidR="00245A01" w:rsidRPr="00245A01">
        <w:rPr>
          <w:rFonts w:cs="Arial"/>
          <w:b/>
          <w:color w:val="000000"/>
        </w:rPr>
        <w:t>Consultation RIS</w:t>
      </w:r>
      <w:r w:rsidR="00245A01">
        <w:rPr>
          <w:rFonts w:cs="Arial"/>
          <w:color w:val="000000"/>
        </w:rPr>
        <w:t>)</w:t>
      </w:r>
      <w:r w:rsidR="00FF4E7D">
        <w:rPr>
          <w:rFonts w:cs="Arial"/>
          <w:color w:val="000000"/>
        </w:rPr>
        <w:t>.</w:t>
      </w:r>
      <w:r>
        <w:rPr>
          <w:rFonts w:cs="Arial"/>
          <w:color w:val="000000"/>
        </w:rPr>
        <w:t xml:space="preserve"> </w:t>
      </w:r>
      <w:r w:rsidR="00245A01">
        <w:t xml:space="preserve">The options </w:t>
      </w:r>
      <w:r w:rsidR="00E04D23">
        <w:t xml:space="preserve">in the Consultation RIS </w:t>
      </w:r>
      <w:r w:rsidR="00245A01">
        <w:t xml:space="preserve">were developed </w:t>
      </w:r>
      <w:r w:rsidR="009A095B">
        <w:t xml:space="preserve">following </w:t>
      </w:r>
      <w:r w:rsidR="00245A01">
        <w:t xml:space="preserve">recommendations to </w:t>
      </w:r>
      <w:r>
        <w:t>enhance gas market transparency made by the Australian Energy Market Commission (</w:t>
      </w:r>
      <w:r w:rsidRPr="00F026C8">
        <w:rPr>
          <w:b/>
        </w:rPr>
        <w:t>AEMC</w:t>
      </w:r>
      <w:r>
        <w:t>) in 2016 and by the Australian Competition and Consumer Commission (</w:t>
      </w:r>
      <w:r w:rsidRPr="00F026C8">
        <w:rPr>
          <w:b/>
        </w:rPr>
        <w:t>ACCC</w:t>
      </w:r>
      <w:r>
        <w:t>) and the Gas Market Reform Group (</w:t>
      </w:r>
      <w:r w:rsidRPr="00F026C8">
        <w:rPr>
          <w:b/>
        </w:rPr>
        <w:t>GMRG</w:t>
      </w:r>
      <w:r w:rsidR="00245A01">
        <w:t>) in 2018/2019.</w:t>
      </w:r>
      <w:r w:rsidR="00245A01">
        <w:rPr>
          <w:rStyle w:val="FootnoteReference"/>
        </w:rPr>
        <w:footnoteReference w:id="3"/>
      </w:r>
      <w:r w:rsidR="00245A01">
        <w:t xml:space="preserve"> </w:t>
      </w:r>
    </w:p>
    <w:p w14:paraId="5EBD7D29" w14:textId="77777777" w:rsidR="00D41681" w:rsidRDefault="00053457" w:rsidP="00B85706">
      <w:pPr>
        <w:pStyle w:val="BodyText"/>
      </w:pPr>
      <w:r>
        <w:rPr>
          <w:rFonts w:cs="Arial"/>
          <w:color w:val="000000"/>
        </w:rPr>
        <w:t>To implement the transparency measures, changes will be needed to the National Gas Law (</w:t>
      </w:r>
      <w:r w:rsidRPr="00F026C8">
        <w:rPr>
          <w:rFonts w:cs="Arial"/>
          <w:b/>
          <w:color w:val="000000"/>
        </w:rPr>
        <w:t>NGL</w:t>
      </w:r>
      <w:r>
        <w:rPr>
          <w:rFonts w:cs="Arial"/>
          <w:color w:val="000000"/>
        </w:rPr>
        <w:t xml:space="preserve"> or </w:t>
      </w:r>
      <w:r w:rsidRPr="00F026C8">
        <w:rPr>
          <w:rFonts w:cs="Arial"/>
          <w:b/>
          <w:color w:val="000000"/>
        </w:rPr>
        <w:t>Law</w:t>
      </w:r>
      <w:r>
        <w:rPr>
          <w:rFonts w:cs="Arial"/>
          <w:color w:val="000000"/>
        </w:rPr>
        <w:t xml:space="preserve">), </w:t>
      </w:r>
      <w:r>
        <w:t>the regulations made for the purposes of the Law in th</w:t>
      </w:r>
      <w:r w:rsidRPr="00245A01">
        <w:rPr>
          <w:i/>
        </w:rPr>
        <w:t>e National Gas (South Australia) Regulations 2008</w:t>
      </w:r>
      <w:r>
        <w:t xml:space="preserve"> (SA) (</w:t>
      </w:r>
      <w:r w:rsidRPr="00F026C8">
        <w:rPr>
          <w:b/>
        </w:rPr>
        <w:t>Regulations</w:t>
      </w:r>
      <w:r>
        <w:t>) and the National Gas Rules (</w:t>
      </w:r>
      <w:r w:rsidRPr="00F026C8">
        <w:rPr>
          <w:b/>
        </w:rPr>
        <w:t>NGR</w:t>
      </w:r>
      <w:r>
        <w:t xml:space="preserve"> or </w:t>
      </w:r>
      <w:r w:rsidRPr="00F026C8">
        <w:rPr>
          <w:b/>
        </w:rPr>
        <w:t>Rules</w:t>
      </w:r>
      <w:r>
        <w:t xml:space="preserve">). </w:t>
      </w:r>
      <w:r w:rsidR="00DE42B4">
        <w:t>D</w:t>
      </w:r>
      <w:r>
        <w:t xml:space="preserve">raft amendments to those instruments </w:t>
      </w:r>
      <w:r w:rsidR="00DE42B4">
        <w:t xml:space="preserve">are </w:t>
      </w:r>
      <w:r w:rsidR="00D41681">
        <w:t xml:space="preserve">set out in: </w:t>
      </w:r>
    </w:p>
    <w:p w14:paraId="267769D5" w14:textId="77777777" w:rsidR="00D41681" w:rsidRDefault="00487B94" w:rsidP="009A095B">
      <w:pPr>
        <w:pStyle w:val="ListBullet"/>
      </w:pPr>
      <w:r>
        <w:rPr>
          <w:b/>
        </w:rPr>
        <w:t>Attachment</w:t>
      </w:r>
      <w:r w:rsidRPr="007C1434">
        <w:rPr>
          <w:b/>
        </w:rPr>
        <w:t xml:space="preserve"> </w:t>
      </w:r>
      <w:r w:rsidR="00D41681" w:rsidRPr="007C1434">
        <w:rPr>
          <w:b/>
        </w:rPr>
        <w:t>A1</w:t>
      </w:r>
      <w:r w:rsidR="00D41681">
        <w:t>:  D</w:t>
      </w:r>
      <w:r w:rsidR="00D41681" w:rsidRPr="00D41681">
        <w:t xml:space="preserve">raft </w:t>
      </w:r>
      <w:r w:rsidR="00D41681" w:rsidRPr="009A095B">
        <w:rPr>
          <w:i/>
        </w:rPr>
        <w:t>National Gas (South Australia) (Market Transparency) Amendment Bill 2020</w:t>
      </w:r>
      <w:r w:rsidR="00D41681" w:rsidRPr="00D41681">
        <w:t xml:space="preserve"> (</w:t>
      </w:r>
      <w:r w:rsidR="00D41681" w:rsidRPr="00D41681">
        <w:rPr>
          <w:b/>
        </w:rPr>
        <w:t>Draft Bill</w:t>
      </w:r>
      <w:r w:rsidR="00D41681" w:rsidRPr="00D41681">
        <w:t>)</w:t>
      </w:r>
      <w:r w:rsidR="00DE42B4">
        <w:t>;</w:t>
      </w:r>
      <w:r w:rsidR="00D41681">
        <w:t xml:space="preserve"> </w:t>
      </w:r>
    </w:p>
    <w:p w14:paraId="4E23E559" w14:textId="77777777" w:rsidR="00D41681" w:rsidRDefault="00487B94" w:rsidP="009A095B">
      <w:pPr>
        <w:pStyle w:val="ListBullet"/>
      </w:pPr>
      <w:r>
        <w:rPr>
          <w:b/>
        </w:rPr>
        <w:t>Attachment</w:t>
      </w:r>
      <w:r w:rsidRPr="007C1434" w:rsidDel="00487B94">
        <w:rPr>
          <w:b/>
        </w:rPr>
        <w:t xml:space="preserve"> </w:t>
      </w:r>
      <w:r w:rsidR="00D41681" w:rsidRPr="007C1434">
        <w:rPr>
          <w:b/>
        </w:rPr>
        <w:t>A2:</w:t>
      </w:r>
      <w:r w:rsidR="00D41681">
        <w:t xml:space="preserve">  D</w:t>
      </w:r>
      <w:r w:rsidR="00D41681" w:rsidRPr="00D41681">
        <w:t xml:space="preserve">raft </w:t>
      </w:r>
      <w:r w:rsidR="00D41681" w:rsidRPr="009A095B">
        <w:rPr>
          <w:i/>
        </w:rPr>
        <w:t>National Gas (South Australia) (Market Transparency) Variation Regulations 2020</w:t>
      </w:r>
      <w:r w:rsidR="00D41681">
        <w:t xml:space="preserve"> (</w:t>
      </w:r>
      <w:r w:rsidR="00D41681" w:rsidRPr="00D41681">
        <w:rPr>
          <w:b/>
        </w:rPr>
        <w:t>Draft Regulations</w:t>
      </w:r>
      <w:r w:rsidR="00D41681">
        <w:t>)</w:t>
      </w:r>
      <w:r w:rsidR="00DE42B4">
        <w:t>; and</w:t>
      </w:r>
    </w:p>
    <w:p w14:paraId="5222606C" w14:textId="7847AB90" w:rsidR="00B85706" w:rsidRDefault="00487B94" w:rsidP="009A095B">
      <w:pPr>
        <w:pStyle w:val="ListBullet"/>
      </w:pPr>
      <w:r>
        <w:rPr>
          <w:b/>
        </w:rPr>
        <w:t>Attachment</w:t>
      </w:r>
      <w:r w:rsidRPr="007C1434" w:rsidDel="00487B94">
        <w:rPr>
          <w:b/>
        </w:rPr>
        <w:t xml:space="preserve"> </w:t>
      </w:r>
      <w:r w:rsidR="00D41681" w:rsidRPr="007C1434">
        <w:rPr>
          <w:b/>
        </w:rPr>
        <w:t>A3</w:t>
      </w:r>
      <w:r w:rsidR="00D41681">
        <w:t xml:space="preserve">:  Draft amendments to Parts </w:t>
      </w:r>
      <w:r w:rsidR="00FC3A62">
        <w:t>15B</w:t>
      </w:r>
      <w:r w:rsidR="00D41681">
        <w:t xml:space="preserve">, 15D, 17 and 18 of the Rules, and </w:t>
      </w:r>
      <w:r w:rsidR="00E04D23">
        <w:t xml:space="preserve">proposed </w:t>
      </w:r>
      <w:r w:rsidR="00D41681">
        <w:t>new Part 18A</w:t>
      </w:r>
      <w:r w:rsidR="00604DC2">
        <w:t xml:space="preserve"> and Transitional </w:t>
      </w:r>
      <w:r w:rsidR="00B016B6">
        <w:t>Provisions</w:t>
      </w:r>
      <w:r w:rsidR="00D41681">
        <w:t>.</w:t>
      </w:r>
      <w:r w:rsidR="003F06EA">
        <w:t xml:space="preserve"> </w:t>
      </w:r>
      <w:r w:rsidR="00A04682">
        <w:t xml:space="preserve">Amendments are marked-up against the current Rules. </w:t>
      </w:r>
    </w:p>
    <w:p w14:paraId="0BD9E7F4" w14:textId="77777777" w:rsidR="00E03C68" w:rsidRDefault="0077032D" w:rsidP="00E03C68">
      <w:pPr>
        <w:pStyle w:val="Heading2"/>
      </w:pPr>
      <w:bookmarkStart w:id="35" w:name="_Toc45015257"/>
      <w:r>
        <w:t>Consultation process</w:t>
      </w:r>
      <w:bookmarkEnd w:id="35"/>
    </w:p>
    <w:p w14:paraId="41A43184" w14:textId="77777777" w:rsidR="008B4C37" w:rsidRPr="007C1434" w:rsidRDefault="0077032D" w:rsidP="007C1434">
      <w:pPr>
        <w:pStyle w:val="BodyText"/>
      </w:pPr>
      <w:r w:rsidRPr="007C1434">
        <w:t>Stakeholder</w:t>
      </w:r>
      <w:r w:rsidRPr="007C1434" w:rsidDel="003D52DA">
        <w:t xml:space="preserve"> feedback </w:t>
      </w:r>
      <w:r w:rsidRPr="007C1434">
        <w:t>is sought on th</w:t>
      </w:r>
      <w:r w:rsidR="008B4C37" w:rsidRPr="007C1434">
        <w:t xml:space="preserve">is legal package. These draft amendments are set out in </w:t>
      </w:r>
      <w:r w:rsidR="00487B94">
        <w:rPr>
          <w:b/>
        </w:rPr>
        <w:t>Attachments</w:t>
      </w:r>
      <w:r w:rsidR="00487B94" w:rsidRPr="007C1434">
        <w:rPr>
          <w:b/>
        </w:rPr>
        <w:t xml:space="preserve"> </w:t>
      </w:r>
      <w:r w:rsidR="008B4C37" w:rsidRPr="007C1434">
        <w:rPr>
          <w:b/>
        </w:rPr>
        <w:t>A1 to A3</w:t>
      </w:r>
      <w:r w:rsidR="008B4C37" w:rsidRPr="007C1434">
        <w:t xml:space="preserve">. </w:t>
      </w:r>
    </w:p>
    <w:p w14:paraId="530C5F6E" w14:textId="77777777" w:rsidR="008B4C37" w:rsidRPr="007C1434" w:rsidRDefault="008B4C37" w:rsidP="007C1434">
      <w:pPr>
        <w:pStyle w:val="BodyText"/>
      </w:pPr>
      <w:r w:rsidRPr="007C1434">
        <w:t>To assist stakeholders, a response template has been prepared (</w:t>
      </w:r>
      <w:r w:rsidRPr="007C1434">
        <w:rPr>
          <w:rStyle w:val="Strong"/>
          <w:bCs w:val="0"/>
        </w:rPr>
        <w:t>Attachment B</w:t>
      </w:r>
      <w:r w:rsidRPr="007C1434">
        <w:t xml:space="preserve">) for stakeholders to provide their feedback. Stakeholders are strongly encouraged to use the response template. </w:t>
      </w:r>
    </w:p>
    <w:p w14:paraId="1CB5EDEF" w14:textId="77777777" w:rsidR="00FC3A62" w:rsidRPr="007C1434" w:rsidRDefault="0077032D" w:rsidP="007C1434">
      <w:pPr>
        <w:pStyle w:val="BodyText"/>
      </w:pPr>
      <w:r w:rsidRPr="007C1434">
        <w:t xml:space="preserve">Stakeholder feedback is also sought on </w:t>
      </w:r>
      <w:r w:rsidR="008B4C37" w:rsidRPr="007C1434">
        <w:t xml:space="preserve">the </w:t>
      </w:r>
      <w:r w:rsidR="000102A7" w:rsidRPr="007C1434">
        <w:t xml:space="preserve">following </w:t>
      </w:r>
      <w:r w:rsidR="008B4C37" w:rsidRPr="007C1434">
        <w:t>policy clarifications</w:t>
      </w:r>
      <w:r w:rsidR="0080509B" w:rsidRPr="007C1434">
        <w:t xml:space="preserve">, which are explained in further detail in </w:t>
      </w:r>
      <w:r w:rsidR="00CB340E" w:rsidRPr="007C1434">
        <w:t>sections</w:t>
      </w:r>
      <w:r w:rsidR="0080509B" w:rsidRPr="007C1434">
        <w:t xml:space="preserve"> </w:t>
      </w:r>
      <w:r w:rsidR="00656C1F">
        <w:t>5</w:t>
      </w:r>
      <w:r w:rsidR="0080509B" w:rsidRPr="007C1434">
        <w:t>-8</w:t>
      </w:r>
      <w:r w:rsidR="008033E2" w:rsidRPr="007C1434">
        <w:t>:</w:t>
      </w:r>
      <w:r w:rsidR="008B4C37" w:rsidRPr="007C1434">
        <w:t xml:space="preserve"> </w:t>
      </w:r>
    </w:p>
    <w:p w14:paraId="0A759DAE" w14:textId="77777777" w:rsidR="000102A7" w:rsidRPr="007C1434" w:rsidRDefault="000102A7" w:rsidP="007C1434">
      <w:pPr>
        <w:pStyle w:val="ListBullet"/>
      </w:pPr>
      <w:r w:rsidRPr="007C1434">
        <w:t xml:space="preserve">reporting of </w:t>
      </w:r>
      <w:r w:rsidR="008B4C37" w:rsidRPr="007C1434">
        <w:t>Northern Territory</w:t>
      </w:r>
      <w:r w:rsidR="007D6C01">
        <w:t xml:space="preserve"> (NT)</w:t>
      </w:r>
      <w:r w:rsidR="008B4C37" w:rsidRPr="007C1434">
        <w:t xml:space="preserve"> offshore reserves and resources</w:t>
      </w:r>
      <w:r w:rsidR="003B26FC" w:rsidRPr="007C1434">
        <w:t xml:space="preserve"> </w:t>
      </w:r>
      <w:r w:rsidR="008B4C37" w:rsidRPr="007C1434">
        <w:t>(</w:t>
      </w:r>
      <w:r w:rsidR="0080509B" w:rsidRPr="007C1434">
        <w:t xml:space="preserve">see section </w:t>
      </w:r>
      <w:r w:rsidR="004B6797" w:rsidRPr="007C1434">
        <w:t>6.1</w:t>
      </w:r>
      <w:r w:rsidR="007F57D4" w:rsidRPr="007C1434">
        <w:t>.1</w:t>
      </w:r>
      <w:r w:rsidRPr="007C1434">
        <w:t xml:space="preserve">); </w:t>
      </w:r>
    </w:p>
    <w:p w14:paraId="5D2EC3FF" w14:textId="77777777" w:rsidR="000102A7" w:rsidRPr="007C1434" w:rsidRDefault="003B26FC" w:rsidP="007C1434">
      <w:pPr>
        <w:pStyle w:val="ListBullet"/>
      </w:pPr>
      <w:r w:rsidRPr="007C1434">
        <w:lastRenderedPageBreak/>
        <w:t>r</w:t>
      </w:r>
      <w:r w:rsidR="008B4C37" w:rsidRPr="007C1434">
        <w:t xml:space="preserve">eporting times for </w:t>
      </w:r>
      <w:r w:rsidR="005F78FC" w:rsidRPr="007C1434">
        <w:rPr>
          <w:rStyle w:val="BodyTextChar"/>
        </w:rPr>
        <w:t xml:space="preserve">short term </w:t>
      </w:r>
      <w:r w:rsidR="008B4C37" w:rsidRPr="007C1434">
        <w:rPr>
          <w:rStyle w:val="BodyTextChar"/>
        </w:rPr>
        <w:t>LNG</w:t>
      </w:r>
      <w:r w:rsidR="008B4C37" w:rsidRPr="007C1434">
        <w:t xml:space="preserve"> export </w:t>
      </w:r>
      <w:r w:rsidR="005F78FC" w:rsidRPr="007C1434">
        <w:t xml:space="preserve">transactions </w:t>
      </w:r>
      <w:r w:rsidRPr="007C1434">
        <w:t>(</w:t>
      </w:r>
      <w:r w:rsidR="0080509B" w:rsidRPr="007C1434">
        <w:t>see section</w:t>
      </w:r>
      <w:r w:rsidR="007F57D4" w:rsidRPr="007C1434">
        <w:t xml:space="preserve"> 5.6.1</w:t>
      </w:r>
      <w:r w:rsidR="00D22F37" w:rsidRPr="007C1434">
        <w:t>)</w:t>
      </w:r>
      <w:r w:rsidR="00E54CFE">
        <w:t xml:space="preserve"> and </w:t>
      </w:r>
      <w:r w:rsidR="006559A0">
        <w:t xml:space="preserve">LNG shipments (see section </w:t>
      </w:r>
      <w:r w:rsidR="006559A0">
        <w:fldChar w:fldCharType="begin"/>
      </w:r>
      <w:r w:rsidR="006559A0">
        <w:instrText xml:space="preserve"> REF _Ref42241030 \r \h </w:instrText>
      </w:r>
      <w:r w:rsidR="006559A0">
        <w:fldChar w:fldCharType="separate"/>
      </w:r>
      <w:r w:rsidR="00844010">
        <w:t>7.2.1</w:t>
      </w:r>
      <w:r w:rsidR="006559A0">
        <w:fldChar w:fldCharType="end"/>
      </w:r>
      <w:r w:rsidR="006559A0">
        <w:t>)</w:t>
      </w:r>
      <w:r w:rsidR="000102A7" w:rsidRPr="007C1434">
        <w:t>;</w:t>
      </w:r>
      <w:r w:rsidR="00D22F37" w:rsidRPr="007C1434">
        <w:t xml:space="preserve"> and </w:t>
      </w:r>
    </w:p>
    <w:p w14:paraId="6621F8C8" w14:textId="77777777" w:rsidR="0080509B" w:rsidRPr="007C1434" w:rsidRDefault="00E54CFE" w:rsidP="007C1434">
      <w:pPr>
        <w:pStyle w:val="ListBullet"/>
      </w:pPr>
      <w:proofErr w:type="gramStart"/>
      <w:r>
        <w:t>f</w:t>
      </w:r>
      <w:r w:rsidR="008B4C37" w:rsidRPr="007C1434">
        <w:t>acility</w:t>
      </w:r>
      <w:proofErr w:type="gramEnd"/>
      <w:r w:rsidR="008B4C37" w:rsidRPr="007C1434">
        <w:t xml:space="preserve"> operators reporting of forecast nominations</w:t>
      </w:r>
      <w:r w:rsidR="00D22F37" w:rsidRPr="007C1434">
        <w:t xml:space="preserve"> (</w:t>
      </w:r>
      <w:r w:rsidR="0080509B" w:rsidRPr="007C1434">
        <w:t xml:space="preserve">see section </w:t>
      </w:r>
      <w:r w:rsidR="00D22F37" w:rsidRPr="007C1434">
        <w:t>8.</w:t>
      </w:r>
      <w:r w:rsidR="00101C0C" w:rsidRPr="007C1434">
        <w:t>6</w:t>
      </w:r>
      <w:r w:rsidR="00D22F37" w:rsidRPr="007C1434">
        <w:t>)</w:t>
      </w:r>
      <w:r w:rsidR="008033E2" w:rsidRPr="007C1434">
        <w:t xml:space="preserve">. </w:t>
      </w:r>
    </w:p>
    <w:p w14:paraId="3E7B32E8" w14:textId="28FC461F" w:rsidR="00543DD2" w:rsidRDefault="00C4058D" w:rsidP="00E314C9">
      <w:pPr>
        <w:pStyle w:val="BodyText"/>
      </w:pPr>
      <w:r>
        <w:t xml:space="preserve">Feedback is also sought on the </w:t>
      </w:r>
      <w:r w:rsidR="00543DD2">
        <w:t>following matter</w:t>
      </w:r>
      <w:r w:rsidR="00C8548F">
        <w:t>s</w:t>
      </w:r>
      <w:r w:rsidR="00543DD2">
        <w:t>:</w:t>
      </w:r>
    </w:p>
    <w:p w14:paraId="041AD93F" w14:textId="04B355C1" w:rsidR="00543DD2" w:rsidRDefault="00C4058D" w:rsidP="00543DD2">
      <w:pPr>
        <w:pStyle w:val="BodyText"/>
        <w:numPr>
          <w:ilvl w:val="0"/>
          <w:numId w:val="44"/>
        </w:numPr>
      </w:pPr>
      <w:r>
        <w:t xml:space="preserve">proposed transitional arrangements (see section </w:t>
      </w:r>
      <w:r w:rsidR="006651A9" w:rsidRPr="006651A9">
        <w:fldChar w:fldCharType="begin"/>
      </w:r>
      <w:r w:rsidR="006651A9" w:rsidRPr="006651A9">
        <w:instrText xml:space="preserve"> REF _Ref36545243 \w \h  \* MERGEFORMAT </w:instrText>
      </w:r>
      <w:r w:rsidR="006651A9" w:rsidRPr="006651A9">
        <w:fldChar w:fldCharType="separate"/>
      </w:r>
      <w:r w:rsidR="006651A9" w:rsidRPr="006651A9">
        <w:t>10</w:t>
      </w:r>
      <w:r w:rsidR="006651A9" w:rsidRPr="006651A9">
        <w:fldChar w:fldCharType="end"/>
      </w:r>
      <w:r>
        <w:t>)</w:t>
      </w:r>
      <w:r w:rsidR="00543DD2">
        <w:t>;</w:t>
      </w:r>
      <w:r>
        <w:t xml:space="preserve"> </w:t>
      </w:r>
    </w:p>
    <w:p w14:paraId="2FE0BE46" w14:textId="4F2A1597" w:rsidR="00543DD2" w:rsidRDefault="003F20C0" w:rsidP="00543DD2">
      <w:pPr>
        <w:pStyle w:val="BodyText"/>
        <w:numPr>
          <w:ilvl w:val="0"/>
          <w:numId w:val="44"/>
        </w:numPr>
      </w:pPr>
      <w:r>
        <w:t>incidental amendments proposed for Part</w:t>
      </w:r>
      <w:r w:rsidR="00EA54B2">
        <w:t>s 15B and</w:t>
      </w:r>
      <w:r>
        <w:t xml:space="preserve"> 18 of the Rules (see section </w:t>
      </w:r>
      <w:r>
        <w:fldChar w:fldCharType="begin"/>
      </w:r>
      <w:r>
        <w:instrText xml:space="preserve"> REF _Ref41655331 \r \h </w:instrText>
      </w:r>
      <w:r w:rsidR="00543DD2">
        <w:instrText xml:space="preserve"> \* MERGEFORMAT </w:instrText>
      </w:r>
      <w:r>
        <w:fldChar w:fldCharType="separate"/>
      </w:r>
      <w:r w:rsidR="00844010">
        <w:t>11</w:t>
      </w:r>
      <w:r>
        <w:fldChar w:fldCharType="end"/>
      </w:r>
      <w:r w:rsidR="00C4058D">
        <w:t>)</w:t>
      </w:r>
      <w:r w:rsidR="00543DD2">
        <w:t>;</w:t>
      </w:r>
      <w:r w:rsidR="00C4058D">
        <w:t xml:space="preserve"> </w:t>
      </w:r>
    </w:p>
    <w:p w14:paraId="2EA45856" w14:textId="53E060A0" w:rsidR="00543DD2" w:rsidRDefault="00543DD2" w:rsidP="00543DD2">
      <w:pPr>
        <w:pStyle w:val="BodyText"/>
        <w:numPr>
          <w:ilvl w:val="0"/>
          <w:numId w:val="44"/>
        </w:numPr>
      </w:pPr>
      <w:r>
        <w:t xml:space="preserve">proposed civil penalty provisions and their associated penalty tiers (see section </w:t>
      </w:r>
      <w:r w:rsidR="006651A9" w:rsidRPr="006651A9">
        <w:fldChar w:fldCharType="begin"/>
      </w:r>
      <w:r w:rsidR="006651A9" w:rsidRPr="006651A9">
        <w:instrText xml:space="preserve"> REF _Ref41656722 \r \h  \* MERGEFORMAT </w:instrText>
      </w:r>
      <w:r w:rsidR="006651A9" w:rsidRPr="006651A9">
        <w:fldChar w:fldCharType="separate"/>
      </w:r>
      <w:r w:rsidR="006651A9" w:rsidRPr="006651A9">
        <w:t>12</w:t>
      </w:r>
      <w:r w:rsidR="006651A9" w:rsidRPr="006651A9">
        <w:fldChar w:fldCharType="end"/>
      </w:r>
      <w:r>
        <w:t xml:space="preserve">); </w:t>
      </w:r>
    </w:p>
    <w:p w14:paraId="25E7EA68" w14:textId="43D6C570" w:rsidR="008B4C37" w:rsidRPr="004B6797" w:rsidRDefault="00BA417C" w:rsidP="00543DD2">
      <w:pPr>
        <w:pStyle w:val="BodyText"/>
        <w:numPr>
          <w:ilvl w:val="0"/>
          <w:numId w:val="44"/>
        </w:numPr>
      </w:pPr>
      <w:proofErr w:type="gramStart"/>
      <w:r>
        <w:t>potential</w:t>
      </w:r>
      <w:proofErr w:type="gramEnd"/>
      <w:r>
        <w:t xml:space="preserve"> removal of duplication in the Law</w:t>
      </w:r>
      <w:r w:rsidR="00B35DC2">
        <w:t xml:space="preserve"> </w:t>
      </w:r>
      <w:r w:rsidR="003F20C0">
        <w:t xml:space="preserve">(see section </w:t>
      </w:r>
      <w:r w:rsidR="003F20C0">
        <w:fldChar w:fldCharType="begin"/>
      </w:r>
      <w:r w:rsidR="003F20C0">
        <w:instrText xml:space="preserve"> REF _Ref47509592 \r \h </w:instrText>
      </w:r>
      <w:r w:rsidR="003F20C0">
        <w:fldChar w:fldCharType="separate"/>
      </w:r>
      <w:r w:rsidR="00844010">
        <w:t>13</w:t>
      </w:r>
      <w:r w:rsidR="003F20C0">
        <w:fldChar w:fldCharType="end"/>
      </w:r>
      <w:r w:rsidR="003F20C0">
        <w:t>)</w:t>
      </w:r>
      <w:r>
        <w:t xml:space="preserve">. </w:t>
      </w:r>
      <w:r w:rsidR="008033E2">
        <w:t xml:space="preserve"> </w:t>
      </w:r>
      <w:r w:rsidR="008B4C37" w:rsidRPr="004B6797">
        <w:t xml:space="preserve"> </w:t>
      </w:r>
    </w:p>
    <w:p w14:paraId="4D186FD2" w14:textId="24E30B8B" w:rsidR="0077032D" w:rsidRPr="00D40BD3" w:rsidRDefault="0077032D" w:rsidP="0077032D">
      <w:pPr>
        <w:pStyle w:val="BodyText"/>
      </w:pPr>
      <w:r w:rsidRPr="008033E2">
        <w:t xml:space="preserve">The closing date for submissions is </w:t>
      </w:r>
      <w:r w:rsidRPr="00D40BD3">
        <w:rPr>
          <w:b/>
        </w:rPr>
        <w:t xml:space="preserve">5pm (AEST) </w:t>
      </w:r>
      <w:r w:rsidRPr="00C4058D">
        <w:rPr>
          <w:b/>
        </w:rPr>
        <w:t xml:space="preserve">on </w:t>
      </w:r>
      <w:r w:rsidR="00C4058D" w:rsidRPr="00C4058D">
        <w:rPr>
          <w:b/>
        </w:rPr>
        <w:t>17</w:t>
      </w:r>
      <w:r w:rsidR="00F3592E" w:rsidRPr="00C4058D">
        <w:rPr>
          <w:b/>
        </w:rPr>
        <w:t xml:space="preserve"> </w:t>
      </w:r>
      <w:r w:rsidR="00A04682" w:rsidRPr="00C4058D">
        <w:rPr>
          <w:b/>
        </w:rPr>
        <w:t xml:space="preserve">December </w:t>
      </w:r>
      <w:r w:rsidRPr="00C4058D">
        <w:rPr>
          <w:b/>
        </w:rPr>
        <w:t>20</w:t>
      </w:r>
      <w:r w:rsidR="008033E2" w:rsidRPr="00C4058D">
        <w:rPr>
          <w:b/>
        </w:rPr>
        <w:t>20</w:t>
      </w:r>
      <w:r w:rsidRPr="00C4058D">
        <w:rPr>
          <w:b/>
        </w:rPr>
        <w:t>.</w:t>
      </w:r>
      <w:r w:rsidRPr="00D40BD3">
        <w:t xml:space="preserve"> </w:t>
      </w:r>
    </w:p>
    <w:p w14:paraId="3D86B58A" w14:textId="46D06D7F" w:rsidR="0077032D" w:rsidRPr="008033E2" w:rsidRDefault="0077032D" w:rsidP="0077032D">
      <w:pPr>
        <w:pStyle w:val="BodyText"/>
        <w:rPr>
          <w:rFonts w:cs="Arial"/>
        </w:rPr>
      </w:pPr>
      <w:r w:rsidRPr="008033E2">
        <w:rPr>
          <w:rFonts w:cs="Arial"/>
        </w:rPr>
        <w:t xml:space="preserve">Submissions should be sent via email to </w:t>
      </w:r>
      <w:hyperlink r:id="rId22" w:history="1">
        <w:r w:rsidR="00107827" w:rsidRPr="00937A56">
          <w:rPr>
            <w:rStyle w:val="Hyperlink"/>
            <w:rFonts w:eastAsiaTheme="majorEastAsia" w:cs="Arial"/>
          </w:rPr>
          <w:t>gas@industry.gov.au</w:t>
        </w:r>
      </w:hyperlink>
      <w:r w:rsidRPr="008033E2">
        <w:rPr>
          <w:rFonts w:cs="Arial"/>
        </w:rPr>
        <w:t>. Submissions should include the subject; “</w:t>
      </w:r>
      <w:r w:rsidR="00C4058D" w:rsidRPr="008033E2">
        <w:rPr>
          <w:rFonts w:cs="Arial"/>
        </w:rPr>
        <w:t xml:space="preserve">Gas </w:t>
      </w:r>
      <w:r w:rsidR="00C4058D">
        <w:rPr>
          <w:rFonts w:cs="Arial"/>
        </w:rPr>
        <w:t>t</w:t>
      </w:r>
      <w:r w:rsidR="00C4058D" w:rsidRPr="008033E2">
        <w:rPr>
          <w:rFonts w:cs="Arial"/>
        </w:rPr>
        <w:t>ransparency</w:t>
      </w:r>
      <w:r w:rsidR="00C4058D">
        <w:rPr>
          <w:rFonts w:cs="Arial"/>
        </w:rPr>
        <w:t xml:space="preserve"> regulatory reforms</w:t>
      </w:r>
      <w:r w:rsidRPr="008033E2">
        <w:rPr>
          <w:rFonts w:cs="Arial"/>
        </w:rPr>
        <w:t>”.</w:t>
      </w:r>
    </w:p>
    <w:p w14:paraId="73EF3856" w14:textId="47A1FBEA" w:rsidR="0077032D" w:rsidRPr="00FE6105" w:rsidRDefault="00C4058D" w:rsidP="0077032D">
      <w:pPr>
        <w:pStyle w:val="BodyText"/>
      </w:pPr>
      <w:r w:rsidRPr="0046162D">
        <w:t>Submissions will be published on the Energy Ministers</w:t>
      </w:r>
      <w:r>
        <w:t>’</w:t>
      </w:r>
      <w:r w:rsidRPr="0046162D">
        <w:t xml:space="preserve"> website, as will the names of stakeholders who made submissions. If you </w:t>
      </w:r>
      <w:r>
        <w:t xml:space="preserve">would prefer </w:t>
      </w:r>
      <w:r w:rsidRPr="0046162D">
        <w:t xml:space="preserve">your submission </w:t>
      </w:r>
      <w:r>
        <w:t>to remain confidential</w:t>
      </w:r>
      <w:r w:rsidRPr="0046162D">
        <w:t xml:space="preserve">, please </w:t>
      </w:r>
      <w:proofErr w:type="gramStart"/>
      <w:r w:rsidRPr="0046162D">
        <w:t>advise</w:t>
      </w:r>
      <w:proofErr w:type="gramEnd"/>
      <w:r w:rsidRPr="0046162D">
        <w:t xml:space="preserve"> in the covering email that the submission is to be treated as confidential</w:t>
      </w:r>
      <w:r w:rsidR="0077032D" w:rsidRPr="0046162D">
        <w:t>.</w:t>
      </w:r>
      <w:bookmarkStart w:id="36" w:name="_GoBack"/>
      <w:bookmarkEnd w:id="36"/>
    </w:p>
    <w:p w14:paraId="3B5126D7" w14:textId="77777777" w:rsidR="0077032D" w:rsidRDefault="0077032D" w:rsidP="0077032D">
      <w:pPr>
        <w:pStyle w:val="Heading2"/>
      </w:pPr>
      <w:bookmarkStart w:id="37" w:name="_Toc40978089"/>
      <w:bookmarkStart w:id="38" w:name="_Toc40978643"/>
      <w:bookmarkStart w:id="39" w:name="_Toc45015258"/>
      <w:bookmarkEnd w:id="37"/>
      <w:bookmarkEnd w:id="38"/>
      <w:r>
        <w:t>Next Steps</w:t>
      </w:r>
      <w:bookmarkEnd w:id="39"/>
    </w:p>
    <w:p w14:paraId="334BD9A7" w14:textId="77777777" w:rsidR="0077032D" w:rsidRPr="00120470" w:rsidRDefault="0077032D" w:rsidP="0077032D">
      <w:pPr>
        <w:pStyle w:val="BodyText"/>
      </w:pPr>
      <w:r w:rsidRPr="00120470">
        <w:t>Feedbac</w:t>
      </w:r>
      <w:r w:rsidR="00120470" w:rsidRPr="00120470">
        <w:t>k received in response to this legal p</w:t>
      </w:r>
      <w:r w:rsidRPr="00120470">
        <w:t xml:space="preserve">ackage on Measures to Improve Transparency in the Gas Market will inform the final </w:t>
      </w:r>
      <w:r w:rsidR="007740DB">
        <w:t>a</w:t>
      </w:r>
      <w:r w:rsidRPr="00120470">
        <w:t>mendments</w:t>
      </w:r>
      <w:r w:rsidR="007740DB">
        <w:t xml:space="preserve"> to the Law, Regulations and Rules</w:t>
      </w:r>
      <w:r w:rsidRPr="00120470">
        <w:t xml:space="preserve"> that will be submitted to </w:t>
      </w:r>
      <w:r w:rsidR="00BA7074">
        <w:t xml:space="preserve">Energy Ministers </w:t>
      </w:r>
      <w:r w:rsidRPr="00120470">
        <w:t xml:space="preserve">for endorsement. </w:t>
      </w:r>
    </w:p>
    <w:p w14:paraId="7FE9A372" w14:textId="77777777" w:rsidR="007740DB" w:rsidRPr="003048CA" w:rsidRDefault="00120470" w:rsidP="00D40BD3">
      <w:pPr>
        <w:pStyle w:val="BodyText"/>
      </w:pPr>
      <w:r w:rsidRPr="00CA4879">
        <w:t xml:space="preserve">If the package is approved, </w:t>
      </w:r>
      <w:r w:rsidR="007740DB">
        <w:t xml:space="preserve">the </w:t>
      </w:r>
      <w:r w:rsidRPr="00CA4879">
        <w:t>legislative changes will be progressed through</w:t>
      </w:r>
      <w:r w:rsidR="007740DB">
        <w:t xml:space="preserve"> </w:t>
      </w:r>
      <w:r w:rsidRPr="003048CA">
        <w:t xml:space="preserve">the South Australian Parliament. As an applied law regime, the amendments made to the </w:t>
      </w:r>
      <w:r w:rsidR="008707CD">
        <w:t>Law</w:t>
      </w:r>
      <w:r w:rsidRPr="003048CA">
        <w:t xml:space="preserve"> in South Australia will flow through to all jurisdictions that have applied the </w:t>
      </w:r>
      <w:r w:rsidR="008707CD">
        <w:t>Law</w:t>
      </w:r>
      <w:r w:rsidRPr="003048CA">
        <w:t xml:space="preserve"> as the law of that jurisdiction. </w:t>
      </w:r>
      <w:r w:rsidR="007740DB">
        <w:t>Changes to the Rules will be made as Minister-made rules when the legislative changes come into effect.</w:t>
      </w:r>
    </w:p>
    <w:p w14:paraId="41304D11" w14:textId="77777777" w:rsidR="00795A82" w:rsidRDefault="00795A82" w:rsidP="00795A82">
      <w:pPr>
        <w:pStyle w:val="BodyText"/>
      </w:pPr>
      <w:r>
        <w:t>Subject to the completion of the SA legislative amendment process, the transparency measures are expected to take effect in phases</w:t>
      </w:r>
      <w:r w:rsidR="006A62F9">
        <w:t xml:space="preserve"> with current anticipated dates as follows</w:t>
      </w:r>
      <w:r>
        <w:t xml:space="preserve">: </w:t>
      </w:r>
    </w:p>
    <w:p w14:paraId="75095A5E" w14:textId="77777777" w:rsidR="00795A82" w:rsidRDefault="00795A82" w:rsidP="00795A82">
      <w:pPr>
        <w:pStyle w:val="ListBullet"/>
      </w:pPr>
      <w:r>
        <w:t>2021 for the Natural Gas Services Bulletin Board (</w:t>
      </w:r>
      <w:r w:rsidRPr="00B27579">
        <w:rPr>
          <w:b/>
          <w:bCs/>
        </w:rPr>
        <w:t>BB</w:t>
      </w:r>
      <w:r>
        <w:t>) reporting obligations;</w:t>
      </w:r>
    </w:p>
    <w:p w14:paraId="02DCB626" w14:textId="77777777" w:rsidR="00795A82" w:rsidRDefault="00795A82" w:rsidP="00795A82">
      <w:pPr>
        <w:pStyle w:val="ListBullet"/>
      </w:pPr>
      <w:r>
        <w:t>the latter half of 2021 for the Gas Statement of Opportunities (</w:t>
      </w:r>
      <w:r w:rsidRPr="00B27579">
        <w:rPr>
          <w:b/>
          <w:bCs/>
        </w:rPr>
        <w:t>GSOO</w:t>
      </w:r>
      <w:r>
        <w:t>) reporting, which the Australian Energy Market Operator (</w:t>
      </w:r>
      <w:r w:rsidRPr="00B27579">
        <w:rPr>
          <w:b/>
          <w:bCs/>
        </w:rPr>
        <w:t>AEMO</w:t>
      </w:r>
      <w:r>
        <w:t>) will use when preparing the 2022 GSOO; and</w:t>
      </w:r>
    </w:p>
    <w:p w14:paraId="684475CB" w14:textId="77777777" w:rsidR="00120470" w:rsidRPr="003048CA" w:rsidRDefault="00795A82" w:rsidP="007740DB">
      <w:pPr>
        <w:pStyle w:val="ListBullet"/>
      </w:pPr>
      <w:proofErr w:type="gramStart"/>
      <w:r>
        <w:t>as</w:t>
      </w:r>
      <w:proofErr w:type="gramEnd"/>
      <w:r>
        <w:t xml:space="preserve"> soon </w:t>
      </w:r>
      <w:r w:rsidRPr="007740DB">
        <w:rPr>
          <w:szCs w:val="18"/>
        </w:rPr>
        <w:t>as practicable following the conclusion of the ACCC’s Gas Inquiry (currently scheduled for 2025) for the Australian Energy Regulator’s (</w:t>
      </w:r>
      <w:r w:rsidRPr="007740DB">
        <w:rPr>
          <w:b/>
          <w:bCs/>
          <w:szCs w:val="18"/>
        </w:rPr>
        <w:t>AER</w:t>
      </w:r>
      <w:r w:rsidRPr="007740DB">
        <w:rPr>
          <w:szCs w:val="18"/>
        </w:rPr>
        <w:t>) new price reporting functions.</w:t>
      </w:r>
    </w:p>
    <w:p w14:paraId="2567CA1C" w14:textId="77777777" w:rsidR="00FF4E7D" w:rsidRDefault="00245A01" w:rsidP="00FF4E7D">
      <w:pPr>
        <w:pStyle w:val="Heading2"/>
      </w:pPr>
      <w:bookmarkStart w:id="40" w:name="_Toc40978091"/>
      <w:bookmarkStart w:id="41" w:name="_Toc40978645"/>
      <w:bookmarkStart w:id="42" w:name="_Toc45015259"/>
      <w:bookmarkEnd w:id="40"/>
      <w:bookmarkEnd w:id="41"/>
      <w:r>
        <w:lastRenderedPageBreak/>
        <w:t>Overview of this guide</w:t>
      </w:r>
      <w:bookmarkEnd w:id="42"/>
    </w:p>
    <w:p w14:paraId="19C16B17" w14:textId="77777777" w:rsidR="00FF4E7D" w:rsidRDefault="00FF4E7D" w:rsidP="00FF4E7D">
      <w:pPr>
        <w:pStyle w:val="BodyText"/>
      </w:pPr>
      <w:r>
        <w:t xml:space="preserve">This document provides a guide to the package of </w:t>
      </w:r>
      <w:r w:rsidR="00E04D23">
        <w:t xml:space="preserve">proposed changes to the Law, Regulations and Rules </w:t>
      </w:r>
      <w:r w:rsidR="00245A01">
        <w:t xml:space="preserve">in </w:t>
      </w:r>
      <w:r w:rsidR="005406E1">
        <w:t xml:space="preserve">Attachments </w:t>
      </w:r>
      <w:r w:rsidR="007740DB">
        <w:t>A</w:t>
      </w:r>
      <w:r w:rsidR="00245A01">
        <w:t xml:space="preserve">1 to </w:t>
      </w:r>
      <w:r w:rsidR="007740DB">
        <w:t>A</w:t>
      </w:r>
      <w:r w:rsidR="00245A01">
        <w:t>3</w:t>
      </w:r>
      <w:r w:rsidR="00DE42B4">
        <w:t>:</w:t>
      </w:r>
      <w:r w:rsidR="00DE42B4">
        <w:rPr>
          <w:rStyle w:val="FootnoteReference"/>
        </w:rPr>
        <w:footnoteReference w:id="4"/>
      </w:r>
    </w:p>
    <w:p w14:paraId="2C361FCF" w14:textId="77777777" w:rsidR="00D41681" w:rsidRDefault="00B85706" w:rsidP="009A095B">
      <w:pPr>
        <w:pStyle w:val="ListBullet"/>
      </w:pPr>
      <w:r w:rsidRPr="00D41681">
        <w:rPr>
          <w:b/>
        </w:rPr>
        <w:t>Section </w:t>
      </w:r>
      <w:r w:rsidR="00D41681">
        <w:rPr>
          <w:b/>
        </w:rPr>
        <w:fldChar w:fldCharType="begin"/>
      </w:r>
      <w:r w:rsidR="00D41681">
        <w:rPr>
          <w:b/>
        </w:rPr>
        <w:instrText xml:space="preserve"> REF _Ref36545950 \w \h </w:instrText>
      </w:r>
      <w:r w:rsidR="009A095B">
        <w:rPr>
          <w:b/>
        </w:rPr>
        <w:instrText xml:space="preserve"> \* MERGEFORMAT </w:instrText>
      </w:r>
      <w:r w:rsidR="00D41681">
        <w:rPr>
          <w:b/>
        </w:rPr>
      </w:r>
      <w:r w:rsidR="00D41681">
        <w:rPr>
          <w:b/>
        </w:rPr>
        <w:fldChar w:fldCharType="separate"/>
      </w:r>
      <w:r w:rsidR="00844010">
        <w:rPr>
          <w:b/>
        </w:rPr>
        <w:t>2</w:t>
      </w:r>
      <w:r w:rsidR="00D41681">
        <w:rPr>
          <w:b/>
        </w:rPr>
        <w:fldChar w:fldCharType="end"/>
      </w:r>
      <w:r w:rsidR="00245A01">
        <w:t xml:space="preserve"> sets out the measures </w:t>
      </w:r>
      <w:r w:rsidR="00440252">
        <w:t xml:space="preserve">contained in the </w:t>
      </w:r>
      <w:r w:rsidR="00245A01">
        <w:t>endorsed</w:t>
      </w:r>
      <w:r w:rsidR="00440252">
        <w:t xml:space="preserve"> option</w:t>
      </w:r>
      <w:r w:rsidR="000300AA">
        <w:t>.</w:t>
      </w:r>
    </w:p>
    <w:p w14:paraId="336F027F" w14:textId="77777777" w:rsidR="007740DB" w:rsidRPr="007740DB" w:rsidRDefault="00D41681" w:rsidP="009A095B">
      <w:pPr>
        <w:pStyle w:val="ListBullet"/>
        <w:rPr>
          <w:b/>
        </w:rPr>
      </w:pPr>
      <w:r w:rsidRPr="00D41681">
        <w:rPr>
          <w:b/>
        </w:rPr>
        <w:t>Section </w:t>
      </w:r>
      <w:r>
        <w:rPr>
          <w:b/>
        </w:rPr>
        <w:fldChar w:fldCharType="begin"/>
      </w:r>
      <w:r>
        <w:rPr>
          <w:b/>
        </w:rPr>
        <w:instrText xml:space="preserve"> REF _Ref36545110 \w \h </w:instrText>
      </w:r>
      <w:r w:rsidR="009A095B">
        <w:rPr>
          <w:b/>
        </w:rPr>
        <w:instrText xml:space="preserve"> \* MERGEFORMAT </w:instrText>
      </w:r>
      <w:r>
        <w:rPr>
          <w:b/>
        </w:rPr>
      </w:r>
      <w:r>
        <w:rPr>
          <w:b/>
        </w:rPr>
        <w:fldChar w:fldCharType="separate"/>
      </w:r>
      <w:r w:rsidR="00844010">
        <w:rPr>
          <w:b/>
        </w:rPr>
        <w:t>3</w:t>
      </w:r>
      <w:r>
        <w:rPr>
          <w:b/>
        </w:rPr>
        <w:fldChar w:fldCharType="end"/>
      </w:r>
      <w:r>
        <w:t xml:space="preserve"> describes </w:t>
      </w:r>
      <w:r w:rsidR="00245A01">
        <w:t xml:space="preserve">the </w:t>
      </w:r>
      <w:r>
        <w:t xml:space="preserve">current </w:t>
      </w:r>
      <w:r w:rsidR="00245A01">
        <w:t xml:space="preserve">legislative and regulatory </w:t>
      </w:r>
      <w:r w:rsidR="00B85706">
        <w:t>framework and</w:t>
      </w:r>
      <w:r>
        <w:t xml:space="preserve"> </w:t>
      </w:r>
      <w:r w:rsidR="00E04D23">
        <w:t>includes</w:t>
      </w:r>
      <w:r>
        <w:t xml:space="preserve"> an overview of</w:t>
      </w:r>
      <w:r w:rsidR="00B85706">
        <w:t xml:space="preserve"> the changes that need to be made to implement </w:t>
      </w:r>
      <w:r w:rsidR="00440252">
        <w:t>the endorsed option</w:t>
      </w:r>
      <w:r w:rsidR="000300AA">
        <w:t>.</w:t>
      </w:r>
    </w:p>
    <w:p w14:paraId="44BF81C0" w14:textId="77777777" w:rsidR="00B85706" w:rsidRDefault="00B85706" w:rsidP="009A095B">
      <w:pPr>
        <w:pStyle w:val="ListBullet"/>
      </w:pPr>
      <w:r w:rsidRPr="00D41681">
        <w:rPr>
          <w:b/>
        </w:rPr>
        <w:t>Section </w:t>
      </w:r>
      <w:r w:rsidRPr="00D41681">
        <w:rPr>
          <w:b/>
        </w:rPr>
        <w:fldChar w:fldCharType="begin"/>
      </w:r>
      <w:r w:rsidRPr="00D41681">
        <w:rPr>
          <w:b/>
        </w:rPr>
        <w:instrText xml:space="preserve"> REF _Ref36545129 \w \h </w:instrText>
      </w:r>
      <w:r w:rsidR="00D41681">
        <w:rPr>
          <w:b/>
        </w:rPr>
        <w:instrText xml:space="preserve"> \* MERGEFORMAT </w:instrText>
      </w:r>
      <w:r w:rsidRPr="00D41681">
        <w:rPr>
          <w:b/>
        </w:rPr>
      </w:r>
      <w:r w:rsidRPr="00D41681">
        <w:rPr>
          <w:b/>
        </w:rPr>
        <w:fldChar w:fldCharType="separate"/>
      </w:r>
      <w:r w:rsidR="00844010">
        <w:rPr>
          <w:b/>
        </w:rPr>
        <w:t>4</w:t>
      </w:r>
      <w:r w:rsidRPr="00D41681">
        <w:rPr>
          <w:b/>
        </w:rPr>
        <w:fldChar w:fldCharType="end"/>
      </w:r>
      <w:r w:rsidR="00245A01">
        <w:t xml:space="preserve"> describes the proposed changes to the </w:t>
      </w:r>
      <w:r>
        <w:t>Law and the Regulations</w:t>
      </w:r>
      <w:r w:rsidR="000300AA">
        <w:t>.</w:t>
      </w:r>
    </w:p>
    <w:p w14:paraId="01E184C3" w14:textId="77777777" w:rsidR="00245A01" w:rsidRDefault="00B85706" w:rsidP="009A095B">
      <w:pPr>
        <w:pStyle w:val="ListBullet"/>
      </w:pPr>
      <w:r w:rsidRPr="00D41681">
        <w:rPr>
          <w:b/>
        </w:rPr>
        <w:t xml:space="preserve">Sections </w:t>
      </w:r>
      <w:r w:rsidRPr="00D41681">
        <w:rPr>
          <w:b/>
        </w:rPr>
        <w:fldChar w:fldCharType="begin"/>
      </w:r>
      <w:r w:rsidRPr="00D41681">
        <w:rPr>
          <w:b/>
        </w:rPr>
        <w:instrText xml:space="preserve"> REF _Ref36545149 \w \h </w:instrText>
      </w:r>
      <w:r w:rsidR="00D41681">
        <w:rPr>
          <w:b/>
        </w:rPr>
        <w:instrText xml:space="preserve"> \* MERGEFORMAT </w:instrText>
      </w:r>
      <w:r w:rsidRPr="00D41681">
        <w:rPr>
          <w:b/>
        </w:rPr>
      </w:r>
      <w:r w:rsidRPr="00D41681">
        <w:rPr>
          <w:b/>
        </w:rPr>
        <w:fldChar w:fldCharType="separate"/>
      </w:r>
      <w:r w:rsidR="00844010">
        <w:rPr>
          <w:b/>
        </w:rPr>
        <w:t>5</w:t>
      </w:r>
      <w:r w:rsidRPr="00D41681">
        <w:rPr>
          <w:b/>
        </w:rPr>
        <w:fldChar w:fldCharType="end"/>
      </w:r>
      <w:r w:rsidRPr="00D41681">
        <w:rPr>
          <w:b/>
        </w:rPr>
        <w:t xml:space="preserve"> to </w:t>
      </w:r>
      <w:r w:rsidRPr="00D41681">
        <w:rPr>
          <w:b/>
        </w:rPr>
        <w:fldChar w:fldCharType="begin"/>
      </w:r>
      <w:r w:rsidRPr="00D41681">
        <w:rPr>
          <w:b/>
        </w:rPr>
        <w:instrText xml:space="preserve"> REF _Ref36545166 \w \h </w:instrText>
      </w:r>
      <w:r w:rsidR="00D41681">
        <w:rPr>
          <w:b/>
        </w:rPr>
        <w:instrText xml:space="preserve"> \* MERGEFORMAT </w:instrText>
      </w:r>
      <w:r w:rsidRPr="00D41681">
        <w:rPr>
          <w:b/>
        </w:rPr>
      </w:r>
      <w:r w:rsidRPr="00D41681">
        <w:rPr>
          <w:b/>
        </w:rPr>
        <w:fldChar w:fldCharType="separate"/>
      </w:r>
      <w:r w:rsidR="00844010">
        <w:rPr>
          <w:b/>
        </w:rPr>
        <w:t>9</w:t>
      </w:r>
      <w:r w:rsidRPr="00D41681">
        <w:rPr>
          <w:b/>
        </w:rPr>
        <w:fldChar w:fldCharType="end"/>
      </w:r>
      <w:r>
        <w:t xml:space="preserve"> set out each measure in </w:t>
      </w:r>
      <w:r w:rsidR="00440252">
        <w:t>the endorsed option</w:t>
      </w:r>
      <w:r w:rsidR="00E04D23">
        <w:t>, describe the proposed a</w:t>
      </w:r>
      <w:r>
        <w:t>pproac</w:t>
      </w:r>
      <w:r w:rsidR="00E04D23">
        <w:t xml:space="preserve">h to implementation and </w:t>
      </w:r>
      <w:r w:rsidR="008916FF">
        <w:t xml:space="preserve">identify </w:t>
      </w:r>
      <w:r>
        <w:t xml:space="preserve">the key amendments to the Rules </w:t>
      </w:r>
      <w:r w:rsidR="00E04D23">
        <w:t>to</w:t>
      </w:r>
      <w:r>
        <w:t xml:space="preserve"> give effect to the </w:t>
      </w:r>
      <w:r w:rsidR="00E04D23">
        <w:t xml:space="preserve">proposed </w:t>
      </w:r>
      <w:r>
        <w:t>approach</w:t>
      </w:r>
      <w:r w:rsidR="008707CD">
        <w:t>.</w:t>
      </w:r>
    </w:p>
    <w:p w14:paraId="43AED06E" w14:textId="77777777" w:rsidR="007740DB" w:rsidRDefault="00B85706" w:rsidP="003F06EA">
      <w:pPr>
        <w:pStyle w:val="ListBullet"/>
      </w:pPr>
      <w:r w:rsidRPr="003F06EA">
        <w:rPr>
          <w:b/>
        </w:rPr>
        <w:t>Section </w:t>
      </w:r>
      <w:r w:rsidRPr="003F06EA">
        <w:rPr>
          <w:b/>
        </w:rPr>
        <w:fldChar w:fldCharType="begin"/>
      </w:r>
      <w:r w:rsidRPr="003F06EA">
        <w:rPr>
          <w:b/>
        </w:rPr>
        <w:instrText xml:space="preserve"> REF _Ref36545243 \w \h </w:instrText>
      </w:r>
      <w:r w:rsidR="00D41681" w:rsidRPr="003F06EA">
        <w:rPr>
          <w:b/>
        </w:rPr>
        <w:instrText xml:space="preserve"> \* MERGEFORMAT </w:instrText>
      </w:r>
      <w:r w:rsidRPr="003F06EA">
        <w:rPr>
          <w:b/>
        </w:rPr>
      </w:r>
      <w:r w:rsidRPr="003F06EA">
        <w:rPr>
          <w:b/>
        </w:rPr>
        <w:fldChar w:fldCharType="separate"/>
      </w:r>
      <w:r w:rsidR="00844010">
        <w:rPr>
          <w:b/>
        </w:rPr>
        <w:t>10</w:t>
      </w:r>
      <w:r w:rsidRPr="003F06EA">
        <w:rPr>
          <w:b/>
        </w:rPr>
        <w:fldChar w:fldCharType="end"/>
      </w:r>
      <w:r>
        <w:t xml:space="preserve"> describes the proposed transitional arrangements</w:t>
      </w:r>
      <w:r w:rsidR="008707CD">
        <w:t>.</w:t>
      </w:r>
    </w:p>
    <w:p w14:paraId="247EF085" w14:textId="77777777" w:rsidR="003F06EA" w:rsidRDefault="007740DB" w:rsidP="003F06EA">
      <w:pPr>
        <w:pStyle w:val="ListBullet"/>
      </w:pPr>
      <w:r w:rsidRPr="007740DB">
        <w:rPr>
          <w:b/>
        </w:rPr>
        <w:t>Section</w:t>
      </w:r>
      <w:r>
        <w:rPr>
          <w:b/>
        </w:rPr>
        <w:t> </w:t>
      </w:r>
      <w:r>
        <w:rPr>
          <w:b/>
        </w:rPr>
        <w:fldChar w:fldCharType="begin"/>
      </w:r>
      <w:r>
        <w:rPr>
          <w:b/>
        </w:rPr>
        <w:instrText xml:space="preserve"> REF _Ref41655331 \r \h </w:instrText>
      </w:r>
      <w:r>
        <w:rPr>
          <w:b/>
        </w:rPr>
      </w:r>
      <w:r>
        <w:rPr>
          <w:b/>
        </w:rPr>
        <w:fldChar w:fldCharType="separate"/>
      </w:r>
      <w:r w:rsidR="00844010">
        <w:rPr>
          <w:b/>
        </w:rPr>
        <w:t>11</w:t>
      </w:r>
      <w:r>
        <w:rPr>
          <w:b/>
        </w:rPr>
        <w:fldChar w:fldCharType="end"/>
      </w:r>
      <w:r w:rsidRPr="007740DB">
        <w:rPr>
          <w:b/>
        </w:rPr>
        <w:t xml:space="preserve"> </w:t>
      </w:r>
      <w:r>
        <w:t>describes the proposed incidental amendments to the Bulletin Board provisions in Part 18 of the Rules</w:t>
      </w:r>
      <w:r w:rsidR="008707CD">
        <w:t>.</w:t>
      </w:r>
    </w:p>
    <w:p w14:paraId="34DDDFA8" w14:textId="77777777" w:rsidR="00710D14" w:rsidRDefault="00710D14" w:rsidP="003F06EA">
      <w:pPr>
        <w:pStyle w:val="ListBullet"/>
      </w:pPr>
      <w:r>
        <w:rPr>
          <w:b/>
        </w:rPr>
        <w:t>Section </w:t>
      </w:r>
      <w:r>
        <w:rPr>
          <w:b/>
        </w:rPr>
        <w:fldChar w:fldCharType="begin"/>
      </w:r>
      <w:r>
        <w:rPr>
          <w:b/>
        </w:rPr>
        <w:instrText xml:space="preserve"> REF _Ref41656722 \r \h </w:instrText>
      </w:r>
      <w:r>
        <w:rPr>
          <w:b/>
        </w:rPr>
      </w:r>
      <w:r>
        <w:rPr>
          <w:b/>
        </w:rPr>
        <w:fldChar w:fldCharType="separate"/>
      </w:r>
      <w:r w:rsidR="00844010">
        <w:rPr>
          <w:b/>
        </w:rPr>
        <w:t>12</w:t>
      </w:r>
      <w:r>
        <w:rPr>
          <w:b/>
        </w:rPr>
        <w:fldChar w:fldCharType="end"/>
      </w:r>
      <w:r>
        <w:t xml:space="preserve"> </w:t>
      </w:r>
      <w:r w:rsidR="00E61B8B">
        <w:t xml:space="preserve">provides </w:t>
      </w:r>
      <w:r>
        <w:t>a description of the provisions in the Law and the Rules that it is proposed to classify as civil penalty provisions.</w:t>
      </w:r>
    </w:p>
    <w:p w14:paraId="3ED9F27E" w14:textId="2AA2F739" w:rsidR="005A3078" w:rsidRDefault="005A3078" w:rsidP="003F06EA">
      <w:pPr>
        <w:pStyle w:val="ListBullet"/>
      </w:pPr>
      <w:r w:rsidRPr="00AD4D72">
        <w:rPr>
          <w:b/>
        </w:rPr>
        <w:t>Section</w:t>
      </w:r>
      <w:r w:rsidR="008707CD">
        <w:rPr>
          <w:b/>
        </w:rPr>
        <w:t> </w:t>
      </w:r>
      <w:r w:rsidR="008707CD">
        <w:rPr>
          <w:b/>
        </w:rPr>
        <w:fldChar w:fldCharType="begin"/>
      </w:r>
      <w:r w:rsidR="008707CD">
        <w:rPr>
          <w:b/>
        </w:rPr>
        <w:instrText xml:space="preserve"> REF _Ref47421979 \r \h </w:instrText>
      </w:r>
      <w:r w:rsidR="008707CD">
        <w:rPr>
          <w:b/>
        </w:rPr>
      </w:r>
      <w:r w:rsidR="008707CD">
        <w:rPr>
          <w:b/>
        </w:rPr>
        <w:fldChar w:fldCharType="separate"/>
      </w:r>
      <w:r w:rsidR="00844010">
        <w:rPr>
          <w:b/>
        </w:rPr>
        <w:t>13</w:t>
      </w:r>
      <w:r w:rsidR="008707CD">
        <w:rPr>
          <w:b/>
        </w:rPr>
        <w:fldChar w:fldCharType="end"/>
      </w:r>
      <w:r w:rsidRPr="00AD4D72">
        <w:rPr>
          <w:b/>
        </w:rPr>
        <w:t xml:space="preserve"> </w:t>
      </w:r>
      <w:r w:rsidR="00AD4D72">
        <w:t xml:space="preserve">highlights </w:t>
      </w:r>
      <w:r w:rsidR="00F27670">
        <w:t xml:space="preserve">those </w:t>
      </w:r>
      <w:r w:rsidR="00AD4D72">
        <w:t xml:space="preserve">areas of the Law </w:t>
      </w:r>
      <w:r w:rsidR="00F27670">
        <w:t>that would benefit from the removal of some of the duplication that has emerged</w:t>
      </w:r>
      <w:r w:rsidR="00C200E3">
        <w:t xml:space="preserve"> over time</w:t>
      </w:r>
      <w:r w:rsidR="00F27670">
        <w:t>.</w:t>
      </w:r>
    </w:p>
    <w:p w14:paraId="4A38AA08" w14:textId="77777777" w:rsidR="00710D14" w:rsidRDefault="00710D14" w:rsidP="003F06EA">
      <w:pPr>
        <w:pStyle w:val="ListBullet"/>
        <w:sectPr w:rsidR="00710D14" w:rsidSect="00E61B8B">
          <w:headerReference w:type="even" r:id="rId23"/>
          <w:headerReference w:type="default" r:id="rId24"/>
          <w:footerReference w:type="default" r:id="rId25"/>
          <w:headerReference w:type="first" r:id="rId26"/>
          <w:pgSz w:w="11907" w:h="16839" w:code="9"/>
          <w:pgMar w:top="1440" w:right="1440" w:bottom="1440" w:left="1440" w:header="567" w:footer="275" w:gutter="0"/>
          <w:cols w:space="708"/>
          <w:docGrid w:linePitch="360"/>
        </w:sectPr>
      </w:pPr>
    </w:p>
    <w:p w14:paraId="7ADFE213" w14:textId="77777777" w:rsidR="00D41681" w:rsidRPr="00E51706" w:rsidRDefault="00D41681" w:rsidP="00676063">
      <w:pPr>
        <w:pStyle w:val="Heading1"/>
        <w:spacing w:before="0"/>
      </w:pPr>
      <w:bookmarkStart w:id="43" w:name="_Ref36545950"/>
      <w:bookmarkStart w:id="44" w:name="_Toc45015260"/>
      <w:r>
        <w:lastRenderedPageBreak/>
        <w:t xml:space="preserve">Measures </w:t>
      </w:r>
      <w:r w:rsidR="00051834">
        <w:t xml:space="preserve">in the </w:t>
      </w:r>
      <w:r>
        <w:t xml:space="preserve">endorsed </w:t>
      </w:r>
      <w:bookmarkEnd w:id="43"/>
      <w:r w:rsidR="00051834">
        <w:t>option</w:t>
      </w:r>
      <w:bookmarkEnd w:id="44"/>
    </w:p>
    <w:p w14:paraId="79F0E5B0" w14:textId="77777777" w:rsidR="00590C43" w:rsidRPr="00590D55" w:rsidRDefault="00440252" w:rsidP="00795A82">
      <w:pPr>
        <w:pStyle w:val="BodyText"/>
      </w:pPr>
      <w:r>
        <w:t>The endorsed option</w:t>
      </w:r>
      <w:r w:rsidR="00590C43">
        <w:t xml:space="preserve"> </w:t>
      </w:r>
      <w:r w:rsidR="00FD1902">
        <w:t xml:space="preserve">from </w:t>
      </w:r>
      <w:r w:rsidR="00590C43">
        <w:t xml:space="preserve">the </w:t>
      </w:r>
      <w:r w:rsidR="00ED4D4D">
        <w:t>Decision</w:t>
      </w:r>
      <w:r w:rsidR="00F92DC4">
        <w:t xml:space="preserve"> </w:t>
      </w:r>
      <w:r w:rsidR="00BD48CF">
        <w:t xml:space="preserve">RIS </w:t>
      </w:r>
      <w:r w:rsidR="00210650">
        <w:t>is set out in the following table.</w:t>
      </w:r>
      <w:r w:rsidR="00F02B1D">
        <w:t xml:space="preserve"> </w:t>
      </w:r>
    </w:p>
    <w:p w14:paraId="29A89BA2" w14:textId="77777777" w:rsidR="00590D55" w:rsidRDefault="00590D55" w:rsidP="00590D55">
      <w:pPr>
        <w:pStyle w:val="Caption"/>
      </w:pPr>
      <w:r>
        <w:t xml:space="preserve">Table </w:t>
      </w:r>
      <w:r w:rsidR="007740DB">
        <w:rPr>
          <w:noProof/>
        </w:rPr>
        <w:fldChar w:fldCharType="begin"/>
      </w:r>
      <w:r w:rsidR="007740DB">
        <w:rPr>
          <w:noProof/>
        </w:rPr>
        <w:instrText xml:space="preserve"> STYLEREF 1 \s </w:instrText>
      </w:r>
      <w:r w:rsidR="007740DB">
        <w:rPr>
          <w:noProof/>
        </w:rPr>
        <w:fldChar w:fldCharType="separate"/>
      </w:r>
      <w:r w:rsidR="00844010">
        <w:rPr>
          <w:noProof/>
        </w:rPr>
        <w:t>2</w:t>
      </w:r>
      <w:r w:rsidR="007740DB">
        <w:rPr>
          <w:noProof/>
        </w:rPr>
        <w:fldChar w:fldCharType="end"/>
      </w:r>
      <w:r w:rsidR="00187103">
        <w:t>.</w:t>
      </w:r>
      <w:r w:rsidR="007740DB">
        <w:rPr>
          <w:noProof/>
        </w:rPr>
        <w:fldChar w:fldCharType="begin"/>
      </w:r>
      <w:r w:rsidR="007740DB">
        <w:rPr>
          <w:noProof/>
        </w:rPr>
        <w:instrText xml:space="preserve"> SEQ Table \* ARABIC \s 1 </w:instrText>
      </w:r>
      <w:r w:rsidR="007740DB">
        <w:rPr>
          <w:noProof/>
        </w:rPr>
        <w:fldChar w:fldCharType="separate"/>
      </w:r>
      <w:r w:rsidR="00844010">
        <w:rPr>
          <w:noProof/>
        </w:rPr>
        <w:t>1</w:t>
      </w:r>
      <w:r w:rsidR="007740DB">
        <w:rPr>
          <w:noProof/>
        </w:rPr>
        <w:fldChar w:fldCharType="end"/>
      </w:r>
      <w:r>
        <w:t xml:space="preserve">: Decision RIS </w:t>
      </w:r>
      <w:r w:rsidR="00440252">
        <w:t>endorsed option</w:t>
      </w:r>
      <w:r>
        <w:t xml:space="preserve"> </w:t>
      </w:r>
    </w:p>
    <w:tbl>
      <w:tblPr>
        <w:tblStyle w:val="TableGrid91"/>
        <w:tblW w:w="5030" w:type="pct"/>
        <w:tblInd w:w="-5" w:type="dxa"/>
        <w:tblLayout w:type="fixed"/>
        <w:tblLook w:val="0420" w:firstRow="1" w:lastRow="0" w:firstColumn="0" w:lastColumn="0" w:noHBand="0" w:noVBand="1"/>
      </w:tblPr>
      <w:tblGrid>
        <w:gridCol w:w="500"/>
        <w:gridCol w:w="7314"/>
        <w:gridCol w:w="2489"/>
        <w:gridCol w:w="3730"/>
      </w:tblGrid>
      <w:tr w:rsidR="0000405F" w:rsidRPr="008F7003" w14:paraId="2F1A60F4" w14:textId="77777777" w:rsidTr="008F7003">
        <w:trPr>
          <w:cantSplit/>
          <w:tblHeader/>
        </w:trPr>
        <w:tc>
          <w:tcPr>
            <w:tcW w:w="2784" w:type="pct"/>
            <w:gridSpan w:val="2"/>
            <w:tcBorders>
              <w:bottom w:val="single" w:sz="4" w:space="0" w:color="auto"/>
            </w:tcBorders>
            <w:shd w:val="clear" w:color="auto" w:fill="005595"/>
          </w:tcPr>
          <w:p w14:paraId="446751B8" w14:textId="77777777" w:rsidR="0000405F" w:rsidRPr="008F7003" w:rsidRDefault="0000405F" w:rsidP="008F7003">
            <w:pPr>
              <w:tabs>
                <w:tab w:val="left" w:pos="2268"/>
                <w:tab w:val="left" w:pos="4536"/>
                <w:tab w:val="left" w:pos="6804"/>
                <w:tab w:val="right" w:pos="9638"/>
              </w:tabs>
              <w:spacing w:before="40" w:after="20"/>
              <w:ind w:left="85" w:right="85"/>
              <w:rPr>
                <w:rFonts w:cs="Arial"/>
                <w:b/>
                <w:bCs/>
                <w:color w:val="FFFFFF"/>
                <w:sz w:val="17"/>
                <w:szCs w:val="17"/>
              </w:rPr>
            </w:pPr>
            <w:r w:rsidRPr="008F7003">
              <w:rPr>
                <w:rFonts w:cs="Arial"/>
                <w:b/>
                <w:bCs/>
                <w:color w:val="FFFFFF"/>
                <w:sz w:val="17"/>
                <w:szCs w:val="17"/>
              </w:rPr>
              <w:t>What information is to be provided?</w:t>
            </w:r>
          </w:p>
        </w:tc>
        <w:tc>
          <w:tcPr>
            <w:tcW w:w="887" w:type="pct"/>
            <w:tcBorders>
              <w:bottom w:val="single" w:sz="4" w:space="0" w:color="auto"/>
            </w:tcBorders>
            <w:shd w:val="clear" w:color="auto" w:fill="005595"/>
          </w:tcPr>
          <w:p w14:paraId="4AB6DEB4" w14:textId="77777777" w:rsidR="0000405F" w:rsidRPr="008F7003" w:rsidRDefault="0000405F" w:rsidP="008F7003">
            <w:pPr>
              <w:tabs>
                <w:tab w:val="left" w:pos="2268"/>
                <w:tab w:val="left" w:pos="4536"/>
                <w:tab w:val="left" w:pos="6804"/>
                <w:tab w:val="right" w:pos="9638"/>
              </w:tabs>
              <w:spacing w:before="40" w:after="20"/>
              <w:ind w:left="85" w:right="85"/>
              <w:rPr>
                <w:rFonts w:cs="Arial"/>
                <w:b/>
                <w:bCs/>
                <w:color w:val="FFFFFF"/>
                <w:sz w:val="17"/>
                <w:szCs w:val="17"/>
              </w:rPr>
            </w:pPr>
            <w:r w:rsidRPr="008F7003">
              <w:rPr>
                <w:rFonts w:cs="Arial"/>
                <w:b/>
                <w:bCs/>
                <w:color w:val="FFFFFF"/>
                <w:sz w:val="17"/>
                <w:szCs w:val="17"/>
              </w:rPr>
              <w:t>Where will information be available?</w:t>
            </w:r>
            <w:r w:rsidRPr="008F7003" w:rsidDel="00DF7064">
              <w:rPr>
                <w:rFonts w:cs="Arial"/>
                <w:b/>
                <w:bCs/>
                <w:color w:val="FFFFFF"/>
                <w:sz w:val="17"/>
                <w:szCs w:val="17"/>
              </w:rPr>
              <w:t xml:space="preserve"> </w:t>
            </w:r>
          </w:p>
        </w:tc>
        <w:tc>
          <w:tcPr>
            <w:tcW w:w="1329" w:type="pct"/>
            <w:tcBorders>
              <w:bottom w:val="single" w:sz="4" w:space="0" w:color="auto"/>
            </w:tcBorders>
            <w:shd w:val="clear" w:color="auto" w:fill="005595"/>
          </w:tcPr>
          <w:p w14:paraId="648A7794" w14:textId="77777777" w:rsidR="0000405F" w:rsidRPr="008F7003" w:rsidRDefault="0000405F" w:rsidP="008F7003">
            <w:pPr>
              <w:tabs>
                <w:tab w:val="left" w:pos="2268"/>
                <w:tab w:val="left" w:pos="4536"/>
                <w:tab w:val="left" w:pos="6804"/>
                <w:tab w:val="right" w:pos="9638"/>
              </w:tabs>
              <w:spacing w:before="40" w:after="20"/>
              <w:ind w:left="85" w:right="85"/>
              <w:rPr>
                <w:rFonts w:cs="Arial"/>
                <w:b/>
                <w:bCs/>
                <w:color w:val="FFFFFF"/>
                <w:sz w:val="17"/>
                <w:szCs w:val="17"/>
              </w:rPr>
            </w:pPr>
            <w:r w:rsidRPr="008F7003">
              <w:rPr>
                <w:rFonts w:cs="Arial"/>
                <w:b/>
                <w:bCs/>
                <w:color w:val="FFFFFF"/>
                <w:sz w:val="17"/>
                <w:szCs w:val="17"/>
              </w:rPr>
              <w:t>Reporting frequency</w:t>
            </w:r>
          </w:p>
        </w:tc>
      </w:tr>
      <w:tr w:rsidR="0000405F" w:rsidRPr="008F7003" w14:paraId="6BB74B9B" w14:textId="77777777" w:rsidTr="008F7003">
        <w:trPr>
          <w:cantSplit/>
          <w:trHeight w:val="201"/>
        </w:trPr>
        <w:tc>
          <w:tcPr>
            <w:tcW w:w="178" w:type="pct"/>
            <w:vMerge w:val="restart"/>
            <w:shd w:val="clear" w:color="auto" w:fill="auto"/>
            <w:textDirection w:val="btLr"/>
          </w:tcPr>
          <w:p w14:paraId="2206319B" w14:textId="77777777" w:rsidR="0000405F" w:rsidRPr="008F7003" w:rsidRDefault="0000405F" w:rsidP="008F7003">
            <w:pPr>
              <w:spacing w:before="40" w:after="20"/>
              <w:ind w:left="720"/>
              <w:contextualSpacing/>
              <w:jc w:val="center"/>
              <w:rPr>
                <w:rFonts w:cs="Arial"/>
                <w:b/>
                <w:sz w:val="17"/>
                <w:szCs w:val="17"/>
              </w:rPr>
            </w:pPr>
            <w:r w:rsidRPr="008F7003">
              <w:rPr>
                <w:rFonts w:cs="Arial"/>
                <w:b/>
                <w:sz w:val="17"/>
                <w:szCs w:val="17"/>
              </w:rPr>
              <w:t>Gas, LNG and infrastructure prices</w:t>
            </w:r>
          </w:p>
        </w:tc>
        <w:tc>
          <w:tcPr>
            <w:tcW w:w="2606" w:type="pct"/>
            <w:shd w:val="clear" w:color="auto" w:fill="auto"/>
          </w:tcPr>
          <w:p w14:paraId="62A9CD4A" w14:textId="77777777" w:rsidR="0000405F" w:rsidRPr="008F7003" w:rsidRDefault="0000405F" w:rsidP="008F7003">
            <w:pPr>
              <w:pStyle w:val="TableBodyText"/>
              <w:spacing w:before="40" w:after="20"/>
              <w:rPr>
                <w:sz w:val="17"/>
                <w:szCs w:val="17"/>
              </w:rPr>
            </w:pPr>
            <w:r w:rsidRPr="008F7003">
              <w:rPr>
                <w:sz w:val="17"/>
                <w:szCs w:val="17"/>
              </w:rPr>
              <w:t xml:space="preserve">Production cost estimates. </w:t>
            </w:r>
          </w:p>
        </w:tc>
        <w:tc>
          <w:tcPr>
            <w:tcW w:w="887" w:type="pct"/>
          </w:tcPr>
          <w:p w14:paraId="273582C0" w14:textId="77777777" w:rsidR="0000405F" w:rsidRPr="008F7003" w:rsidRDefault="0000405F" w:rsidP="008F7003">
            <w:pPr>
              <w:pStyle w:val="TableBodyText"/>
              <w:spacing w:before="40" w:after="20"/>
              <w:rPr>
                <w:sz w:val="17"/>
                <w:szCs w:val="17"/>
              </w:rPr>
            </w:pPr>
            <w:r w:rsidRPr="008F7003">
              <w:rPr>
                <w:sz w:val="17"/>
                <w:szCs w:val="17"/>
              </w:rPr>
              <w:t>GSOO</w:t>
            </w:r>
          </w:p>
        </w:tc>
        <w:tc>
          <w:tcPr>
            <w:tcW w:w="1329" w:type="pct"/>
          </w:tcPr>
          <w:p w14:paraId="4AE5C4AF" w14:textId="77777777" w:rsidR="0000405F" w:rsidRPr="008F7003" w:rsidRDefault="0000405F" w:rsidP="008F7003">
            <w:pPr>
              <w:pStyle w:val="TableBodyText"/>
              <w:spacing w:before="40" w:after="20"/>
              <w:ind w:left="0"/>
              <w:rPr>
                <w:sz w:val="17"/>
                <w:szCs w:val="17"/>
              </w:rPr>
            </w:pPr>
            <w:r w:rsidRPr="008F7003">
              <w:rPr>
                <w:sz w:val="17"/>
                <w:szCs w:val="17"/>
              </w:rPr>
              <w:t xml:space="preserve">Annually </w:t>
            </w:r>
          </w:p>
        </w:tc>
      </w:tr>
      <w:tr w:rsidR="00A05C23" w:rsidRPr="008F7003" w14:paraId="6DC49731" w14:textId="77777777" w:rsidTr="008F7003">
        <w:trPr>
          <w:cantSplit/>
          <w:trHeight w:val="233"/>
        </w:trPr>
        <w:tc>
          <w:tcPr>
            <w:tcW w:w="178" w:type="pct"/>
            <w:vMerge/>
            <w:shd w:val="clear" w:color="auto" w:fill="auto"/>
            <w:textDirection w:val="btLr"/>
          </w:tcPr>
          <w:p w14:paraId="71DC77EF" w14:textId="77777777" w:rsidR="00A05C23" w:rsidRPr="008F7003" w:rsidRDefault="00A05C23" w:rsidP="008F7003">
            <w:pPr>
              <w:spacing w:before="40" w:after="20"/>
              <w:ind w:left="720"/>
              <w:contextualSpacing/>
              <w:rPr>
                <w:rFonts w:cs="Arial"/>
                <w:b/>
                <w:sz w:val="17"/>
                <w:szCs w:val="17"/>
              </w:rPr>
            </w:pPr>
          </w:p>
        </w:tc>
        <w:tc>
          <w:tcPr>
            <w:tcW w:w="2606" w:type="pct"/>
            <w:shd w:val="clear" w:color="auto" w:fill="auto"/>
          </w:tcPr>
          <w:p w14:paraId="31F20B21" w14:textId="77777777" w:rsidR="00A05C23" w:rsidRPr="008F7003" w:rsidRDefault="00A05C23" w:rsidP="008F7003">
            <w:pPr>
              <w:pStyle w:val="TableBodyText"/>
              <w:spacing w:before="40" w:after="20"/>
              <w:rPr>
                <w:sz w:val="17"/>
                <w:szCs w:val="17"/>
              </w:rPr>
            </w:pPr>
            <w:r w:rsidRPr="008F7003">
              <w:rPr>
                <w:sz w:val="17"/>
                <w:szCs w:val="17"/>
              </w:rPr>
              <w:t xml:space="preserve">Sellers under </w:t>
            </w:r>
            <w:r w:rsidR="005406E1">
              <w:rPr>
                <w:sz w:val="17"/>
                <w:szCs w:val="17"/>
              </w:rPr>
              <w:t>short term</w:t>
            </w:r>
            <w:r w:rsidRPr="008F7003">
              <w:rPr>
                <w:sz w:val="17"/>
                <w:szCs w:val="17"/>
              </w:rPr>
              <w:t xml:space="preserve"> gas supply agreements (contract term of 12 months or less) to report the prices and key terms.</w:t>
            </w:r>
            <w:r w:rsidRPr="008F7003">
              <w:rPr>
                <w:sz w:val="17"/>
                <w:szCs w:val="17"/>
                <w:vertAlign w:val="superscript"/>
              </w:rPr>
              <w:t>1</w:t>
            </w:r>
            <w:r w:rsidRPr="008F7003">
              <w:rPr>
                <w:sz w:val="17"/>
                <w:szCs w:val="17"/>
              </w:rPr>
              <w:t xml:space="preserve"> </w:t>
            </w:r>
          </w:p>
        </w:tc>
        <w:tc>
          <w:tcPr>
            <w:tcW w:w="887" w:type="pct"/>
          </w:tcPr>
          <w:p w14:paraId="2DA1BBD8" w14:textId="77777777" w:rsidR="00A05C23" w:rsidRPr="008F7003" w:rsidRDefault="00A05C23" w:rsidP="008F7003">
            <w:pPr>
              <w:pStyle w:val="TableBodyText"/>
              <w:spacing w:before="40" w:after="20"/>
              <w:rPr>
                <w:sz w:val="17"/>
                <w:szCs w:val="17"/>
              </w:rPr>
            </w:pPr>
            <w:r w:rsidRPr="008F7003">
              <w:rPr>
                <w:sz w:val="17"/>
                <w:szCs w:val="17"/>
              </w:rPr>
              <w:t xml:space="preserve">BB </w:t>
            </w:r>
          </w:p>
        </w:tc>
        <w:tc>
          <w:tcPr>
            <w:tcW w:w="1329" w:type="pct"/>
            <w:vMerge w:val="restart"/>
          </w:tcPr>
          <w:p w14:paraId="30B0128E" w14:textId="77777777" w:rsidR="00A05C23" w:rsidRPr="008F7003" w:rsidRDefault="00B15FD5" w:rsidP="008F7003">
            <w:pPr>
              <w:pStyle w:val="TableBodyText"/>
              <w:spacing w:before="40" w:after="20"/>
              <w:ind w:left="0"/>
              <w:rPr>
                <w:sz w:val="17"/>
                <w:szCs w:val="17"/>
              </w:rPr>
            </w:pPr>
            <w:r w:rsidRPr="008F7003">
              <w:rPr>
                <w:sz w:val="17"/>
                <w:szCs w:val="17"/>
              </w:rPr>
              <w:t>The e</w:t>
            </w:r>
            <w:r w:rsidR="00A05C23" w:rsidRPr="008F7003">
              <w:rPr>
                <w:sz w:val="17"/>
                <w:szCs w:val="17"/>
              </w:rPr>
              <w:t>arlier of</w:t>
            </w:r>
            <w:r w:rsidR="000705EF">
              <w:rPr>
                <w:sz w:val="17"/>
                <w:szCs w:val="17"/>
              </w:rPr>
              <w:t>:</w:t>
            </w:r>
            <w:r w:rsidR="00A05C23" w:rsidRPr="008F7003">
              <w:rPr>
                <w:sz w:val="17"/>
                <w:szCs w:val="17"/>
              </w:rPr>
              <w:t xml:space="preserve"> 1 business day after the trade date</w:t>
            </w:r>
            <w:r w:rsidR="000705EF">
              <w:rPr>
                <w:sz w:val="17"/>
                <w:szCs w:val="17"/>
              </w:rPr>
              <w:t xml:space="preserve">; </w:t>
            </w:r>
            <w:r w:rsidR="00A05C23" w:rsidRPr="008F7003">
              <w:rPr>
                <w:sz w:val="17"/>
                <w:szCs w:val="17"/>
              </w:rPr>
              <w:t xml:space="preserve">and the day prior to supply </w:t>
            </w:r>
            <w:r w:rsidR="00B14A9F">
              <w:rPr>
                <w:sz w:val="17"/>
                <w:szCs w:val="17"/>
              </w:rPr>
              <w:t>commencement</w:t>
            </w:r>
            <w:r w:rsidR="000705EF">
              <w:rPr>
                <w:sz w:val="17"/>
                <w:szCs w:val="17"/>
              </w:rPr>
              <w:t>.</w:t>
            </w:r>
          </w:p>
        </w:tc>
      </w:tr>
      <w:tr w:rsidR="00A05C23" w:rsidRPr="008F7003" w14:paraId="3F93E3EB" w14:textId="77777777" w:rsidTr="008F7003">
        <w:trPr>
          <w:cantSplit/>
          <w:trHeight w:val="339"/>
        </w:trPr>
        <w:tc>
          <w:tcPr>
            <w:tcW w:w="178" w:type="pct"/>
            <w:vMerge/>
            <w:shd w:val="clear" w:color="auto" w:fill="auto"/>
            <w:textDirection w:val="btLr"/>
          </w:tcPr>
          <w:p w14:paraId="29E92930" w14:textId="77777777" w:rsidR="00A05C23" w:rsidRPr="008F7003" w:rsidRDefault="00A05C23" w:rsidP="008F7003">
            <w:pPr>
              <w:spacing w:before="40" w:after="20"/>
              <w:ind w:left="720"/>
              <w:contextualSpacing/>
              <w:rPr>
                <w:rFonts w:cs="Arial"/>
                <w:b/>
                <w:sz w:val="17"/>
                <w:szCs w:val="17"/>
              </w:rPr>
            </w:pPr>
          </w:p>
        </w:tc>
        <w:tc>
          <w:tcPr>
            <w:tcW w:w="2606" w:type="pct"/>
            <w:shd w:val="clear" w:color="auto" w:fill="auto"/>
          </w:tcPr>
          <w:p w14:paraId="70DDEFF9" w14:textId="77777777" w:rsidR="00A05C23" w:rsidRPr="008F7003" w:rsidRDefault="00A05C23" w:rsidP="008F7003">
            <w:pPr>
              <w:pStyle w:val="TableBodyText"/>
              <w:spacing w:before="40" w:after="20"/>
              <w:rPr>
                <w:sz w:val="17"/>
                <w:szCs w:val="17"/>
              </w:rPr>
            </w:pPr>
            <w:r w:rsidRPr="008F7003">
              <w:rPr>
                <w:sz w:val="17"/>
                <w:szCs w:val="17"/>
              </w:rPr>
              <w:t xml:space="preserve">Sellers under </w:t>
            </w:r>
            <w:r w:rsidR="005406E1">
              <w:rPr>
                <w:sz w:val="17"/>
                <w:szCs w:val="17"/>
              </w:rPr>
              <w:t>short term</w:t>
            </w:r>
            <w:r w:rsidRPr="008F7003">
              <w:rPr>
                <w:sz w:val="17"/>
                <w:szCs w:val="17"/>
              </w:rPr>
              <w:t xml:space="preserve"> gas swaps (contract term of 12 months or less) to report prices and key terms. </w:t>
            </w:r>
          </w:p>
        </w:tc>
        <w:tc>
          <w:tcPr>
            <w:tcW w:w="887" w:type="pct"/>
          </w:tcPr>
          <w:p w14:paraId="0D4C25FC" w14:textId="77777777" w:rsidR="00A05C23" w:rsidRPr="008F7003" w:rsidRDefault="00A05C23" w:rsidP="008F7003">
            <w:pPr>
              <w:pStyle w:val="TableBodyText"/>
              <w:spacing w:before="40" w:after="20"/>
              <w:rPr>
                <w:sz w:val="17"/>
                <w:szCs w:val="17"/>
              </w:rPr>
            </w:pPr>
            <w:r w:rsidRPr="008F7003">
              <w:rPr>
                <w:sz w:val="17"/>
                <w:szCs w:val="17"/>
              </w:rPr>
              <w:t>BB</w:t>
            </w:r>
          </w:p>
        </w:tc>
        <w:tc>
          <w:tcPr>
            <w:tcW w:w="1329" w:type="pct"/>
            <w:vMerge/>
          </w:tcPr>
          <w:p w14:paraId="3D59F835" w14:textId="77777777" w:rsidR="00A05C23" w:rsidRPr="008F7003" w:rsidRDefault="00A05C23" w:rsidP="008F7003">
            <w:pPr>
              <w:pStyle w:val="TableBodyText"/>
              <w:spacing w:before="40" w:after="20"/>
              <w:ind w:left="0"/>
              <w:rPr>
                <w:sz w:val="17"/>
                <w:szCs w:val="17"/>
                <w:highlight w:val="yellow"/>
              </w:rPr>
            </w:pPr>
          </w:p>
        </w:tc>
      </w:tr>
      <w:tr w:rsidR="0000405F" w:rsidRPr="008F7003" w14:paraId="65D29B91" w14:textId="77777777" w:rsidTr="008F7003">
        <w:trPr>
          <w:cantSplit/>
          <w:trHeight w:val="1281"/>
        </w:trPr>
        <w:tc>
          <w:tcPr>
            <w:tcW w:w="178" w:type="pct"/>
            <w:vMerge/>
            <w:shd w:val="clear" w:color="auto" w:fill="auto"/>
            <w:textDirection w:val="btLr"/>
          </w:tcPr>
          <w:p w14:paraId="279B7FF8" w14:textId="77777777" w:rsidR="0000405F" w:rsidRPr="008F7003" w:rsidRDefault="0000405F" w:rsidP="008F7003">
            <w:pPr>
              <w:spacing w:before="40" w:after="20"/>
              <w:ind w:left="720"/>
              <w:contextualSpacing/>
              <w:jc w:val="center"/>
              <w:rPr>
                <w:rFonts w:cs="Arial"/>
                <w:b/>
                <w:sz w:val="17"/>
                <w:szCs w:val="17"/>
              </w:rPr>
            </w:pPr>
          </w:p>
        </w:tc>
        <w:tc>
          <w:tcPr>
            <w:tcW w:w="2606" w:type="pct"/>
            <w:shd w:val="clear" w:color="auto" w:fill="auto"/>
          </w:tcPr>
          <w:p w14:paraId="13891F85" w14:textId="77777777" w:rsidR="0000405F" w:rsidRPr="008F7003" w:rsidRDefault="0000405F" w:rsidP="008F7003">
            <w:pPr>
              <w:pStyle w:val="TableBodyText"/>
              <w:spacing w:before="40" w:after="20"/>
              <w:rPr>
                <w:sz w:val="17"/>
                <w:szCs w:val="17"/>
              </w:rPr>
            </w:pPr>
            <w:r w:rsidRPr="008F7003">
              <w:rPr>
                <w:sz w:val="17"/>
                <w:szCs w:val="17"/>
              </w:rPr>
              <w:t>AER to have a new price reporting function, which will allow it to publish:</w:t>
            </w:r>
          </w:p>
          <w:p w14:paraId="0E8ADD4D" w14:textId="77777777" w:rsidR="0000405F" w:rsidRPr="008F7003" w:rsidRDefault="0000405F" w:rsidP="008F7003">
            <w:pPr>
              <w:pStyle w:val="Newtablebullet"/>
              <w:spacing w:before="40" w:after="20"/>
              <w:rPr>
                <w:sz w:val="17"/>
                <w:szCs w:val="17"/>
              </w:rPr>
            </w:pPr>
            <w:r w:rsidRPr="008F7003">
              <w:rPr>
                <w:sz w:val="17"/>
                <w:szCs w:val="17"/>
              </w:rPr>
              <w:t>an LNG netback price series;</w:t>
            </w:r>
          </w:p>
          <w:p w14:paraId="00589E5B" w14:textId="77777777" w:rsidR="0000405F" w:rsidRPr="008F7003" w:rsidRDefault="0000405F" w:rsidP="008F7003">
            <w:pPr>
              <w:pStyle w:val="Newtablebullet"/>
              <w:spacing w:before="40" w:after="20"/>
              <w:rPr>
                <w:sz w:val="17"/>
                <w:szCs w:val="17"/>
              </w:rPr>
            </w:pPr>
            <w:r w:rsidRPr="008F7003">
              <w:rPr>
                <w:sz w:val="17"/>
                <w:szCs w:val="17"/>
              </w:rPr>
              <w:t>information on the prices paid for gas under short and longer-term gas supply agreements;</w:t>
            </w:r>
            <w:r w:rsidRPr="008F7003">
              <w:rPr>
                <w:sz w:val="17"/>
                <w:szCs w:val="17"/>
                <w:vertAlign w:val="superscript"/>
              </w:rPr>
              <w:t>1</w:t>
            </w:r>
          </w:p>
          <w:p w14:paraId="62BFB231" w14:textId="77777777" w:rsidR="0000405F" w:rsidRPr="008F7003" w:rsidRDefault="0000405F" w:rsidP="008F7003">
            <w:pPr>
              <w:pStyle w:val="Newtablebullet"/>
              <w:spacing w:before="40" w:after="20"/>
              <w:rPr>
                <w:sz w:val="17"/>
                <w:szCs w:val="17"/>
              </w:rPr>
            </w:pPr>
            <w:r w:rsidRPr="008F7003">
              <w:rPr>
                <w:sz w:val="17"/>
                <w:szCs w:val="17"/>
              </w:rPr>
              <w:t>information on gas swaps;</w:t>
            </w:r>
          </w:p>
          <w:p w14:paraId="6F23F74A" w14:textId="77777777" w:rsidR="0000405F" w:rsidRPr="008F7003" w:rsidRDefault="0000405F" w:rsidP="008F7003">
            <w:pPr>
              <w:pStyle w:val="Newtablebullet"/>
              <w:spacing w:before="40" w:after="20"/>
              <w:rPr>
                <w:sz w:val="17"/>
                <w:szCs w:val="17"/>
              </w:rPr>
            </w:pPr>
            <w:r w:rsidRPr="008F7003">
              <w:rPr>
                <w:sz w:val="17"/>
                <w:szCs w:val="17"/>
              </w:rPr>
              <w:t>information on LNG export prices including the prices under short and longer term LNG contracts (excluding the NT facilities that have an exemption under rule 143A); and</w:t>
            </w:r>
          </w:p>
          <w:p w14:paraId="51D2B2EA" w14:textId="77777777" w:rsidR="0000405F" w:rsidRPr="008F7003" w:rsidRDefault="0000405F" w:rsidP="008F7003">
            <w:pPr>
              <w:pStyle w:val="Newtablebullet"/>
              <w:spacing w:before="40" w:after="20"/>
              <w:rPr>
                <w:sz w:val="17"/>
                <w:szCs w:val="17"/>
              </w:rPr>
            </w:pPr>
            <w:proofErr w:type="gramStart"/>
            <w:r w:rsidRPr="008F7003">
              <w:rPr>
                <w:sz w:val="17"/>
                <w:szCs w:val="17"/>
              </w:rPr>
              <w:t>if</w:t>
            </w:r>
            <w:proofErr w:type="gramEnd"/>
            <w:r w:rsidRPr="008F7003">
              <w:rPr>
                <w:sz w:val="17"/>
                <w:szCs w:val="17"/>
              </w:rPr>
              <w:t xml:space="preserve"> relevant, an LNG import parity price series or information on import prices.</w:t>
            </w:r>
          </w:p>
        </w:tc>
        <w:tc>
          <w:tcPr>
            <w:tcW w:w="887" w:type="pct"/>
          </w:tcPr>
          <w:p w14:paraId="1B269D8B" w14:textId="77777777" w:rsidR="0000405F" w:rsidRPr="008F7003" w:rsidRDefault="0000405F" w:rsidP="008F7003">
            <w:pPr>
              <w:pStyle w:val="TableBodyText"/>
              <w:spacing w:before="40" w:after="20"/>
              <w:rPr>
                <w:sz w:val="17"/>
                <w:szCs w:val="17"/>
              </w:rPr>
            </w:pPr>
            <w:r w:rsidRPr="008F7003">
              <w:rPr>
                <w:sz w:val="17"/>
                <w:szCs w:val="17"/>
              </w:rPr>
              <w:t>AER report</w:t>
            </w:r>
          </w:p>
        </w:tc>
        <w:tc>
          <w:tcPr>
            <w:tcW w:w="1329" w:type="pct"/>
          </w:tcPr>
          <w:p w14:paraId="33768B81" w14:textId="77777777" w:rsidR="0000405F" w:rsidRPr="008F7003" w:rsidRDefault="00855749" w:rsidP="008F7003">
            <w:pPr>
              <w:pStyle w:val="TableBodyText"/>
              <w:spacing w:before="40" w:after="20"/>
              <w:ind w:left="0"/>
              <w:rPr>
                <w:sz w:val="17"/>
                <w:szCs w:val="17"/>
              </w:rPr>
            </w:pPr>
            <w:r>
              <w:rPr>
                <w:sz w:val="17"/>
                <w:szCs w:val="17"/>
              </w:rPr>
              <w:t>Reporting to commence following the completion of the ACCC Gas Inquiry, with the reporting frequency t</w:t>
            </w:r>
            <w:r w:rsidR="0000405F" w:rsidRPr="008F7003">
              <w:rPr>
                <w:sz w:val="17"/>
                <w:szCs w:val="17"/>
              </w:rPr>
              <w:t>o be determined</w:t>
            </w:r>
            <w:r w:rsidR="00E20BC4" w:rsidRPr="008F7003">
              <w:rPr>
                <w:sz w:val="17"/>
                <w:szCs w:val="17"/>
              </w:rPr>
              <w:t xml:space="preserve"> by the AER</w:t>
            </w:r>
          </w:p>
        </w:tc>
      </w:tr>
      <w:tr w:rsidR="0000405F" w:rsidRPr="008F7003" w14:paraId="1F6E9973" w14:textId="77777777" w:rsidTr="008F7003">
        <w:trPr>
          <w:cantSplit/>
          <w:trHeight w:val="492"/>
        </w:trPr>
        <w:tc>
          <w:tcPr>
            <w:tcW w:w="178" w:type="pct"/>
            <w:vMerge/>
            <w:shd w:val="clear" w:color="auto" w:fill="auto"/>
            <w:textDirection w:val="btLr"/>
          </w:tcPr>
          <w:p w14:paraId="5BA7035C" w14:textId="77777777" w:rsidR="0000405F" w:rsidRPr="008F7003" w:rsidRDefault="0000405F" w:rsidP="008F7003">
            <w:pPr>
              <w:spacing w:before="40" w:after="20"/>
              <w:ind w:left="720"/>
              <w:contextualSpacing/>
              <w:jc w:val="center"/>
              <w:rPr>
                <w:rFonts w:cs="Arial"/>
                <w:b/>
                <w:sz w:val="17"/>
                <w:szCs w:val="17"/>
              </w:rPr>
            </w:pPr>
          </w:p>
        </w:tc>
        <w:tc>
          <w:tcPr>
            <w:tcW w:w="2606" w:type="pct"/>
            <w:shd w:val="clear" w:color="auto" w:fill="auto"/>
          </w:tcPr>
          <w:p w14:paraId="3138B9AA" w14:textId="77777777" w:rsidR="0000405F" w:rsidRPr="008F7003" w:rsidRDefault="0000405F" w:rsidP="008F7003">
            <w:pPr>
              <w:pStyle w:val="TableBodyText"/>
              <w:spacing w:before="40" w:after="20"/>
              <w:rPr>
                <w:sz w:val="17"/>
                <w:szCs w:val="17"/>
              </w:rPr>
            </w:pPr>
            <w:r w:rsidRPr="008F7003">
              <w:rPr>
                <w:sz w:val="17"/>
                <w:szCs w:val="17"/>
              </w:rPr>
              <w:t>Storage and stand-alone compression facility operators to publish standing terms and standing prices for each service offered and information on the prices actually paid by users for primary capacity (in a consistent manner with non-scheme pipelines under Part 23 of the NGR).</w:t>
            </w:r>
          </w:p>
        </w:tc>
        <w:tc>
          <w:tcPr>
            <w:tcW w:w="887" w:type="pct"/>
          </w:tcPr>
          <w:p w14:paraId="68376F0B" w14:textId="77777777" w:rsidR="0000405F" w:rsidRPr="008F7003" w:rsidRDefault="0000405F" w:rsidP="008F7003">
            <w:pPr>
              <w:pStyle w:val="TableBodyText"/>
              <w:spacing w:before="40" w:after="20"/>
              <w:rPr>
                <w:sz w:val="17"/>
                <w:szCs w:val="17"/>
              </w:rPr>
            </w:pPr>
            <w:r w:rsidRPr="008F7003">
              <w:rPr>
                <w:sz w:val="17"/>
                <w:szCs w:val="17"/>
              </w:rPr>
              <w:t xml:space="preserve">Website of reporting party </w:t>
            </w:r>
          </w:p>
        </w:tc>
        <w:tc>
          <w:tcPr>
            <w:tcW w:w="1329" w:type="pct"/>
          </w:tcPr>
          <w:p w14:paraId="31ABF35B" w14:textId="77777777" w:rsidR="0048255D" w:rsidRPr="008F7003" w:rsidRDefault="00FB3EE2" w:rsidP="008F7003">
            <w:pPr>
              <w:pStyle w:val="TableBodyText"/>
              <w:spacing w:before="40" w:after="20"/>
              <w:ind w:left="0"/>
              <w:rPr>
                <w:sz w:val="17"/>
                <w:szCs w:val="17"/>
              </w:rPr>
            </w:pPr>
            <w:r w:rsidRPr="008F7003">
              <w:rPr>
                <w:sz w:val="17"/>
                <w:szCs w:val="17"/>
              </w:rPr>
              <w:t>Standing term</w:t>
            </w:r>
            <w:r w:rsidR="00E27862" w:rsidRPr="008F7003">
              <w:rPr>
                <w:sz w:val="17"/>
                <w:szCs w:val="17"/>
              </w:rPr>
              <w:t>s and prices</w:t>
            </w:r>
            <w:r w:rsidR="00B15FD5" w:rsidRPr="008F7003">
              <w:rPr>
                <w:sz w:val="17"/>
                <w:szCs w:val="17"/>
              </w:rPr>
              <w:t>:</w:t>
            </w:r>
            <w:r w:rsidR="00E27862" w:rsidRPr="008F7003">
              <w:rPr>
                <w:sz w:val="17"/>
                <w:szCs w:val="17"/>
              </w:rPr>
              <w:t xml:space="preserve"> Within </w:t>
            </w:r>
            <w:r w:rsidR="0092344C" w:rsidRPr="008F7003">
              <w:rPr>
                <w:sz w:val="17"/>
                <w:szCs w:val="17"/>
              </w:rPr>
              <w:t xml:space="preserve">20 business days </w:t>
            </w:r>
            <w:r w:rsidR="00E27862" w:rsidRPr="008F7003">
              <w:rPr>
                <w:sz w:val="17"/>
                <w:szCs w:val="17"/>
              </w:rPr>
              <w:t xml:space="preserve">of </w:t>
            </w:r>
            <w:r w:rsidR="0048255D" w:rsidRPr="008F7003">
              <w:rPr>
                <w:sz w:val="17"/>
                <w:szCs w:val="17"/>
              </w:rPr>
              <w:t>application date</w:t>
            </w:r>
            <w:r w:rsidR="00E27862" w:rsidRPr="008F7003">
              <w:rPr>
                <w:sz w:val="17"/>
                <w:szCs w:val="17"/>
              </w:rPr>
              <w:t xml:space="preserve"> and updated if new service added or existing service</w:t>
            </w:r>
            <w:r w:rsidR="00B15FD5" w:rsidRPr="008F7003">
              <w:rPr>
                <w:sz w:val="17"/>
                <w:szCs w:val="17"/>
              </w:rPr>
              <w:t>s</w:t>
            </w:r>
            <w:r w:rsidR="00E27862" w:rsidRPr="008F7003">
              <w:rPr>
                <w:sz w:val="17"/>
                <w:szCs w:val="17"/>
              </w:rPr>
              <w:t xml:space="preserve"> change</w:t>
            </w:r>
          </w:p>
          <w:p w14:paraId="2CA3B54A" w14:textId="77777777" w:rsidR="0000405F" w:rsidRPr="008F7003" w:rsidRDefault="00FB3EE2" w:rsidP="008F7003">
            <w:pPr>
              <w:pStyle w:val="TableBodyText"/>
              <w:spacing w:before="40" w:after="20"/>
              <w:ind w:left="0"/>
              <w:rPr>
                <w:sz w:val="17"/>
                <w:szCs w:val="17"/>
              </w:rPr>
            </w:pPr>
            <w:r w:rsidRPr="008F7003">
              <w:rPr>
                <w:sz w:val="17"/>
                <w:szCs w:val="17"/>
              </w:rPr>
              <w:t>Weighted average pric</w:t>
            </w:r>
            <w:r w:rsidR="00E27862" w:rsidRPr="008F7003">
              <w:rPr>
                <w:sz w:val="17"/>
                <w:szCs w:val="17"/>
              </w:rPr>
              <w:t>e</w:t>
            </w:r>
            <w:r w:rsidR="00B15FD5" w:rsidRPr="008F7003">
              <w:rPr>
                <w:sz w:val="17"/>
                <w:szCs w:val="17"/>
              </w:rPr>
              <w:t>s:</w:t>
            </w:r>
            <w:r w:rsidRPr="008F7003">
              <w:rPr>
                <w:sz w:val="17"/>
                <w:szCs w:val="17"/>
              </w:rPr>
              <w:t xml:space="preserve"> </w:t>
            </w:r>
            <w:r w:rsidR="00B15FD5" w:rsidRPr="008F7003">
              <w:rPr>
                <w:sz w:val="17"/>
                <w:szCs w:val="17"/>
              </w:rPr>
              <w:t>A</w:t>
            </w:r>
            <w:r w:rsidRPr="008F7003">
              <w:rPr>
                <w:sz w:val="17"/>
                <w:szCs w:val="17"/>
              </w:rPr>
              <w:t xml:space="preserve">nnually no later than 4 months after end of financial year. </w:t>
            </w:r>
          </w:p>
        </w:tc>
      </w:tr>
      <w:tr w:rsidR="0000405F" w:rsidRPr="008F7003" w14:paraId="52F2157A" w14:textId="77777777" w:rsidTr="008F7003">
        <w:trPr>
          <w:cantSplit/>
          <w:trHeight w:val="631"/>
        </w:trPr>
        <w:tc>
          <w:tcPr>
            <w:tcW w:w="178" w:type="pct"/>
            <w:vMerge/>
            <w:shd w:val="clear" w:color="auto" w:fill="auto"/>
            <w:textDirection w:val="btLr"/>
          </w:tcPr>
          <w:p w14:paraId="710181C7" w14:textId="77777777" w:rsidR="0000405F" w:rsidRPr="008F7003" w:rsidRDefault="0000405F" w:rsidP="008F7003">
            <w:pPr>
              <w:spacing w:before="40" w:after="20"/>
              <w:ind w:left="113"/>
              <w:rPr>
                <w:rFonts w:cs="Arial"/>
                <w:b/>
                <w:sz w:val="17"/>
                <w:szCs w:val="17"/>
              </w:rPr>
            </w:pPr>
          </w:p>
        </w:tc>
        <w:tc>
          <w:tcPr>
            <w:tcW w:w="2606" w:type="pct"/>
            <w:shd w:val="clear" w:color="auto" w:fill="auto"/>
          </w:tcPr>
          <w:p w14:paraId="61DCA78D" w14:textId="77777777" w:rsidR="0000405F" w:rsidRPr="008F7003" w:rsidRDefault="0000405F" w:rsidP="008F7003">
            <w:pPr>
              <w:pStyle w:val="TableBodyText"/>
              <w:spacing w:before="40" w:after="20"/>
              <w:rPr>
                <w:sz w:val="17"/>
                <w:szCs w:val="17"/>
              </w:rPr>
            </w:pPr>
            <w:r w:rsidRPr="008F7003">
              <w:rPr>
                <w:sz w:val="17"/>
                <w:szCs w:val="17"/>
              </w:rPr>
              <w:t xml:space="preserve">LNG exporters (excluding the NT facilities that have an exemption under rule 143A) to report the average free on board price received under </w:t>
            </w:r>
            <w:r w:rsidR="005406E1">
              <w:rPr>
                <w:sz w:val="17"/>
                <w:szCs w:val="17"/>
              </w:rPr>
              <w:t>short term</w:t>
            </w:r>
            <w:r w:rsidRPr="008F7003">
              <w:rPr>
                <w:sz w:val="17"/>
                <w:szCs w:val="17"/>
              </w:rPr>
              <w:t xml:space="preserve"> LNG supply agreements (i.e. LNG contracts with a supply term of less than 1 year). </w:t>
            </w:r>
          </w:p>
        </w:tc>
        <w:tc>
          <w:tcPr>
            <w:tcW w:w="887" w:type="pct"/>
          </w:tcPr>
          <w:p w14:paraId="6914BA97" w14:textId="77777777" w:rsidR="0000405F" w:rsidRPr="008F7003" w:rsidRDefault="0000405F" w:rsidP="008F7003">
            <w:pPr>
              <w:pStyle w:val="TableBodyText"/>
              <w:spacing w:before="40" w:after="20"/>
              <w:rPr>
                <w:sz w:val="17"/>
                <w:szCs w:val="17"/>
              </w:rPr>
            </w:pPr>
            <w:r w:rsidRPr="008F7003">
              <w:rPr>
                <w:sz w:val="17"/>
                <w:szCs w:val="17"/>
              </w:rPr>
              <w:t>BB</w:t>
            </w:r>
          </w:p>
        </w:tc>
        <w:tc>
          <w:tcPr>
            <w:tcW w:w="1329" w:type="pct"/>
          </w:tcPr>
          <w:p w14:paraId="5B47220C" w14:textId="77777777" w:rsidR="0000405F" w:rsidRPr="008F7003" w:rsidRDefault="00B15FD5" w:rsidP="008F7003">
            <w:pPr>
              <w:pStyle w:val="TableBodyText"/>
              <w:spacing w:before="40" w:after="20"/>
              <w:ind w:left="0"/>
              <w:rPr>
                <w:sz w:val="17"/>
                <w:szCs w:val="17"/>
              </w:rPr>
            </w:pPr>
            <w:r w:rsidRPr="008F7003">
              <w:rPr>
                <w:sz w:val="17"/>
                <w:szCs w:val="17"/>
              </w:rPr>
              <w:t xml:space="preserve">Reported </w:t>
            </w:r>
            <w:r w:rsidR="006906BA" w:rsidRPr="008F7003">
              <w:rPr>
                <w:sz w:val="17"/>
                <w:szCs w:val="17"/>
              </w:rPr>
              <w:t xml:space="preserve">to AEMO within 1 business day of transaction being entered into, </w:t>
            </w:r>
            <w:r w:rsidR="00E27862" w:rsidRPr="008F7003">
              <w:rPr>
                <w:sz w:val="17"/>
                <w:szCs w:val="17"/>
              </w:rPr>
              <w:t>with</w:t>
            </w:r>
            <w:r w:rsidR="006906BA" w:rsidRPr="008F7003">
              <w:rPr>
                <w:sz w:val="17"/>
                <w:szCs w:val="17"/>
              </w:rPr>
              <w:t xml:space="preserve"> AEMO </w:t>
            </w:r>
            <w:r w:rsidR="00E27862" w:rsidRPr="008F7003">
              <w:rPr>
                <w:sz w:val="17"/>
                <w:szCs w:val="17"/>
              </w:rPr>
              <w:t xml:space="preserve">to </w:t>
            </w:r>
            <w:r w:rsidR="006906BA" w:rsidRPr="008F7003">
              <w:rPr>
                <w:sz w:val="17"/>
                <w:szCs w:val="17"/>
              </w:rPr>
              <w:t>publish no earlier than 20 business days after the transaction date.</w:t>
            </w:r>
          </w:p>
        </w:tc>
      </w:tr>
      <w:tr w:rsidR="0000405F" w:rsidRPr="008F7003" w14:paraId="46A7D1A6" w14:textId="77777777" w:rsidTr="008F7003">
        <w:trPr>
          <w:cantSplit/>
          <w:trHeight w:val="522"/>
        </w:trPr>
        <w:tc>
          <w:tcPr>
            <w:tcW w:w="178" w:type="pct"/>
            <w:vMerge/>
            <w:tcBorders>
              <w:bottom w:val="single" w:sz="4" w:space="0" w:color="auto"/>
            </w:tcBorders>
            <w:shd w:val="clear" w:color="auto" w:fill="auto"/>
            <w:textDirection w:val="btLr"/>
          </w:tcPr>
          <w:p w14:paraId="2C2ED179" w14:textId="77777777" w:rsidR="0000405F" w:rsidRPr="008F7003" w:rsidRDefault="0000405F" w:rsidP="008F7003">
            <w:pPr>
              <w:spacing w:before="40" w:after="20"/>
              <w:ind w:left="720"/>
              <w:contextualSpacing/>
              <w:rPr>
                <w:rFonts w:cs="Arial"/>
                <w:b/>
                <w:sz w:val="17"/>
                <w:szCs w:val="17"/>
              </w:rPr>
            </w:pPr>
          </w:p>
        </w:tc>
        <w:tc>
          <w:tcPr>
            <w:tcW w:w="2606" w:type="pct"/>
            <w:shd w:val="clear" w:color="auto" w:fill="auto"/>
          </w:tcPr>
          <w:p w14:paraId="1B26D4DE" w14:textId="77777777" w:rsidR="0000405F" w:rsidRPr="008F7003" w:rsidRDefault="0000405F" w:rsidP="008F7003">
            <w:pPr>
              <w:pStyle w:val="TableBodyText"/>
              <w:spacing w:before="40" w:after="20"/>
              <w:rPr>
                <w:sz w:val="17"/>
                <w:szCs w:val="17"/>
              </w:rPr>
            </w:pPr>
            <w:r w:rsidRPr="008F7003">
              <w:rPr>
                <w:sz w:val="17"/>
                <w:szCs w:val="17"/>
              </w:rPr>
              <w:t xml:space="preserve">Sellers of secondary storage capacity to report on the prices and other key non-price terms and conditions for any capacity trades. </w:t>
            </w:r>
          </w:p>
        </w:tc>
        <w:tc>
          <w:tcPr>
            <w:tcW w:w="887" w:type="pct"/>
          </w:tcPr>
          <w:p w14:paraId="3BC10E2F" w14:textId="77777777" w:rsidR="0000405F" w:rsidRPr="008F7003" w:rsidRDefault="0000405F" w:rsidP="008F7003">
            <w:pPr>
              <w:pStyle w:val="TableBodyText"/>
              <w:spacing w:before="40" w:after="20"/>
              <w:rPr>
                <w:sz w:val="17"/>
                <w:szCs w:val="17"/>
              </w:rPr>
            </w:pPr>
            <w:r w:rsidRPr="008F7003">
              <w:rPr>
                <w:sz w:val="17"/>
                <w:szCs w:val="17"/>
              </w:rPr>
              <w:t xml:space="preserve">BB </w:t>
            </w:r>
          </w:p>
        </w:tc>
        <w:tc>
          <w:tcPr>
            <w:tcW w:w="1329" w:type="pct"/>
          </w:tcPr>
          <w:p w14:paraId="7849EA20" w14:textId="77777777" w:rsidR="0000405F" w:rsidRPr="008F7003" w:rsidRDefault="00B15FD5" w:rsidP="008F7003">
            <w:pPr>
              <w:pStyle w:val="TableBodyText"/>
              <w:spacing w:before="40" w:after="20"/>
              <w:ind w:left="0"/>
              <w:rPr>
                <w:sz w:val="17"/>
                <w:szCs w:val="17"/>
              </w:rPr>
            </w:pPr>
            <w:r w:rsidRPr="008F7003">
              <w:rPr>
                <w:sz w:val="17"/>
                <w:szCs w:val="17"/>
              </w:rPr>
              <w:t>The e</w:t>
            </w:r>
            <w:r w:rsidR="00CB6319" w:rsidRPr="008F7003">
              <w:rPr>
                <w:sz w:val="17"/>
                <w:szCs w:val="17"/>
              </w:rPr>
              <w:t>arlier of</w:t>
            </w:r>
            <w:r w:rsidR="003B164B">
              <w:rPr>
                <w:sz w:val="17"/>
                <w:szCs w:val="17"/>
              </w:rPr>
              <w:t>:</w:t>
            </w:r>
            <w:r w:rsidR="00CB6319" w:rsidRPr="008F7003">
              <w:rPr>
                <w:sz w:val="17"/>
                <w:szCs w:val="17"/>
              </w:rPr>
              <w:t xml:space="preserve"> 1 business day after the trade date</w:t>
            </w:r>
            <w:r w:rsidR="003B164B">
              <w:rPr>
                <w:sz w:val="17"/>
                <w:szCs w:val="17"/>
              </w:rPr>
              <w:t>;</w:t>
            </w:r>
            <w:r w:rsidR="00CB6319" w:rsidRPr="008F7003">
              <w:rPr>
                <w:sz w:val="17"/>
                <w:szCs w:val="17"/>
              </w:rPr>
              <w:t xml:space="preserve"> and the day prior to supply </w:t>
            </w:r>
            <w:r w:rsidR="003B164B">
              <w:rPr>
                <w:sz w:val="17"/>
                <w:szCs w:val="17"/>
              </w:rPr>
              <w:t>commencement.</w:t>
            </w:r>
          </w:p>
        </w:tc>
      </w:tr>
      <w:tr w:rsidR="007A7139" w:rsidRPr="008F7003" w14:paraId="1117B430" w14:textId="77777777" w:rsidTr="008F7003">
        <w:trPr>
          <w:cantSplit/>
          <w:trHeight w:val="1729"/>
        </w:trPr>
        <w:tc>
          <w:tcPr>
            <w:tcW w:w="178" w:type="pct"/>
            <w:vMerge w:val="restart"/>
            <w:shd w:val="clear" w:color="auto" w:fill="auto"/>
            <w:textDirection w:val="btLr"/>
          </w:tcPr>
          <w:p w14:paraId="2F22A93E" w14:textId="77777777" w:rsidR="007A7139" w:rsidRPr="008F7003" w:rsidRDefault="007A7139" w:rsidP="008F7003">
            <w:pPr>
              <w:spacing w:before="40" w:after="20"/>
              <w:ind w:left="720"/>
              <w:contextualSpacing/>
              <w:jc w:val="center"/>
              <w:rPr>
                <w:rFonts w:cs="Arial"/>
                <w:b/>
                <w:sz w:val="17"/>
                <w:szCs w:val="17"/>
              </w:rPr>
            </w:pPr>
            <w:r w:rsidRPr="008F7003">
              <w:rPr>
                <w:rFonts w:cs="Arial"/>
                <w:b/>
                <w:sz w:val="17"/>
                <w:szCs w:val="17"/>
              </w:rPr>
              <w:lastRenderedPageBreak/>
              <w:t>Supply and availability of gas</w:t>
            </w:r>
          </w:p>
        </w:tc>
        <w:tc>
          <w:tcPr>
            <w:tcW w:w="2606" w:type="pct"/>
            <w:shd w:val="clear" w:color="auto" w:fill="auto"/>
          </w:tcPr>
          <w:p w14:paraId="5FC3847E" w14:textId="77777777" w:rsidR="007A7139" w:rsidRPr="008F7003" w:rsidRDefault="007A7139" w:rsidP="008F7003">
            <w:pPr>
              <w:pStyle w:val="TableBodyText"/>
              <w:spacing w:before="40" w:after="20"/>
              <w:rPr>
                <w:sz w:val="17"/>
                <w:szCs w:val="17"/>
              </w:rPr>
            </w:pPr>
            <w:r w:rsidRPr="008F7003">
              <w:rPr>
                <w:sz w:val="17"/>
                <w:szCs w:val="17"/>
              </w:rPr>
              <w:t>Producers to report the following on the BB, in accordance with the ACCC’s reporting framework, but allowing for joint venture parties to jointly report if jointly marketing gas:</w:t>
            </w:r>
          </w:p>
          <w:p w14:paraId="6ABEAEDC" w14:textId="77777777" w:rsidR="007A7139" w:rsidRPr="008F7003" w:rsidRDefault="007A7139" w:rsidP="008F7003">
            <w:pPr>
              <w:pStyle w:val="Newtablebullet"/>
              <w:spacing w:before="40" w:after="20"/>
              <w:rPr>
                <w:sz w:val="17"/>
                <w:szCs w:val="17"/>
              </w:rPr>
            </w:pPr>
            <w:r w:rsidRPr="008F7003">
              <w:rPr>
                <w:sz w:val="17"/>
                <w:szCs w:val="17"/>
              </w:rPr>
              <w:t>1P, 2P, 3P reserves and 2C resources (by field and, in the case of reserves, broken down into developed and undeveloped reserves);</w:t>
            </w:r>
          </w:p>
          <w:p w14:paraId="30472D00" w14:textId="77777777" w:rsidR="007A7139" w:rsidRPr="008F7003" w:rsidRDefault="007A7139" w:rsidP="008F7003">
            <w:pPr>
              <w:pStyle w:val="Newtablebullet"/>
              <w:spacing w:before="40" w:after="20"/>
              <w:rPr>
                <w:sz w:val="17"/>
                <w:szCs w:val="17"/>
              </w:rPr>
            </w:pPr>
            <w:r w:rsidRPr="008F7003">
              <w:rPr>
                <w:sz w:val="17"/>
                <w:szCs w:val="17"/>
              </w:rPr>
              <w:t>12 month movements in 2P reserves (by field and broken down into production, extensions, net acquisitions, reserves upgrades, downgrades and other revisions);</w:t>
            </w:r>
          </w:p>
          <w:p w14:paraId="3596353D" w14:textId="77777777" w:rsidR="007A7139" w:rsidRPr="008F7003" w:rsidRDefault="007A7139" w:rsidP="008F7003">
            <w:pPr>
              <w:pStyle w:val="Newtablebullet"/>
              <w:spacing w:before="40" w:after="20"/>
              <w:rPr>
                <w:sz w:val="17"/>
                <w:szCs w:val="17"/>
              </w:rPr>
            </w:pPr>
            <w:r w:rsidRPr="008F7003">
              <w:rPr>
                <w:sz w:val="17"/>
                <w:szCs w:val="17"/>
              </w:rPr>
              <w:t>gas field information (e.g. the location of the field, the producer’s net revenue interest in the field, the type of gas in the field and the nature of the gas field);</w:t>
            </w:r>
          </w:p>
          <w:p w14:paraId="5E852FA3" w14:textId="77777777" w:rsidR="007A7139" w:rsidRPr="008F7003" w:rsidRDefault="007A7139" w:rsidP="008F7003">
            <w:pPr>
              <w:pStyle w:val="Newtablebullet"/>
              <w:spacing w:before="40" w:after="20"/>
              <w:rPr>
                <w:sz w:val="17"/>
                <w:szCs w:val="17"/>
              </w:rPr>
            </w:pPr>
            <w:r w:rsidRPr="008F7003">
              <w:rPr>
                <w:sz w:val="17"/>
                <w:szCs w:val="17"/>
              </w:rPr>
              <w:t>the development status and likely timing of production from material fields (i.e. fields with more than 50 PJ of reserves or contingent resources) and a list of any barriers to the commercial recovery of 2C resources in these fields; and</w:t>
            </w:r>
          </w:p>
          <w:p w14:paraId="36816F2F" w14:textId="77777777" w:rsidR="007A7139" w:rsidRPr="008F7003" w:rsidRDefault="007A7139" w:rsidP="008F7003">
            <w:pPr>
              <w:pStyle w:val="Newtablebullet"/>
              <w:spacing w:before="40" w:after="20"/>
              <w:rPr>
                <w:sz w:val="17"/>
                <w:szCs w:val="17"/>
              </w:rPr>
            </w:pPr>
            <w:proofErr w:type="gramStart"/>
            <w:r w:rsidRPr="008F7003">
              <w:rPr>
                <w:sz w:val="17"/>
                <w:szCs w:val="17"/>
              </w:rPr>
              <w:t>the</w:t>
            </w:r>
            <w:proofErr w:type="gramEnd"/>
            <w:r w:rsidRPr="008F7003">
              <w:rPr>
                <w:sz w:val="17"/>
                <w:szCs w:val="17"/>
              </w:rPr>
              <w:t xml:space="preserve"> sensitivity of 2P estimates to a +/-10% change in gas price assumptions to be reported to AEMO for publication on the BB in an anonymised and aggregated manner. </w:t>
            </w:r>
          </w:p>
          <w:p w14:paraId="1E93384A" w14:textId="77777777" w:rsidR="007A7139" w:rsidRPr="008F7003" w:rsidRDefault="007C7CD0" w:rsidP="008F7003">
            <w:pPr>
              <w:pStyle w:val="Newtablebullet"/>
              <w:numPr>
                <w:ilvl w:val="0"/>
                <w:numId w:val="0"/>
              </w:numPr>
              <w:spacing w:before="40" w:after="20"/>
              <w:ind w:left="85"/>
              <w:rPr>
                <w:sz w:val="17"/>
                <w:szCs w:val="17"/>
              </w:rPr>
            </w:pPr>
            <w:r w:rsidRPr="008F7003">
              <w:rPr>
                <w:i/>
                <w:iCs/>
                <w:sz w:val="17"/>
                <w:szCs w:val="17"/>
              </w:rPr>
              <w:t>NT facilities with an exemption under rule 143A would be exempt from requirement.</w:t>
            </w:r>
          </w:p>
        </w:tc>
        <w:tc>
          <w:tcPr>
            <w:tcW w:w="887" w:type="pct"/>
          </w:tcPr>
          <w:p w14:paraId="10E33D09" w14:textId="77777777" w:rsidR="007A7139" w:rsidRPr="008F7003" w:rsidRDefault="007A7139" w:rsidP="008F7003">
            <w:pPr>
              <w:pStyle w:val="TableBodyText"/>
              <w:spacing w:before="40" w:after="20"/>
              <w:rPr>
                <w:sz w:val="17"/>
                <w:szCs w:val="17"/>
              </w:rPr>
            </w:pPr>
            <w:r w:rsidRPr="008F7003">
              <w:rPr>
                <w:sz w:val="17"/>
                <w:szCs w:val="17"/>
              </w:rPr>
              <w:t>BB</w:t>
            </w:r>
          </w:p>
        </w:tc>
        <w:tc>
          <w:tcPr>
            <w:tcW w:w="1329" w:type="pct"/>
            <w:vMerge w:val="restart"/>
          </w:tcPr>
          <w:p w14:paraId="78A9470D" w14:textId="3FFF6685" w:rsidR="007A7139" w:rsidRPr="008F7003" w:rsidRDefault="004035AF" w:rsidP="004035AF">
            <w:pPr>
              <w:pStyle w:val="TableBodyText"/>
              <w:spacing w:before="40" w:after="20"/>
              <w:ind w:left="0"/>
              <w:rPr>
                <w:sz w:val="17"/>
                <w:szCs w:val="17"/>
              </w:rPr>
            </w:pPr>
            <w:r>
              <w:rPr>
                <w:sz w:val="17"/>
                <w:szCs w:val="17"/>
              </w:rPr>
              <w:t>Annually</w:t>
            </w:r>
            <w:r w:rsidR="007A7139" w:rsidRPr="008F7003">
              <w:rPr>
                <w:sz w:val="17"/>
                <w:szCs w:val="17"/>
              </w:rPr>
              <w:t xml:space="preserve">, with intra-year updates </w:t>
            </w:r>
            <w:r w:rsidR="00EA54B2">
              <w:rPr>
                <w:sz w:val="17"/>
                <w:szCs w:val="17"/>
              </w:rPr>
              <w:t xml:space="preserve">of the reserves and resources estimates </w:t>
            </w:r>
            <w:r w:rsidR="007A7139" w:rsidRPr="008F7003">
              <w:rPr>
                <w:sz w:val="17"/>
                <w:szCs w:val="17"/>
              </w:rPr>
              <w:t>required if there is a material change, or a revised estimate is provided to a state, federal or territory government department or agency, or securities exchange.</w:t>
            </w:r>
          </w:p>
        </w:tc>
      </w:tr>
      <w:tr w:rsidR="007A7139" w:rsidRPr="008F7003" w14:paraId="7172D337" w14:textId="77777777" w:rsidTr="008F7003">
        <w:trPr>
          <w:cantSplit/>
          <w:trHeight w:val="180"/>
        </w:trPr>
        <w:tc>
          <w:tcPr>
            <w:tcW w:w="178" w:type="pct"/>
            <w:vMerge/>
            <w:shd w:val="clear" w:color="auto" w:fill="auto"/>
            <w:textDirection w:val="btLr"/>
          </w:tcPr>
          <w:p w14:paraId="55684FA8" w14:textId="77777777" w:rsidR="007A7139" w:rsidRPr="008F7003" w:rsidRDefault="007A7139" w:rsidP="008F7003">
            <w:pPr>
              <w:spacing w:before="40" w:after="20"/>
              <w:ind w:left="720"/>
              <w:rPr>
                <w:rFonts w:cs="Arial"/>
                <w:b/>
                <w:sz w:val="17"/>
                <w:szCs w:val="17"/>
              </w:rPr>
            </w:pPr>
          </w:p>
        </w:tc>
        <w:tc>
          <w:tcPr>
            <w:tcW w:w="2606" w:type="pct"/>
            <w:shd w:val="clear" w:color="auto" w:fill="auto"/>
          </w:tcPr>
          <w:p w14:paraId="1DC4BF0B" w14:textId="77777777" w:rsidR="007A7139" w:rsidRPr="008F7003" w:rsidRDefault="007A7139" w:rsidP="008F7003">
            <w:pPr>
              <w:pStyle w:val="TableBodyText"/>
              <w:spacing w:before="40" w:after="20"/>
              <w:rPr>
                <w:sz w:val="17"/>
                <w:szCs w:val="17"/>
              </w:rPr>
            </w:pPr>
            <w:r w:rsidRPr="008F7003">
              <w:rPr>
                <w:sz w:val="17"/>
                <w:szCs w:val="17"/>
              </w:rPr>
              <w:t>Producers to report on gas price assumptions underpinning the reserves and resources estimates.</w:t>
            </w:r>
          </w:p>
          <w:p w14:paraId="1FE1C8C3" w14:textId="77777777" w:rsidR="008F7003" w:rsidRPr="008F7003" w:rsidRDefault="008F7003" w:rsidP="008F7003">
            <w:pPr>
              <w:pStyle w:val="TableBodyText"/>
              <w:spacing w:before="40" w:after="20"/>
              <w:rPr>
                <w:sz w:val="17"/>
                <w:szCs w:val="17"/>
              </w:rPr>
            </w:pPr>
            <w:r w:rsidRPr="008F7003">
              <w:rPr>
                <w:i/>
                <w:iCs/>
                <w:sz w:val="17"/>
                <w:szCs w:val="17"/>
              </w:rPr>
              <w:t>NT facilities with an exemption under rule 143A would be exempt from requirement.</w:t>
            </w:r>
          </w:p>
        </w:tc>
        <w:tc>
          <w:tcPr>
            <w:tcW w:w="887" w:type="pct"/>
          </w:tcPr>
          <w:p w14:paraId="33DFAA6C" w14:textId="77777777" w:rsidR="007A7139" w:rsidRPr="008F7003" w:rsidRDefault="007A7139" w:rsidP="008F7003">
            <w:pPr>
              <w:pStyle w:val="TableBodyText"/>
              <w:spacing w:before="40" w:after="20"/>
              <w:rPr>
                <w:sz w:val="17"/>
                <w:szCs w:val="17"/>
              </w:rPr>
            </w:pPr>
            <w:r w:rsidRPr="008F7003">
              <w:rPr>
                <w:sz w:val="17"/>
                <w:szCs w:val="17"/>
              </w:rPr>
              <w:t>AER report</w:t>
            </w:r>
          </w:p>
        </w:tc>
        <w:tc>
          <w:tcPr>
            <w:tcW w:w="1329" w:type="pct"/>
            <w:vMerge/>
          </w:tcPr>
          <w:p w14:paraId="2699B2F3" w14:textId="77777777" w:rsidR="007A7139" w:rsidRPr="008F7003" w:rsidRDefault="007A7139" w:rsidP="008F7003">
            <w:pPr>
              <w:pStyle w:val="TableBodyText"/>
              <w:spacing w:before="40" w:after="20"/>
              <w:rPr>
                <w:sz w:val="17"/>
                <w:szCs w:val="17"/>
              </w:rPr>
            </w:pPr>
          </w:p>
        </w:tc>
      </w:tr>
      <w:tr w:rsidR="0000405F" w:rsidRPr="008F7003" w14:paraId="2BA20919" w14:textId="77777777" w:rsidTr="008F7003">
        <w:trPr>
          <w:cantSplit/>
          <w:trHeight w:val="880"/>
        </w:trPr>
        <w:tc>
          <w:tcPr>
            <w:tcW w:w="178" w:type="pct"/>
            <w:vMerge/>
            <w:shd w:val="clear" w:color="auto" w:fill="auto"/>
            <w:textDirection w:val="btLr"/>
          </w:tcPr>
          <w:p w14:paraId="5D1DD4FF" w14:textId="77777777" w:rsidR="0000405F" w:rsidRPr="008F7003" w:rsidRDefault="0000405F" w:rsidP="008F7003">
            <w:pPr>
              <w:spacing w:before="40" w:after="20"/>
              <w:ind w:left="720"/>
              <w:rPr>
                <w:rFonts w:cs="Arial"/>
                <w:b/>
                <w:sz w:val="17"/>
                <w:szCs w:val="17"/>
              </w:rPr>
            </w:pPr>
          </w:p>
        </w:tc>
        <w:tc>
          <w:tcPr>
            <w:tcW w:w="2606" w:type="pct"/>
            <w:shd w:val="clear" w:color="auto" w:fill="auto"/>
          </w:tcPr>
          <w:p w14:paraId="5C8129C1" w14:textId="77777777" w:rsidR="0000405F" w:rsidRPr="008F7003" w:rsidRDefault="0000405F" w:rsidP="008F7003">
            <w:pPr>
              <w:pStyle w:val="TableBodyText"/>
              <w:spacing w:before="40" w:after="20"/>
              <w:rPr>
                <w:sz w:val="17"/>
                <w:szCs w:val="17"/>
              </w:rPr>
            </w:pPr>
            <w:r w:rsidRPr="008F7003">
              <w:rPr>
                <w:sz w:val="17"/>
                <w:szCs w:val="17"/>
              </w:rPr>
              <w:t>Producers to report on annual drilling activities (i.e. the number of exploration, appraisal and development wells drilled).</w:t>
            </w:r>
          </w:p>
          <w:p w14:paraId="622BB943" w14:textId="77777777" w:rsidR="0000405F" w:rsidRPr="008F7003" w:rsidRDefault="008F7003" w:rsidP="008F7003">
            <w:pPr>
              <w:pStyle w:val="TableBodyText"/>
              <w:spacing w:before="40" w:after="20"/>
              <w:rPr>
                <w:sz w:val="17"/>
                <w:szCs w:val="17"/>
              </w:rPr>
            </w:pPr>
            <w:r w:rsidRPr="008F7003">
              <w:rPr>
                <w:i/>
                <w:iCs/>
                <w:sz w:val="17"/>
                <w:szCs w:val="17"/>
              </w:rPr>
              <w:t>NT facilities with an exemption under rule 143A would be exempt from requirement.</w:t>
            </w:r>
          </w:p>
        </w:tc>
        <w:tc>
          <w:tcPr>
            <w:tcW w:w="887" w:type="pct"/>
          </w:tcPr>
          <w:p w14:paraId="426F2B9D" w14:textId="77777777" w:rsidR="0000405F" w:rsidRPr="008F7003" w:rsidRDefault="0000405F" w:rsidP="008F7003">
            <w:pPr>
              <w:pStyle w:val="TableBodyText"/>
              <w:spacing w:before="40" w:after="20"/>
              <w:rPr>
                <w:sz w:val="17"/>
                <w:szCs w:val="17"/>
              </w:rPr>
            </w:pPr>
            <w:r w:rsidRPr="008F7003">
              <w:rPr>
                <w:sz w:val="17"/>
                <w:szCs w:val="17"/>
              </w:rPr>
              <w:t>GSOO</w:t>
            </w:r>
          </w:p>
        </w:tc>
        <w:tc>
          <w:tcPr>
            <w:tcW w:w="1329" w:type="pct"/>
          </w:tcPr>
          <w:p w14:paraId="3DE8EB92" w14:textId="77777777" w:rsidR="0000405F" w:rsidRPr="008F7003" w:rsidRDefault="00667F4E" w:rsidP="008F7003">
            <w:pPr>
              <w:pStyle w:val="TableBodyText"/>
              <w:spacing w:before="40" w:after="20"/>
              <w:ind w:left="0"/>
              <w:rPr>
                <w:sz w:val="17"/>
                <w:szCs w:val="17"/>
              </w:rPr>
            </w:pPr>
            <w:r w:rsidRPr="008F7003">
              <w:rPr>
                <w:sz w:val="17"/>
                <w:szCs w:val="17"/>
              </w:rPr>
              <w:t xml:space="preserve">Annually </w:t>
            </w:r>
          </w:p>
        </w:tc>
      </w:tr>
      <w:tr w:rsidR="0000405F" w:rsidRPr="008F7003" w14:paraId="5C22A318" w14:textId="77777777" w:rsidTr="008F7003">
        <w:trPr>
          <w:cantSplit/>
          <w:trHeight w:val="297"/>
        </w:trPr>
        <w:tc>
          <w:tcPr>
            <w:tcW w:w="178" w:type="pct"/>
            <w:vMerge/>
            <w:shd w:val="clear" w:color="auto" w:fill="auto"/>
            <w:textDirection w:val="btLr"/>
          </w:tcPr>
          <w:p w14:paraId="0243BB62" w14:textId="77777777" w:rsidR="0000405F" w:rsidRPr="008F7003" w:rsidRDefault="0000405F" w:rsidP="008F7003">
            <w:pPr>
              <w:spacing w:before="40" w:after="20"/>
              <w:ind w:left="720"/>
              <w:rPr>
                <w:rFonts w:cs="Arial"/>
                <w:b/>
                <w:sz w:val="17"/>
                <w:szCs w:val="17"/>
              </w:rPr>
            </w:pPr>
          </w:p>
        </w:tc>
        <w:tc>
          <w:tcPr>
            <w:tcW w:w="2606" w:type="pct"/>
            <w:shd w:val="clear" w:color="auto" w:fill="auto"/>
          </w:tcPr>
          <w:p w14:paraId="7B785406" w14:textId="77777777" w:rsidR="0000405F" w:rsidRPr="008F7003" w:rsidRDefault="0000405F" w:rsidP="008F7003">
            <w:pPr>
              <w:pStyle w:val="TableBodyText"/>
              <w:spacing w:before="40" w:after="20"/>
              <w:rPr>
                <w:sz w:val="17"/>
                <w:szCs w:val="17"/>
              </w:rPr>
            </w:pPr>
            <w:r w:rsidRPr="008F7003">
              <w:rPr>
                <w:sz w:val="17"/>
                <w:szCs w:val="17"/>
              </w:rPr>
              <w:t xml:space="preserve">Producers to report on the volume of gas they intend to produce and the volume of production already contracted for each year of the GSOO forecast horizon. </w:t>
            </w:r>
          </w:p>
          <w:p w14:paraId="523C5794" w14:textId="77777777" w:rsidR="0000405F" w:rsidRPr="008F7003" w:rsidRDefault="008F7003" w:rsidP="008F7003">
            <w:pPr>
              <w:pStyle w:val="TableBodyText"/>
              <w:spacing w:before="40" w:after="20"/>
              <w:rPr>
                <w:sz w:val="17"/>
                <w:szCs w:val="17"/>
              </w:rPr>
            </w:pPr>
            <w:r w:rsidRPr="008F7003">
              <w:rPr>
                <w:i/>
                <w:iCs/>
                <w:sz w:val="17"/>
                <w:szCs w:val="17"/>
              </w:rPr>
              <w:t>NT facilities with an exemption under rule 143A would be exempt from requirement.</w:t>
            </w:r>
          </w:p>
        </w:tc>
        <w:tc>
          <w:tcPr>
            <w:tcW w:w="887" w:type="pct"/>
          </w:tcPr>
          <w:p w14:paraId="6FF89ACF" w14:textId="77777777" w:rsidR="0000405F" w:rsidRPr="008F7003" w:rsidRDefault="0000405F" w:rsidP="008F7003">
            <w:pPr>
              <w:pStyle w:val="TableBodyText"/>
              <w:spacing w:before="40" w:after="20"/>
              <w:rPr>
                <w:sz w:val="17"/>
                <w:szCs w:val="17"/>
              </w:rPr>
            </w:pPr>
            <w:r w:rsidRPr="008F7003">
              <w:rPr>
                <w:sz w:val="17"/>
                <w:szCs w:val="17"/>
              </w:rPr>
              <w:t>GSOO</w:t>
            </w:r>
          </w:p>
        </w:tc>
        <w:tc>
          <w:tcPr>
            <w:tcW w:w="1329" w:type="pct"/>
          </w:tcPr>
          <w:p w14:paraId="2F57F36F" w14:textId="77777777" w:rsidR="0000405F" w:rsidRPr="008F7003" w:rsidRDefault="00667F4E" w:rsidP="008F7003">
            <w:pPr>
              <w:pStyle w:val="TableBodyText"/>
              <w:spacing w:before="40" w:after="20"/>
              <w:ind w:left="0"/>
              <w:rPr>
                <w:sz w:val="17"/>
                <w:szCs w:val="17"/>
              </w:rPr>
            </w:pPr>
            <w:r w:rsidRPr="008F7003">
              <w:rPr>
                <w:sz w:val="17"/>
                <w:szCs w:val="17"/>
              </w:rPr>
              <w:t>Annually</w:t>
            </w:r>
          </w:p>
        </w:tc>
      </w:tr>
      <w:tr w:rsidR="0000405F" w:rsidRPr="008F7003" w14:paraId="7FEAF53C" w14:textId="77777777" w:rsidTr="008F7003">
        <w:trPr>
          <w:cantSplit/>
          <w:trHeight w:val="44"/>
        </w:trPr>
        <w:tc>
          <w:tcPr>
            <w:tcW w:w="178" w:type="pct"/>
            <w:vMerge/>
            <w:shd w:val="clear" w:color="auto" w:fill="auto"/>
            <w:textDirection w:val="btLr"/>
          </w:tcPr>
          <w:p w14:paraId="37D7AB48" w14:textId="77777777" w:rsidR="0000405F" w:rsidRPr="008F7003" w:rsidRDefault="0000405F" w:rsidP="008F7003">
            <w:pPr>
              <w:spacing w:before="40" w:after="20"/>
              <w:ind w:left="720"/>
              <w:rPr>
                <w:rFonts w:cs="Arial"/>
                <w:b/>
                <w:sz w:val="17"/>
                <w:szCs w:val="17"/>
              </w:rPr>
            </w:pPr>
          </w:p>
        </w:tc>
        <w:tc>
          <w:tcPr>
            <w:tcW w:w="2606" w:type="pct"/>
            <w:shd w:val="clear" w:color="auto" w:fill="auto"/>
          </w:tcPr>
          <w:p w14:paraId="67D2C1A5" w14:textId="77777777" w:rsidR="0000405F" w:rsidRPr="008F7003" w:rsidRDefault="0000405F" w:rsidP="008F7003">
            <w:pPr>
              <w:pStyle w:val="TableBodyText"/>
              <w:spacing w:before="40" w:after="20"/>
              <w:rPr>
                <w:sz w:val="17"/>
                <w:szCs w:val="17"/>
              </w:rPr>
            </w:pPr>
            <w:r w:rsidRPr="008F7003">
              <w:rPr>
                <w:sz w:val="17"/>
                <w:szCs w:val="17"/>
              </w:rPr>
              <w:t>LNG exporters to report on their LNG facility’s short and medium</w:t>
            </w:r>
            <w:r w:rsidR="009D289B">
              <w:rPr>
                <w:sz w:val="17"/>
                <w:szCs w:val="17"/>
              </w:rPr>
              <w:t xml:space="preserve"> </w:t>
            </w:r>
            <w:r w:rsidRPr="008F7003">
              <w:rPr>
                <w:sz w:val="17"/>
                <w:szCs w:val="17"/>
              </w:rPr>
              <w:t xml:space="preserve">term demand-supply balance. </w:t>
            </w:r>
          </w:p>
          <w:p w14:paraId="1B5BC4A4" w14:textId="77777777" w:rsidR="0000405F" w:rsidRPr="008F7003" w:rsidRDefault="0000405F" w:rsidP="008F7003">
            <w:pPr>
              <w:pStyle w:val="TableBodyText"/>
              <w:spacing w:before="40" w:after="20"/>
              <w:rPr>
                <w:i/>
                <w:iCs/>
                <w:sz w:val="17"/>
                <w:szCs w:val="17"/>
              </w:rPr>
            </w:pPr>
            <w:r w:rsidRPr="008F7003">
              <w:rPr>
                <w:i/>
                <w:iCs/>
                <w:sz w:val="17"/>
                <w:szCs w:val="17"/>
              </w:rPr>
              <w:t xml:space="preserve">NT facilities </w:t>
            </w:r>
            <w:r w:rsidR="00676063" w:rsidRPr="008F7003">
              <w:rPr>
                <w:i/>
                <w:iCs/>
                <w:sz w:val="17"/>
                <w:szCs w:val="17"/>
              </w:rPr>
              <w:t xml:space="preserve">with </w:t>
            </w:r>
            <w:r w:rsidRPr="008F7003">
              <w:rPr>
                <w:i/>
                <w:iCs/>
                <w:sz w:val="17"/>
                <w:szCs w:val="17"/>
              </w:rPr>
              <w:t>an exemption under rule 143A would be exempt from requirement.</w:t>
            </w:r>
          </w:p>
        </w:tc>
        <w:tc>
          <w:tcPr>
            <w:tcW w:w="887" w:type="pct"/>
          </w:tcPr>
          <w:p w14:paraId="2A93780F" w14:textId="77777777" w:rsidR="0000405F" w:rsidRPr="008F7003" w:rsidRDefault="0000405F" w:rsidP="008F7003">
            <w:pPr>
              <w:pStyle w:val="TableBodyText"/>
              <w:spacing w:before="40" w:after="20"/>
              <w:rPr>
                <w:sz w:val="17"/>
                <w:szCs w:val="17"/>
              </w:rPr>
            </w:pPr>
            <w:r w:rsidRPr="008F7003">
              <w:rPr>
                <w:sz w:val="17"/>
                <w:szCs w:val="17"/>
              </w:rPr>
              <w:t>GSOO</w:t>
            </w:r>
          </w:p>
        </w:tc>
        <w:tc>
          <w:tcPr>
            <w:tcW w:w="1329" w:type="pct"/>
          </w:tcPr>
          <w:p w14:paraId="76719EEE" w14:textId="77777777" w:rsidR="0000405F" w:rsidRPr="008F7003" w:rsidRDefault="00667F4E" w:rsidP="008F7003">
            <w:pPr>
              <w:pStyle w:val="TableBodyText"/>
              <w:spacing w:before="40" w:after="20"/>
              <w:ind w:left="0"/>
              <w:rPr>
                <w:sz w:val="17"/>
                <w:szCs w:val="17"/>
              </w:rPr>
            </w:pPr>
            <w:r w:rsidRPr="008F7003">
              <w:rPr>
                <w:sz w:val="17"/>
                <w:szCs w:val="17"/>
              </w:rPr>
              <w:t>Annually</w:t>
            </w:r>
          </w:p>
        </w:tc>
      </w:tr>
      <w:tr w:rsidR="0000405F" w:rsidRPr="008F7003" w14:paraId="6427B4D6" w14:textId="77777777" w:rsidTr="008F7003">
        <w:trPr>
          <w:cantSplit/>
          <w:trHeight w:val="668"/>
        </w:trPr>
        <w:tc>
          <w:tcPr>
            <w:tcW w:w="178" w:type="pct"/>
            <w:vMerge/>
            <w:tcBorders>
              <w:bottom w:val="single" w:sz="4" w:space="0" w:color="auto"/>
            </w:tcBorders>
            <w:shd w:val="clear" w:color="auto" w:fill="auto"/>
            <w:textDirection w:val="btLr"/>
          </w:tcPr>
          <w:p w14:paraId="73CF0AD6" w14:textId="77777777" w:rsidR="0000405F" w:rsidRPr="008F7003" w:rsidRDefault="0000405F" w:rsidP="008F7003">
            <w:pPr>
              <w:spacing w:before="40" w:after="20"/>
              <w:ind w:left="720"/>
              <w:rPr>
                <w:rFonts w:cs="Arial"/>
                <w:b/>
                <w:bCs/>
                <w:sz w:val="17"/>
                <w:szCs w:val="17"/>
              </w:rPr>
            </w:pPr>
          </w:p>
        </w:tc>
        <w:tc>
          <w:tcPr>
            <w:tcW w:w="2606" w:type="pct"/>
            <w:shd w:val="clear" w:color="auto" w:fill="auto"/>
          </w:tcPr>
          <w:p w14:paraId="68DFA050" w14:textId="77777777" w:rsidR="0000405F" w:rsidRPr="008F7003" w:rsidRDefault="0000405F" w:rsidP="008F7003">
            <w:pPr>
              <w:pStyle w:val="TableBodyText"/>
              <w:spacing w:before="40" w:after="20"/>
              <w:rPr>
                <w:sz w:val="17"/>
                <w:szCs w:val="17"/>
              </w:rPr>
            </w:pPr>
            <w:r w:rsidRPr="008F7003">
              <w:rPr>
                <w:sz w:val="17"/>
                <w:szCs w:val="17"/>
              </w:rPr>
              <w:t>LNG import facilities to report:</w:t>
            </w:r>
          </w:p>
          <w:p w14:paraId="6615FE8B" w14:textId="77777777" w:rsidR="0000405F" w:rsidRPr="008F7003" w:rsidRDefault="0000405F" w:rsidP="008F7003">
            <w:pPr>
              <w:pStyle w:val="Newtablebullet"/>
              <w:spacing w:before="40" w:after="20"/>
              <w:rPr>
                <w:sz w:val="17"/>
                <w:szCs w:val="17"/>
              </w:rPr>
            </w:pPr>
            <w:r w:rsidRPr="008F7003">
              <w:rPr>
                <w:sz w:val="17"/>
                <w:szCs w:val="17"/>
              </w:rPr>
              <w:t xml:space="preserve">the volume of LNG imports (reported on a shipment basis along with other shipment information) </w:t>
            </w:r>
          </w:p>
          <w:p w14:paraId="74D30065" w14:textId="77777777" w:rsidR="0000405F" w:rsidRPr="008F7003" w:rsidRDefault="0000405F" w:rsidP="008F7003">
            <w:pPr>
              <w:pStyle w:val="Newtablebullet"/>
              <w:spacing w:before="40" w:after="20"/>
              <w:rPr>
                <w:sz w:val="17"/>
                <w:szCs w:val="17"/>
              </w:rPr>
            </w:pPr>
            <w:r w:rsidRPr="008F7003">
              <w:rPr>
                <w:sz w:val="17"/>
                <w:szCs w:val="17"/>
              </w:rPr>
              <w:t xml:space="preserve">a range of operational and supply information (similar to the information reported by production and storage facilities) </w:t>
            </w:r>
          </w:p>
        </w:tc>
        <w:tc>
          <w:tcPr>
            <w:tcW w:w="887" w:type="pct"/>
          </w:tcPr>
          <w:p w14:paraId="5DC32417" w14:textId="77777777" w:rsidR="0000405F" w:rsidRPr="008F7003" w:rsidRDefault="0000405F" w:rsidP="008F7003">
            <w:pPr>
              <w:pStyle w:val="TableBodyText"/>
              <w:spacing w:before="40" w:after="20"/>
              <w:rPr>
                <w:sz w:val="17"/>
                <w:szCs w:val="17"/>
              </w:rPr>
            </w:pPr>
            <w:r w:rsidRPr="008F7003">
              <w:rPr>
                <w:sz w:val="17"/>
                <w:szCs w:val="17"/>
              </w:rPr>
              <w:t xml:space="preserve">BB and GSOO for information </w:t>
            </w:r>
            <w:r w:rsidR="008F7003" w:rsidRPr="008F7003">
              <w:rPr>
                <w:sz w:val="17"/>
                <w:szCs w:val="17"/>
              </w:rPr>
              <w:t xml:space="preserve">that </w:t>
            </w:r>
            <w:r w:rsidRPr="008F7003">
              <w:rPr>
                <w:sz w:val="17"/>
                <w:szCs w:val="17"/>
              </w:rPr>
              <w:t>informs the demand-supply balance (such as volume of gas expected to be imported and contracted)</w:t>
            </w:r>
          </w:p>
        </w:tc>
        <w:tc>
          <w:tcPr>
            <w:tcW w:w="1329" w:type="pct"/>
          </w:tcPr>
          <w:p w14:paraId="224C7ADF" w14:textId="77777777" w:rsidR="0000405F" w:rsidRPr="008F7003" w:rsidRDefault="007A7139" w:rsidP="008F7003">
            <w:pPr>
              <w:pStyle w:val="TableBodyText"/>
              <w:spacing w:before="40" w:after="20"/>
              <w:ind w:left="0"/>
              <w:rPr>
                <w:sz w:val="17"/>
                <w:szCs w:val="17"/>
              </w:rPr>
            </w:pPr>
            <w:r w:rsidRPr="008F7003">
              <w:rPr>
                <w:sz w:val="17"/>
                <w:szCs w:val="17"/>
              </w:rPr>
              <w:t xml:space="preserve">LNG imports: </w:t>
            </w:r>
            <w:r w:rsidR="00667F4E" w:rsidRPr="008F7003">
              <w:rPr>
                <w:sz w:val="17"/>
                <w:szCs w:val="17"/>
              </w:rPr>
              <w:t xml:space="preserve">No later than </w:t>
            </w:r>
            <w:r w:rsidRPr="008F7003">
              <w:rPr>
                <w:sz w:val="17"/>
                <w:szCs w:val="17"/>
              </w:rPr>
              <w:t xml:space="preserve">1 </w:t>
            </w:r>
            <w:r w:rsidR="00667F4E" w:rsidRPr="008F7003">
              <w:rPr>
                <w:sz w:val="17"/>
                <w:szCs w:val="17"/>
              </w:rPr>
              <w:t xml:space="preserve">business day after </w:t>
            </w:r>
            <w:r w:rsidR="00B15FD5" w:rsidRPr="008F7003">
              <w:rPr>
                <w:sz w:val="17"/>
                <w:szCs w:val="17"/>
              </w:rPr>
              <w:t xml:space="preserve">unloading </w:t>
            </w:r>
            <w:r w:rsidR="00667F4E" w:rsidRPr="008F7003">
              <w:rPr>
                <w:sz w:val="17"/>
                <w:szCs w:val="17"/>
              </w:rPr>
              <w:t>commence</w:t>
            </w:r>
            <w:r w:rsidR="00B15FD5" w:rsidRPr="008F7003">
              <w:rPr>
                <w:sz w:val="17"/>
                <w:szCs w:val="17"/>
              </w:rPr>
              <w:t>s</w:t>
            </w:r>
            <w:r w:rsidRPr="008F7003">
              <w:rPr>
                <w:sz w:val="17"/>
                <w:szCs w:val="17"/>
              </w:rPr>
              <w:t>.</w:t>
            </w:r>
          </w:p>
          <w:p w14:paraId="6B1281CB" w14:textId="77777777" w:rsidR="007A7139" w:rsidRPr="008F7003" w:rsidRDefault="007A7139" w:rsidP="008F7003">
            <w:pPr>
              <w:pStyle w:val="TableBodyText"/>
              <w:spacing w:before="40" w:after="20"/>
              <w:ind w:left="0"/>
              <w:rPr>
                <w:sz w:val="17"/>
                <w:szCs w:val="17"/>
              </w:rPr>
            </w:pPr>
            <w:r w:rsidRPr="008F7003">
              <w:rPr>
                <w:sz w:val="17"/>
                <w:szCs w:val="17"/>
              </w:rPr>
              <w:t xml:space="preserve">Operational and supply </w:t>
            </w:r>
            <w:r w:rsidR="00B15FD5" w:rsidRPr="008F7003">
              <w:rPr>
                <w:sz w:val="17"/>
                <w:szCs w:val="17"/>
              </w:rPr>
              <w:t>info</w:t>
            </w:r>
            <w:r w:rsidRPr="008F7003">
              <w:rPr>
                <w:sz w:val="17"/>
                <w:szCs w:val="17"/>
              </w:rPr>
              <w:t xml:space="preserve">: </w:t>
            </w:r>
            <w:r w:rsidR="005B2556" w:rsidRPr="008F7003">
              <w:rPr>
                <w:sz w:val="17"/>
                <w:szCs w:val="17"/>
              </w:rPr>
              <w:t>Daily.</w:t>
            </w:r>
          </w:p>
          <w:p w14:paraId="400A3F35" w14:textId="77777777" w:rsidR="005B2556" w:rsidRPr="008F7003" w:rsidRDefault="005B2556" w:rsidP="008F7003">
            <w:pPr>
              <w:pStyle w:val="TableBodyText"/>
              <w:spacing w:before="40" w:after="20"/>
              <w:ind w:left="0"/>
              <w:rPr>
                <w:sz w:val="17"/>
                <w:szCs w:val="17"/>
              </w:rPr>
            </w:pPr>
            <w:r w:rsidRPr="008F7003">
              <w:rPr>
                <w:sz w:val="17"/>
                <w:szCs w:val="17"/>
              </w:rPr>
              <w:t xml:space="preserve">GSOO </w:t>
            </w:r>
            <w:r w:rsidR="00B15FD5" w:rsidRPr="008F7003">
              <w:rPr>
                <w:sz w:val="17"/>
                <w:szCs w:val="17"/>
              </w:rPr>
              <w:t>info</w:t>
            </w:r>
            <w:r w:rsidRPr="008F7003">
              <w:rPr>
                <w:sz w:val="17"/>
                <w:szCs w:val="17"/>
              </w:rPr>
              <w:t xml:space="preserve">: Annually </w:t>
            </w:r>
          </w:p>
        </w:tc>
      </w:tr>
      <w:tr w:rsidR="0000405F" w:rsidRPr="008F7003" w14:paraId="6977C53B" w14:textId="77777777" w:rsidTr="008F7003">
        <w:trPr>
          <w:cantSplit/>
          <w:trHeight w:val="1386"/>
        </w:trPr>
        <w:tc>
          <w:tcPr>
            <w:tcW w:w="178" w:type="pct"/>
            <w:vMerge w:val="restart"/>
            <w:shd w:val="clear" w:color="auto" w:fill="auto"/>
            <w:textDirection w:val="btLr"/>
          </w:tcPr>
          <w:p w14:paraId="625154C0" w14:textId="77777777" w:rsidR="0000405F" w:rsidRPr="008F7003" w:rsidRDefault="0000405F" w:rsidP="008F7003">
            <w:pPr>
              <w:spacing w:before="40" w:after="20"/>
              <w:ind w:left="720"/>
              <w:contextualSpacing/>
              <w:rPr>
                <w:rFonts w:cs="Arial"/>
                <w:b/>
                <w:sz w:val="17"/>
                <w:szCs w:val="17"/>
              </w:rPr>
            </w:pPr>
            <w:r w:rsidRPr="008F7003">
              <w:rPr>
                <w:rFonts w:cs="Arial"/>
                <w:b/>
                <w:sz w:val="17"/>
                <w:szCs w:val="17"/>
              </w:rPr>
              <w:t>Demand for gas</w:t>
            </w:r>
          </w:p>
        </w:tc>
        <w:tc>
          <w:tcPr>
            <w:tcW w:w="2606" w:type="pct"/>
            <w:shd w:val="clear" w:color="auto" w:fill="auto"/>
          </w:tcPr>
          <w:p w14:paraId="652D2FE0" w14:textId="77777777" w:rsidR="0000405F" w:rsidRPr="008F7003" w:rsidRDefault="0000405F" w:rsidP="008F7003">
            <w:pPr>
              <w:pStyle w:val="TableBodyText"/>
              <w:spacing w:before="40" w:after="20"/>
              <w:rPr>
                <w:sz w:val="17"/>
                <w:szCs w:val="17"/>
              </w:rPr>
            </w:pPr>
            <w:r w:rsidRPr="008F7003">
              <w:rPr>
                <w:sz w:val="17"/>
                <w:szCs w:val="17"/>
              </w:rPr>
              <w:t>Large users that meet the reporting threshold (i.e. connection point capacity of 10TJ/day or more) to report the following:</w:t>
            </w:r>
          </w:p>
          <w:p w14:paraId="11929452" w14:textId="77777777" w:rsidR="0000405F" w:rsidRPr="008F7003" w:rsidRDefault="0000405F" w:rsidP="008F7003">
            <w:pPr>
              <w:pStyle w:val="Newtablebullet"/>
              <w:spacing w:before="40" w:after="20"/>
              <w:rPr>
                <w:sz w:val="17"/>
                <w:szCs w:val="17"/>
              </w:rPr>
            </w:pPr>
            <w:r w:rsidRPr="008F7003">
              <w:rPr>
                <w:sz w:val="17"/>
                <w:szCs w:val="17"/>
              </w:rPr>
              <w:t>the nameplate capacity of the connection point to their facility;</w:t>
            </w:r>
          </w:p>
          <w:p w14:paraId="3F50CF80" w14:textId="77777777" w:rsidR="0000405F" w:rsidRPr="008F7003" w:rsidRDefault="0000405F" w:rsidP="008F7003">
            <w:pPr>
              <w:pStyle w:val="Newtablebullet"/>
              <w:spacing w:before="40" w:after="20"/>
              <w:rPr>
                <w:sz w:val="17"/>
                <w:szCs w:val="17"/>
              </w:rPr>
            </w:pPr>
            <w:r w:rsidRPr="008F7003">
              <w:rPr>
                <w:sz w:val="17"/>
                <w:szCs w:val="17"/>
              </w:rPr>
              <w:t>detailed facility information (i.e. the name of the pipeline and delivery points to which their facility is connected); and</w:t>
            </w:r>
          </w:p>
          <w:p w14:paraId="1A3546CE" w14:textId="77777777" w:rsidR="0000405F" w:rsidRPr="008F7003" w:rsidRDefault="0000405F" w:rsidP="008F7003">
            <w:pPr>
              <w:pStyle w:val="Newtablebullet"/>
              <w:spacing w:before="40" w:after="20"/>
              <w:rPr>
                <w:sz w:val="17"/>
                <w:szCs w:val="17"/>
              </w:rPr>
            </w:pPr>
            <w:r w:rsidRPr="008F7003">
              <w:rPr>
                <w:sz w:val="17"/>
                <w:szCs w:val="17"/>
              </w:rPr>
              <w:t>daily gas consumption (to be reported in accordance with the timing in the BB Procedures).</w:t>
            </w:r>
            <w:r w:rsidRPr="008F7003">
              <w:rPr>
                <w:sz w:val="17"/>
                <w:szCs w:val="17"/>
                <w:vertAlign w:val="superscript"/>
              </w:rPr>
              <w:t>2</w:t>
            </w:r>
            <w:r w:rsidRPr="008F7003">
              <w:rPr>
                <w:sz w:val="17"/>
                <w:szCs w:val="17"/>
              </w:rPr>
              <w:t xml:space="preserve"> </w:t>
            </w:r>
          </w:p>
        </w:tc>
        <w:tc>
          <w:tcPr>
            <w:tcW w:w="887" w:type="pct"/>
          </w:tcPr>
          <w:p w14:paraId="08EA167E" w14:textId="77777777" w:rsidR="0000405F" w:rsidRPr="008F7003" w:rsidRDefault="0000405F" w:rsidP="008F7003">
            <w:pPr>
              <w:pStyle w:val="TableBodyText"/>
              <w:spacing w:before="40" w:after="20"/>
              <w:rPr>
                <w:sz w:val="17"/>
                <w:szCs w:val="17"/>
              </w:rPr>
            </w:pPr>
            <w:r w:rsidRPr="008F7003">
              <w:rPr>
                <w:sz w:val="17"/>
                <w:szCs w:val="17"/>
              </w:rPr>
              <w:t>BB</w:t>
            </w:r>
          </w:p>
        </w:tc>
        <w:tc>
          <w:tcPr>
            <w:tcW w:w="1329" w:type="pct"/>
          </w:tcPr>
          <w:p w14:paraId="176DA875" w14:textId="77777777" w:rsidR="00DF53F7" w:rsidRPr="008F7003" w:rsidRDefault="00DF53F7" w:rsidP="008F7003">
            <w:pPr>
              <w:pStyle w:val="TableBodyText"/>
              <w:spacing w:before="40" w:after="20"/>
              <w:ind w:left="0"/>
              <w:rPr>
                <w:sz w:val="17"/>
                <w:szCs w:val="17"/>
              </w:rPr>
            </w:pPr>
            <w:r w:rsidRPr="008F7003">
              <w:rPr>
                <w:sz w:val="17"/>
                <w:szCs w:val="17"/>
              </w:rPr>
              <w:t>Nameplate capacity</w:t>
            </w:r>
            <w:r w:rsidR="005B2556" w:rsidRPr="008F7003">
              <w:rPr>
                <w:sz w:val="17"/>
                <w:szCs w:val="17"/>
              </w:rPr>
              <w:t>:</w:t>
            </w:r>
            <w:r w:rsidRPr="008F7003">
              <w:rPr>
                <w:sz w:val="17"/>
                <w:szCs w:val="17"/>
              </w:rPr>
              <w:t xml:space="preserve"> </w:t>
            </w:r>
            <w:r w:rsidR="005B2556" w:rsidRPr="008F7003">
              <w:rPr>
                <w:sz w:val="17"/>
                <w:szCs w:val="17"/>
              </w:rPr>
              <w:t xml:space="preserve">On registration and then </w:t>
            </w:r>
            <w:r w:rsidRPr="008F7003">
              <w:rPr>
                <w:sz w:val="17"/>
                <w:szCs w:val="17"/>
              </w:rPr>
              <w:t>annually</w:t>
            </w:r>
            <w:r w:rsidR="005B2556" w:rsidRPr="008F7003">
              <w:rPr>
                <w:sz w:val="17"/>
                <w:szCs w:val="17"/>
              </w:rPr>
              <w:t xml:space="preserve">, with updates </w:t>
            </w:r>
            <w:r w:rsidR="00B15FD5" w:rsidRPr="008F7003">
              <w:rPr>
                <w:sz w:val="17"/>
                <w:szCs w:val="17"/>
              </w:rPr>
              <w:t>required</w:t>
            </w:r>
            <w:r w:rsidR="005B2556" w:rsidRPr="008F7003">
              <w:rPr>
                <w:sz w:val="17"/>
                <w:szCs w:val="17"/>
              </w:rPr>
              <w:t xml:space="preserve"> if </w:t>
            </w:r>
            <w:r w:rsidRPr="008F7003">
              <w:rPr>
                <w:sz w:val="17"/>
                <w:szCs w:val="17"/>
              </w:rPr>
              <w:t>material change</w:t>
            </w:r>
            <w:r w:rsidR="005B2556" w:rsidRPr="008F7003">
              <w:rPr>
                <w:sz w:val="17"/>
                <w:szCs w:val="17"/>
              </w:rPr>
              <w:t>s</w:t>
            </w:r>
            <w:r w:rsidRPr="008F7003">
              <w:rPr>
                <w:sz w:val="17"/>
                <w:szCs w:val="17"/>
              </w:rPr>
              <w:t xml:space="preserve">. </w:t>
            </w:r>
          </w:p>
          <w:p w14:paraId="64E44B52" w14:textId="77777777" w:rsidR="0000405F" w:rsidRPr="008F7003" w:rsidRDefault="00DF53F7" w:rsidP="008F7003">
            <w:pPr>
              <w:pStyle w:val="TableBodyText"/>
              <w:spacing w:before="40" w:after="20"/>
              <w:ind w:left="0"/>
              <w:rPr>
                <w:sz w:val="17"/>
                <w:szCs w:val="17"/>
              </w:rPr>
            </w:pPr>
            <w:r w:rsidRPr="008F7003">
              <w:rPr>
                <w:sz w:val="17"/>
                <w:szCs w:val="17"/>
              </w:rPr>
              <w:t xml:space="preserve">Detailed facility </w:t>
            </w:r>
            <w:r w:rsidR="00B15FD5" w:rsidRPr="008F7003">
              <w:rPr>
                <w:sz w:val="17"/>
                <w:szCs w:val="17"/>
              </w:rPr>
              <w:t>info</w:t>
            </w:r>
            <w:r w:rsidR="005B2556" w:rsidRPr="008F7003">
              <w:rPr>
                <w:sz w:val="17"/>
                <w:szCs w:val="17"/>
              </w:rPr>
              <w:t>:</w:t>
            </w:r>
            <w:r w:rsidRPr="008F7003">
              <w:rPr>
                <w:sz w:val="17"/>
                <w:szCs w:val="17"/>
              </w:rPr>
              <w:t xml:space="preserve"> </w:t>
            </w:r>
            <w:r w:rsidR="005B2556" w:rsidRPr="008F7003">
              <w:rPr>
                <w:sz w:val="17"/>
                <w:szCs w:val="17"/>
              </w:rPr>
              <w:t>O</w:t>
            </w:r>
            <w:r w:rsidRPr="008F7003">
              <w:rPr>
                <w:sz w:val="17"/>
                <w:szCs w:val="17"/>
              </w:rPr>
              <w:t>n registration</w:t>
            </w:r>
            <w:r w:rsidR="00B15FD5" w:rsidRPr="008F7003">
              <w:rPr>
                <w:sz w:val="17"/>
                <w:szCs w:val="17"/>
              </w:rPr>
              <w:t xml:space="preserve">, with updates required </w:t>
            </w:r>
            <w:r w:rsidRPr="008F7003">
              <w:rPr>
                <w:sz w:val="17"/>
                <w:szCs w:val="17"/>
              </w:rPr>
              <w:t xml:space="preserve">if information is no longer accurate.  </w:t>
            </w:r>
          </w:p>
          <w:p w14:paraId="252A792F" w14:textId="77777777" w:rsidR="00A05C23" w:rsidRPr="008F7003" w:rsidRDefault="00A05C23" w:rsidP="008F7003">
            <w:pPr>
              <w:pStyle w:val="TableBodyText"/>
              <w:spacing w:before="40" w:after="20"/>
              <w:ind w:left="0"/>
              <w:rPr>
                <w:sz w:val="17"/>
                <w:szCs w:val="17"/>
              </w:rPr>
            </w:pPr>
            <w:r w:rsidRPr="008F7003">
              <w:rPr>
                <w:sz w:val="17"/>
                <w:szCs w:val="17"/>
              </w:rPr>
              <w:t>Daily consumption</w:t>
            </w:r>
            <w:r w:rsidR="005B2556" w:rsidRPr="008F7003">
              <w:rPr>
                <w:sz w:val="17"/>
                <w:szCs w:val="17"/>
              </w:rPr>
              <w:t>:</w:t>
            </w:r>
            <w:r w:rsidRPr="008F7003">
              <w:rPr>
                <w:sz w:val="17"/>
                <w:szCs w:val="17"/>
              </w:rPr>
              <w:t xml:space="preserve"> </w:t>
            </w:r>
            <w:r w:rsidR="005B2556" w:rsidRPr="008F7003">
              <w:rPr>
                <w:sz w:val="17"/>
                <w:szCs w:val="17"/>
              </w:rPr>
              <w:t>D</w:t>
            </w:r>
            <w:r w:rsidRPr="008F7003">
              <w:rPr>
                <w:sz w:val="17"/>
                <w:szCs w:val="17"/>
              </w:rPr>
              <w:t>aily</w:t>
            </w:r>
          </w:p>
        </w:tc>
      </w:tr>
      <w:tr w:rsidR="0000405F" w:rsidRPr="008F7003" w14:paraId="253296EA" w14:textId="77777777" w:rsidTr="008F7003">
        <w:trPr>
          <w:cantSplit/>
          <w:trHeight w:val="2365"/>
        </w:trPr>
        <w:tc>
          <w:tcPr>
            <w:tcW w:w="178" w:type="pct"/>
            <w:vMerge/>
            <w:tcBorders>
              <w:bottom w:val="single" w:sz="4" w:space="0" w:color="auto"/>
            </w:tcBorders>
            <w:shd w:val="clear" w:color="auto" w:fill="auto"/>
            <w:textDirection w:val="btLr"/>
          </w:tcPr>
          <w:p w14:paraId="32D65B60" w14:textId="77777777" w:rsidR="0000405F" w:rsidRPr="008F7003" w:rsidRDefault="0000405F" w:rsidP="008F7003">
            <w:pPr>
              <w:spacing w:before="40" w:after="20"/>
              <w:ind w:left="720"/>
              <w:contextualSpacing/>
              <w:rPr>
                <w:rFonts w:cs="Arial"/>
                <w:b/>
                <w:sz w:val="17"/>
                <w:szCs w:val="17"/>
              </w:rPr>
            </w:pPr>
          </w:p>
        </w:tc>
        <w:tc>
          <w:tcPr>
            <w:tcW w:w="2606" w:type="pct"/>
            <w:shd w:val="clear" w:color="auto" w:fill="auto"/>
          </w:tcPr>
          <w:p w14:paraId="647C3DC7" w14:textId="77777777" w:rsidR="0000405F" w:rsidRPr="008F7003" w:rsidRDefault="0000405F" w:rsidP="008F7003">
            <w:pPr>
              <w:pStyle w:val="TableBodyText"/>
              <w:spacing w:before="40" w:after="20"/>
              <w:rPr>
                <w:sz w:val="17"/>
                <w:szCs w:val="17"/>
              </w:rPr>
            </w:pPr>
            <w:r w:rsidRPr="008F7003">
              <w:rPr>
                <w:sz w:val="17"/>
                <w:szCs w:val="17"/>
              </w:rPr>
              <w:t>LNG exporters to report:</w:t>
            </w:r>
          </w:p>
          <w:p w14:paraId="0D5AD536" w14:textId="77777777" w:rsidR="0000405F" w:rsidRPr="008F7003" w:rsidRDefault="0000405F" w:rsidP="008F7003">
            <w:pPr>
              <w:pStyle w:val="Newtablebullet"/>
              <w:spacing w:before="40" w:after="20"/>
              <w:rPr>
                <w:sz w:val="17"/>
                <w:szCs w:val="17"/>
              </w:rPr>
            </w:pPr>
            <w:r w:rsidRPr="008F7003">
              <w:rPr>
                <w:sz w:val="17"/>
                <w:szCs w:val="17"/>
              </w:rPr>
              <w:t>the nameplate capacity of the connection point to their LNG export facility and the nameplate capacity of the LNG export facility;</w:t>
            </w:r>
          </w:p>
          <w:p w14:paraId="70B22AE4" w14:textId="77777777" w:rsidR="0000405F" w:rsidRPr="008F7003" w:rsidRDefault="0000405F" w:rsidP="008F7003">
            <w:pPr>
              <w:pStyle w:val="Newtablebullet"/>
              <w:spacing w:before="40" w:after="20"/>
              <w:rPr>
                <w:sz w:val="17"/>
                <w:szCs w:val="17"/>
              </w:rPr>
            </w:pPr>
            <w:r w:rsidRPr="008F7003">
              <w:rPr>
                <w:sz w:val="17"/>
                <w:szCs w:val="17"/>
              </w:rPr>
              <w:t>detailed facility information (i.e. the name of the pipeline and delivery points to which their facility is connected);</w:t>
            </w:r>
          </w:p>
          <w:p w14:paraId="7E246875" w14:textId="77777777" w:rsidR="0000405F" w:rsidRPr="008F7003" w:rsidRDefault="0000405F" w:rsidP="008F7003">
            <w:pPr>
              <w:pStyle w:val="Newtablebullet"/>
              <w:spacing w:before="40" w:after="20"/>
              <w:rPr>
                <w:sz w:val="17"/>
                <w:szCs w:val="17"/>
              </w:rPr>
            </w:pPr>
            <w:r w:rsidRPr="008F7003">
              <w:rPr>
                <w:sz w:val="17"/>
                <w:szCs w:val="17"/>
              </w:rPr>
              <w:t xml:space="preserve">the short and medium term capacity outlook for the LNG export facility; </w:t>
            </w:r>
          </w:p>
          <w:p w14:paraId="55C8459E" w14:textId="77777777" w:rsidR="0000405F" w:rsidRPr="008F7003" w:rsidRDefault="0000405F" w:rsidP="008F7003">
            <w:pPr>
              <w:pStyle w:val="Newtablebullet"/>
              <w:spacing w:before="40" w:after="20"/>
              <w:rPr>
                <w:sz w:val="17"/>
                <w:szCs w:val="17"/>
              </w:rPr>
            </w:pPr>
            <w:r w:rsidRPr="008F7003">
              <w:rPr>
                <w:sz w:val="17"/>
                <w:szCs w:val="17"/>
              </w:rPr>
              <w:t>daily gas consumption by the LNG export facility;</w:t>
            </w:r>
            <w:r w:rsidRPr="008F7003">
              <w:rPr>
                <w:sz w:val="17"/>
                <w:szCs w:val="17"/>
                <w:vertAlign w:val="superscript"/>
              </w:rPr>
              <w:t>3</w:t>
            </w:r>
            <w:r w:rsidRPr="008F7003">
              <w:rPr>
                <w:sz w:val="17"/>
                <w:szCs w:val="17"/>
              </w:rPr>
              <w:t xml:space="preserve"> and</w:t>
            </w:r>
          </w:p>
          <w:p w14:paraId="7F2394A3" w14:textId="77777777" w:rsidR="0000405F" w:rsidRPr="008F7003" w:rsidRDefault="0000405F" w:rsidP="008F7003">
            <w:pPr>
              <w:pStyle w:val="Newtablebullet"/>
              <w:spacing w:before="40" w:after="20"/>
              <w:rPr>
                <w:sz w:val="17"/>
                <w:szCs w:val="17"/>
              </w:rPr>
            </w:pPr>
            <w:proofErr w:type="gramStart"/>
            <w:r w:rsidRPr="008F7003">
              <w:rPr>
                <w:sz w:val="17"/>
                <w:szCs w:val="17"/>
              </w:rPr>
              <w:t>the</w:t>
            </w:r>
            <w:proofErr w:type="gramEnd"/>
            <w:r w:rsidRPr="008F7003">
              <w:rPr>
                <w:sz w:val="17"/>
                <w:szCs w:val="17"/>
              </w:rPr>
              <w:t xml:space="preserve"> volume of LNG exported in each shipment.</w:t>
            </w:r>
          </w:p>
          <w:p w14:paraId="130A340B" w14:textId="77777777" w:rsidR="0000405F" w:rsidRPr="008F7003" w:rsidRDefault="0000405F" w:rsidP="008F7003">
            <w:pPr>
              <w:pStyle w:val="TableBodyText"/>
              <w:spacing w:before="40" w:after="20"/>
              <w:rPr>
                <w:sz w:val="17"/>
                <w:szCs w:val="17"/>
              </w:rPr>
            </w:pPr>
            <w:r w:rsidRPr="008F7003">
              <w:rPr>
                <w:sz w:val="17"/>
                <w:szCs w:val="17"/>
              </w:rPr>
              <w:t>NT facilities that have an exemption under rule 143A would be exempt from this requirement.</w:t>
            </w:r>
          </w:p>
        </w:tc>
        <w:tc>
          <w:tcPr>
            <w:tcW w:w="887" w:type="pct"/>
          </w:tcPr>
          <w:p w14:paraId="097B432C" w14:textId="77777777" w:rsidR="0000405F" w:rsidRPr="008F7003" w:rsidRDefault="0000405F" w:rsidP="008F7003">
            <w:pPr>
              <w:pStyle w:val="TableBodyText"/>
              <w:spacing w:before="40" w:after="20"/>
              <w:rPr>
                <w:sz w:val="17"/>
                <w:szCs w:val="17"/>
              </w:rPr>
            </w:pPr>
            <w:r w:rsidRPr="008F7003">
              <w:rPr>
                <w:sz w:val="17"/>
                <w:szCs w:val="17"/>
              </w:rPr>
              <w:t>BB</w:t>
            </w:r>
          </w:p>
        </w:tc>
        <w:tc>
          <w:tcPr>
            <w:tcW w:w="1329" w:type="pct"/>
          </w:tcPr>
          <w:p w14:paraId="58CC92CD" w14:textId="77777777" w:rsidR="00210B99" w:rsidRPr="008F7003" w:rsidRDefault="00210B99" w:rsidP="008F7003">
            <w:pPr>
              <w:pStyle w:val="TableBodyText"/>
              <w:spacing w:before="40" w:after="20"/>
              <w:ind w:left="0"/>
              <w:rPr>
                <w:sz w:val="17"/>
                <w:szCs w:val="17"/>
              </w:rPr>
            </w:pPr>
            <w:r w:rsidRPr="008F7003">
              <w:rPr>
                <w:sz w:val="17"/>
                <w:szCs w:val="17"/>
              </w:rPr>
              <w:t>Nameplate capacity</w:t>
            </w:r>
            <w:r w:rsidR="005B2556" w:rsidRPr="008F7003">
              <w:rPr>
                <w:sz w:val="17"/>
                <w:szCs w:val="17"/>
              </w:rPr>
              <w:t xml:space="preserve">: On </w:t>
            </w:r>
            <w:r w:rsidRPr="008F7003">
              <w:rPr>
                <w:sz w:val="17"/>
                <w:szCs w:val="17"/>
              </w:rPr>
              <w:t xml:space="preserve">registration and </w:t>
            </w:r>
            <w:r w:rsidR="005B2556" w:rsidRPr="008F7003">
              <w:rPr>
                <w:sz w:val="17"/>
                <w:szCs w:val="17"/>
              </w:rPr>
              <w:t xml:space="preserve">then </w:t>
            </w:r>
            <w:r w:rsidRPr="008F7003">
              <w:rPr>
                <w:sz w:val="17"/>
                <w:szCs w:val="17"/>
              </w:rPr>
              <w:t>annually</w:t>
            </w:r>
            <w:r w:rsidR="005B2556" w:rsidRPr="008F7003">
              <w:rPr>
                <w:sz w:val="17"/>
                <w:szCs w:val="17"/>
              </w:rPr>
              <w:t xml:space="preserve">, with updates </w:t>
            </w:r>
            <w:r w:rsidR="00B15FD5" w:rsidRPr="008F7003">
              <w:rPr>
                <w:sz w:val="17"/>
                <w:szCs w:val="17"/>
              </w:rPr>
              <w:t>required</w:t>
            </w:r>
            <w:r w:rsidR="005B2556" w:rsidRPr="008F7003">
              <w:rPr>
                <w:sz w:val="17"/>
                <w:szCs w:val="17"/>
              </w:rPr>
              <w:t xml:space="preserve"> if </w:t>
            </w:r>
            <w:r w:rsidRPr="008F7003">
              <w:rPr>
                <w:sz w:val="17"/>
                <w:szCs w:val="17"/>
              </w:rPr>
              <w:t>material change</w:t>
            </w:r>
            <w:r w:rsidR="005B2556" w:rsidRPr="008F7003">
              <w:rPr>
                <w:sz w:val="17"/>
                <w:szCs w:val="17"/>
              </w:rPr>
              <w:t>s</w:t>
            </w:r>
            <w:r w:rsidRPr="008F7003">
              <w:rPr>
                <w:sz w:val="17"/>
                <w:szCs w:val="17"/>
              </w:rPr>
              <w:t xml:space="preserve">. </w:t>
            </w:r>
          </w:p>
          <w:p w14:paraId="3B289592" w14:textId="77777777" w:rsidR="005B2556" w:rsidRPr="008F7003" w:rsidRDefault="005B2556" w:rsidP="008F7003">
            <w:pPr>
              <w:pStyle w:val="TableBodyText"/>
              <w:spacing w:before="40" w:after="20"/>
              <w:ind w:left="0"/>
              <w:rPr>
                <w:sz w:val="17"/>
                <w:szCs w:val="17"/>
              </w:rPr>
            </w:pPr>
            <w:r w:rsidRPr="008F7003">
              <w:rPr>
                <w:sz w:val="17"/>
                <w:szCs w:val="17"/>
              </w:rPr>
              <w:t xml:space="preserve">Detailed facility </w:t>
            </w:r>
            <w:r w:rsidR="00B15FD5" w:rsidRPr="008F7003">
              <w:rPr>
                <w:sz w:val="17"/>
                <w:szCs w:val="17"/>
              </w:rPr>
              <w:t>info</w:t>
            </w:r>
            <w:r w:rsidRPr="008F7003">
              <w:rPr>
                <w:sz w:val="17"/>
                <w:szCs w:val="17"/>
              </w:rPr>
              <w:t>: On registration</w:t>
            </w:r>
            <w:r w:rsidR="00B15FD5" w:rsidRPr="008F7003">
              <w:rPr>
                <w:sz w:val="17"/>
                <w:szCs w:val="17"/>
              </w:rPr>
              <w:t xml:space="preserve">, with </w:t>
            </w:r>
            <w:r w:rsidRPr="008F7003">
              <w:rPr>
                <w:sz w:val="17"/>
                <w:szCs w:val="17"/>
              </w:rPr>
              <w:t>update</w:t>
            </w:r>
            <w:r w:rsidR="00B15FD5" w:rsidRPr="008F7003">
              <w:rPr>
                <w:sz w:val="17"/>
                <w:szCs w:val="17"/>
              </w:rPr>
              <w:t>s required</w:t>
            </w:r>
            <w:r w:rsidRPr="008F7003">
              <w:rPr>
                <w:sz w:val="17"/>
                <w:szCs w:val="17"/>
              </w:rPr>
              <w:t xml:space="preserve"> if information is no longer accurate.  </w:t>
            </w:r>
          </w:p>
          <w:p w14:paraId="1EFEC660" w14:textId="77777777" w:rsidR="0000405F" w:rsidRPr="008F7003" w:rsidRDefault="00210B99" w:rsidP="008F7003">
            <w:pPr>
              <w:pStyle w:val="TableBodyText"/>
              <w:spacing w:before="40" w:after="20"/>
              <w:ind w:left="0"/>
              <w:rPr>
                <w:sz w:val="17"/>
                <w:szCs w:val="17"/>
              </w:rPr>
            </w:pPr>
            <w:r w:rsidRPr="008F7003">
              <w:rPr>
                <w:sz w:val="17"/>
                <w:szCs w:val="17"/>
              </w:rPr>
              <w:t>Capacity outlook</w:t>
            </w:r>
            <w:r w:rsidR="005B2556" w:rsidRPr="008F7003">
              <w:rPr>
                <w:sz w:val="17"/>
                <w:szCs w:val="17"/>
              </w:rPr>
              <w:t>s:</w:t>
            </w:r>
            <w:r w:rsidRPr="008F7003">
              <w:rPr>
                <w:sz w:val="17"/>
                <w:szCs w:val="17"/>
              </w:rPr>
              <w:t xml:space="preserve"> </w:t>
            </w:r>
            <w:r w:rsidR="005B2556" w:rsidRPr="008F7003">
              <w:rPr>
                <w:sz w:val="17"/>
                <w:szCs w:val="17"/>
              </w:rPr>
              <w:t>D</w:t>
            </w:r>
            <w:r w:rsidRPr="008F7003">
              <w:rPr>
                <w:sz w:val="17"/>
                <w:szCs w:val="17"/>
              </w:rPr>
              <w:t xml:space="preserve">aily. </w:t>
            </w:r>
          </w:p>
          <w:p w14:paraId="2F0D1D87" w14:textId="77777777" w:rsidR="005B2556" w:rsidRPr="008F7003" w:rsidRDefault="005B2556" w:rsidP="008F7003">
            <w:pPr>
              <w:pStyle w:val="TableBodyText"/>
              <w:spacing w:before="40" w:after="20"/>
              <w:ind w:left="0"/>
              <w:rPr>
                <w:sz w:val="17"/>
                <w:szCs w:val="17"/>
              </w:rPr>
            </w:pPr>
            <w:r w:rsidRPr="008F7003">
              <w:rPr>
                <w:sz w:val="17"/>
                <w:szCs w:val="17"/>
              </w:rPr>
              <w:t xml:space="preserve">LNG </w:t>
            </w:r>
            <w:r w:rsidR="00B15FD5" w:rsidRPr="008F7003">
              <w:rPr>
                <w:sz w:val="17"/>
                <w:szCs w:val="17"/>
              </w:rPr>
              <w:t>exports</w:t>
            </w:r>
            <w:r w:rsidRPr="008F7003">
              <w:rPr>
                <w:sz w:val="17"/>
                <w:szCs w:val="17"/>
              </w:rPr>
              <w:t xml:space="preserve">: Within 1 business day after LNG loaded, with AEMO to publish information no earlier than 20 business days after the end of the month </w:t>
            </w:r>
            <w:r w:rsidR="007C7CD0">
              <w:rPr>
                <w:sz w:val="17"/>
                <w:szCs w:val="17"/>
              </w:rPr>
              <w:t xml:space="preserve">it </w:t>
            </w:r>
            <w:r w:rsidRPr="008F7003">
              <w:rPr>
                <w:sz w:val="17"/>
                <w:szCs w:val="17"/>
              </w:rPr>
              <w:t>is loaded.</w:t>
            </w:r>
          </w:p>
        </w:tc>
      </w:tr>
      <w:tr w:rsidR="0000405F" w:rsidRPr="008F7003" w14:paraId="0E4E6062" w14:textId="77777777" w:rsidTr="008F7003">
        <w:trPr>
          <w:cantSplit/>
          <w:trHeight w:val="1664"/>
        </w:trPr>
        <w:tc>
          <w:tcPr>
            <w:tcW w:w="178" w:type="pct"/>
            <w:vMerge w:val="restart"/>
            <w:shd w:val="clear" w:color="auto" w:fill="auto"/>
            <w:textDirection w:val="btLr"/>
          </w:tcPr>
          <w:p w14:paraId="20D464CE" w14:textId="77777777" w:rsidR="0000405F" w:rsidRPr="008F7003" w:rsidRDefault="0000405F" w:rsidP="008F7003">
            <w:pPr>
              <w:spacing w:before="40" w:after="20"/>
              <w:ind w:left="720"/>
              <w:jc w:val="center"/>
              <w:rPr>
                <w:rFonts w:cs="Arial"/>
                <w:b/>
                <w:bCs/>
                <w:sz w:val="17"/>
                <w:szCs w:val="17"/>
              </w:rPr>
            </w:pPr>
            <w:r w:rsidRPr="008F7003">
              <w:rPr>
                <w:rFonts w:cs="Arial"/>
                <w:b/>
                <w:bCs/>
                <w:sz w:val="17"/>
                <w:szCs w:val="17"/>
              </w:rPr>
              <w:t>Infrastructure</w:t>
            </w:r>
          </w:p>
        </w:tc>
        <w:tc>
          <w:tcPr>
            <w:tcW w:w="2606" w:type="pct"/>
            <w:shd w:val="clear" w:color="auto" w:fill="auto"/>
          </w:tcPr>
          <w:p w14:paraId="0F2BE57E" w14:textId="77777777" w:rsidR="0000405F" w:rsidRPr="008F7003" w:rsidRDefault="0000405F" w:rsidP="008F7003">
            <w:pPr>
              <w:pStyle w:val="TableBodyText"/>
              <w:spacing w:before="40" w:after="20"/>
              <w:rPr>
                <w:sz w:val="17"/>
                <w:szCs w:val="17"/>
              </w:rPr>
            </w:pPr>
            <w:r w:rsidRPr="008F7003">
              <w:rPr>
                <w:sz w:val="17"/>
                <w:szCs w:val="17"/>
              </w:rPr>
              <w:t>Entities developing new infrastructure with a nameplate capacity of 10TJ or more to report the following information for both proposed and committed developments:</w:t>
            </w:r>
          </w:p>
          <w:p w14:paraId="220FBE29" w14:textId="77777777" w:rsidR="0000405F" w:rsidRPr="008F7003" w:rsidRDefault="0000405F" w:rsidP="008F7003">
            <w:pPr>
              <w:pStyle w:val="Newtablebullet"/>
              <w:spacing w:before="40" w:after="20"/>
              <w:rPr>
                <w:sz w:val="17"/>
                <w:szCs w:val="17"/>
              </w:rPr>
            </w:pPr>
            <w:r w:rsidRPr="008F7003">
              <w:rPr>
                <w:sz w:val="17"/>
                <w:szCs w:val="17"/>
              </w:rPr>
              <w:t>the type of facility that is proposed or committed;</w:t>
            </w:r>
          </w:p>
          <w:p w14:paraId="50FEE4E3" w14:textId="77777777" w:rsidR="0000405F" w:rsidRPr="008F7003" w:rsidRDefault="0000405F" w:rsidP="008F7003">
            <w:pPr>
              <w:pStyle w:val="Newtablebullet"/>
              <w:spacing w:before="40" w:after="20"/>
              <w:rPr>
                <w:sz w:val="17"/>
                <w:szCs w:val="17"/>
              </w:rPr>
            </w:pPr>
            <w:r w:rsidRPr="008F7003">
              <w:rPr>
                <w:sz w:val="17"/>
                <w:szCs w:val="17"/>
              </w:rPr>
              <w:t>the location of the facility;</w:t>
            </w:r>
          </w:p>
          <w:p w14:paraId="5D9FC8EE" w14:textId="77777777" w:rsidR="0000405F" w:rsidRPr="008F7003" w:rsidRDefault="0000405F" w:rsidP="008F7003">
            <w:pPr>
              <w:pStyle w:val="Newtablebullet"/>
              <w:spacing w:before="40" w:after="20"/>
              <w:rPr>
                <w:sz w:val="17"/>
                <w:szCs w:val="17"/>
              </w:rPr>
            </w:pPr>
            <w:r w:rsidRPr="008F7003">
              <w:rPr>
                <w:sz w:val="17"/>
                <w:szCs w:val="17"/>
              </w:rPr>
              <w:t>the proposed name of the facility (if known);</w:t>
            </w:r>
          </w:p>
          <w:p w14:paraId="55EC44F3" w14:textId="77777777" w:rsidR="0000405F" w:rsidRPr="008F7003" w:rsidRDefault="0000405F" w:rsidP="008F7003">
            <w:pPr>
              <w:pStyle w:val="Newtablebullet"/>
              <w:spacing w:before="40" w:after="20"/>
              <w:rPr>
                <w:sz w:val="17"/>
                <w:szCs w:val="17"/>
              </w:rPr>
            </w:pPr>
            <w:r w:rsidRPr="008F7003">
              <w:rPr>
                <w:sz w:val="17"/>
                <w:szCs w:val="17"/>
              </w:rPr>
              <w:t>the proposed nameplate rating;</w:t>
            </w:r>
          </w:p>
          <w:p w14:paraId="641E0D18" w14:textId="77777777" w:rsidR="0000405F" w:rsidRPr="008F7003" w:rsidRDefault="0000405F" w:rsidP="008F7003">
            <w:pPr>
              <w:pStyle w:val="Newtablebullet"/>
              <w:spacing w:before="40" w:after="20"/>
              <w:rPr>
                <w:sz w:val="17"/>
                <w:szCs w:val="17"/>
              </w:rPr>
            </w:pPr>
            <w:r w:rsidRPr="008F7003">
              <w:rPr>
                <w:sz w:val="17"/>
                <w:szCs w:val="17"/>
              </w:rPr>
              <w:t xml:space="preserve">the stage of development, applying assessment framework determined by AEMO; and </w:t>
            </w:r>
          </w:p>
          <w:p w14:paraId="6FE9445B" w14:textId="77777777" w:rsidR="0000405F" w:rsidRPr="008F7003" w:rsidRDefault="0000405F" w:rsidP="008F7003">
            <w:pPr>
              <w:pStyle w:val="Newtablebullet"/>
              <w:spacing w:before="40" w:after="20"/>
              <w:rPr>
                <w:sz w:val="17"/>
                <w:szCs w:val="17"/>
              </w:rPr>
            </w:pPr>
            <w:proofErr w:type="gramStart"/>
            <w:r w:rsidRPr="008F7003">
              <w:rPr>
                <w:sz w:val="17"/>
                <w:szCs w:val="17"/>
              </w:rPr>
              <w:t>the</w:t>
            </w:r>
            <w:proofErr w:type="gramEnd"/>
            <w:r w:rsidRPr="008F7003">
              <w:rPr>
                <w:sz w:val="17"/>
                <w:szCs w:val="17"/>
              </w:rPr>
              <w:t xml:space="preserve"> proposed commissioning date, or date range.</w:t>
            </w:r>
          </w:p>
        </w:tc>
        <w:tc>
          <w:tcPr>
            <w:tcW w:w="887" w:type="pct"/>
          </w:tcPr>
          <w:p w14:paraId="62F053D0" w14:textId="77777777" w:rsidR="0000405F" w:rsidRPr="008F7003" w:rsidRDefault="0000405F" w:rsidP="008F7003">
            <w:pPr>
              <w:pStyle w:val="TableBodyText"/>
              <w:spacing w:before="40" w:after="20"/>
              <w:rPr>
                <w:sz w:val="17"/>
                <w:szCs w:val="17"/>
              </w:rPr>
            </w:pPr>
            <w:r w:rsidRPr="008F7003">
              <w:rPr>
                <w:sz w:val="17"/>
                <w:szCs w:val="17"/>
              </w:rPr>
              <w:t>BB</w:t>
            </w:r>
          </w:p>
        </w:tc>
        <w:tc>
          <w:tcPr>
            <w:tcW w:w="1329" w:type="pct"/>
          </w:tcPr>
          <w:p w14:paraId="38CC3D09" w14:textId="77777777" w:rsidR="0000405F" w:rsidRPr="008F7003" w:rsidRDefault="00CC30A3" w:rsidP="008F7003">
            <w:pPr>
              <w:pStyle w:val="TableBodyText"/>
              <w:spacing w:before="40" w:after="20"/>
              <w:ind w:left="0"/>
              <w:rPr>
                <w:sz w:val="17"/>
                <w:szCs w:val="17"/>
              </w:rPr>
            </w:pPr>
            <w:r w:rsidRPr="008F7003">
              <w:rPr>
                <w:sz w:val="17"/>
                <w:szCs w:val="17"/>
              </w:rPr>
              <w:t xml:space="preserve">On registration (within 20 business days of being classified as a proposed or committed development), </w:t>
            </w:r>
            <w:r w:rsidR="00B15FD5" w:rsidRPr="008F7003">
              <w:rPr>
                <w:sz w:val="17"/>
                <w:szCs w:val="17"/>
              </w:rPr>
              <w:t xml:space="preserve">and then updated </w:t>
            </w:r>
            <w:r w:rsidRPr="008F7003">
              <w:rPr>
                <w:sz w:val="17"/>
                <w:szCs w:val="17"/>
              </w:rPr>
              <w:t>annually</w:t>
            </w:r>
            <w:r w:rsidR="00B15FD5" w:rsidRPr="008F7003">
              <w:rPr>
                <w:sz w:val="17"/>
                <w:szCs w:val="17"/>
              </w:rPr>
              <w:t>, with updates required if information is no longer accurate</w:t>
            </w:r>
            <w:r w:rsidRPr="008F7003">
              <w:rPr>
                <w:sz w:val="17"/>
                <w:szCs w:val="17"/>
              </w:rPr>
              <w:t xml:space="preserve">. </w:t>
            </w:r>
            <w:r w:rsidR="00210B99" w:rsidRPr="008F7003">
              <w:rPr>
                <w:sz w:val="17"/>
                <w:szCs w:val="17"/>
              </w:rPr>
              <w:t xml:space="preserve"> </w:t>
            </w:r>
          </w:p>
        </w:tc>
      </w:tr>
      <w:tr w:rsidR="0000405F" w:rsidRPr="008F7003" w14:paraId="55143031" w14:textId="77777777" w:rsidTr="008F7003">
        <w:trPr>
          <w:cantSplit/>
          <w:trHeight w:val="44"/>
        </w:trPr>
        <w:tc>
          <w:tcPr>
            <w:tcW w:w="178" w:type="pct"/>
            <w:vMerge/>
            <w:shd w:val="clear" w:color="auto" w:fill="auto"/>
            <w:textDirection w:val="btLr"/>
          </w:tcPr>
          <w:p w14:paraId="6FD44878" w14:textId="77777777" w:rsidR="0000405F" w:rsidRPr="008F7003" w:rsidRDefault="0000405F" w:rsidP="008F7003">
            <w:pPr>
              <w:spacing w:before="40" w:after="20"/>
              <w:ind w:left="720"/>
              <w:contextualSpacing/>
              <w:rPr>
                <w:rFonts w:cs="Arial"/>
                <w:b/>
                <w:sz w:val="17"/>
                <w:szCs w:val="17"/>
              </w:rPr>
            </w:pPr>
          </w:p>
        </w:tc>
        <w:tc>
          <w:tcPr>
            <w:tcW w:w="2606" w:type="pct"/>
            <w:shd w:val="clear" w:color="auto" w:fill="auto"/>
          </w:tcPr>
          <w:p w14:paraId="3DED1EA0" w14:textId="77777777" w:rsidR="0000405F" w:rsidRPr="008F7003" w:rsidRDefault="0000405F" w:rsidP="008F7003">
            <w:pPr>
              <w:pStyle w:val="TableBodyText"/>
              <w:spacing w:before="40" w:after="20"/>
              <w:rPr>
                <w:sz w:val="17"/>
                <w:szCs w:val="17"/>
              </w:rPr>
            </w:pPr>
            <w:r w:rsidRPr="008F7003">
              <w:rPr>
                <w:sz w:val="17"/>
                <w:szCs w:val="17"/>
              </w:rPr>
              <w:t>Storage and stand-alone compression facility operators to report a 36-month uncontracted capacity outlook and a list of users with contracted capacity.</w:t>
            </w:r>
          </w:p>
        </w:tc>
        <w:tc>
          <w:tcPr>
            <w:tcW w:w="887" w:type="pct"/>
          </w:tcPr>
          <w:p w14:paraId="4CBCC3DB" w14:textId="77777777" w:rsidR="0000405F" w:rsidRPr="008F7003" w:rsidRDefault="0000405F" w:rsidP="008F7003">
            <w:pPr>
              <w:pStyle w:val="TableBodyText"/>
              <w:spacing w:before="40" w:after="20"/>
              <w:rPr>
                <w:sz w:val="17"/>
                <w:szCs w:val="17"/>
              </w:rPr>
            </w:pPr>
            <w:r w:rsidRPr="008F7003">
              <w:rPr>
                <w:sz w:val="17"/>
                <w:szCs w:val="17"/>
              </w:rPr>
              <w:t>BB</w:t>
            </w:r>
          </w:p>
        </w:tc>
        <w:tc>
          <w:tcPr>
            <w:tcW w:w="1329" w:type="pct"/>
          </w:tcPr>
          <w:p w14:paraId="00B27956" w14:textId="77777777" w:rsidR="009C001C" w:rsidRPr="008F7003" w:rsidRDefault="009C001C" w:rsidP="008F7003">
            <w:pPr>
              <w:pStyle w:val="TableBodyText"/>
              <w:spacing w:before="40" w:after="20"/>
              <w:ind w:left="0"/>
              <w:rPr>
                <w:sz w:val="17"/>
                <w:szCs w:val="17"/>
              </w:rPr>
            </w:pPr>
            <w:r w:rsidRPr="008F7003">
              <w:rPr>
                <w:sz w:val="17"/>
                <w:szCs w:val="17"/>
              </w:rPr>
              <w:t>Uncontracted capacity</w:t>
            </w:r>
            <w:r w:rsidR="00676063" w:rsidRPr="008F7003">
              <w:rPr>
                <w:sz w:val="17"/>
                <w:szCs w:val="17"/>
              </w:rPr>
              <w:t>:</w:t>
            </w:r>
            <w:r w:rsidRPr="008F7003">
              <w:rPr>
                <w:sz w:val="17"/>
                <w:szCs w:val="17"/>
              </w:rPr>
              <w:t xml:space="preserve"> Monthly </w:t>
            </w:r>
          </w:p>
          <w:p w14:paraId="59E58460" w14:textId="77777777" w:rsidR="0000405F" w:rsidRPr="008F7003" w:rsidRDefault="009C001C" w:rsidP="008F7003">
            <w:pPr>
              <w:pStyle w:val="TableBodyText"/>
              <w:spacing w:before="40" w:after="20"/>
              <w:ind w:left="0"/>
              <w:rPr>
                <w:sz w:val="17"/>
                <w:szCs w:val="17"/>
              </w:rPr>
            </w:pPr>
            <w:r w:rsidRPr="008F7003">
              <w:rPr>
                <w:sz w:val="17"/>
                <w:szCs w:val="17"/>
              </w:rPr>
              <w:t>List of users</w:t>
            </w:r>
            <w:r w:rsidR="00676063" w:rsidRPr="008F7003">
              <w:rPr>
                <w:sz w:val="17"/>
                <w:szCs w:val="17"/>
              </w:rPr>
              <w:t xml:space="preserve">: On registration and updated if </w:t>
            </w:r>
            <w:r w:rsidRPr="008F7003">
              <w:rPr>
                <w:sz w:val="17"/>
                <w:szCs w:val="17"/>
              </w:rPr>
              <w:t xml:space="preserve">no longer accurate. </w:t>
            </w:r>
          </w:p>
        </w:tc>
      </w:tr>
      <w:tr w:rsidR="0000405F" w:rsidRPr="008F7003" w14:paraId="06FFADB5" w14:textId="77777777" w:rsidTr="007C7CD0">
        <w:trPr>
          <w:cantSplit/>
          <w:trHeight w:val="238"/>
        </w:trPr>
        <w:tc>
          <w:tcPr>
            <w:tcW w:w="178" w:type="pct"/>
            <w:vMerge/>
            <w:shd w:val="clear" w:color="auto" w:fill="auto"/>
            <w:textDirection w:val="btLr"/>
          </w:tcPr>
          <w:p w14:paraId="02899A87" w14:textId="77777777" w:rsidR="0000405F" w:rsidRPr="008F7003" w:rsidRDefault="0000405F" w:rsidP="008F7003">
            <w:pPr>
              <w:spacing w:before="40" w:after="20"/>
              <w:ind w:left="720"/>
              <w:contextualSpacing/>
              <w:rPr>
                <w:rFonts w:cs="Arial"/>
                <w:b/>
                <w:sz w:val="17"/>
                <w:szCs w:val="17"/>
              </w:rPr>
            </w:pPr>
          </w:p>
        </w:tc>
        <w:tc>
          <w:tcPr>
            <w:tcW w:w="2606" w:type="pct"/>
            <w:shd w:val="clear" w:color="auto" w:fill="auto"/>
          </w:tcPr>
          <w:p w14:paraId="73F9CE88" w14:textId="77777777" w:rsidR="0000405F" w:rsidRPr="008F7003" w:rsidRDefault="0000405F" w:rsidP="008F7003">
            <w:pPr>
              <w:pStyle w:val="TableBodyText"/>
              <w:spacing w:before="40" w:after="20"/>
              <w:rPr>
                <w:sz w:val="17"/>
                <w:szCs w:val="17"/>
              </w:rPr>
            </w:pPr>
            <w:r w:rsidRPr="008F7003">
              <w:rPr>
                <w:sz w:val="17"/>
                <w:szCs w:val="17"/>
              </w:rPr>
              <w:t>Stand-alone compression facility operators to report equivalent operational information to pipelines.</w:t>
            </w:r>
          </w:p>
        </w:tc>
        <w:tc>
          <w:tcPr>
            <w:tcW w:w="887" w:type="pct"/>
          </w:tcPr>
          <w:p w14:paraId="51753F07" w14:textId="77777777" w:rsidR="0000405F" w:rsidRPr="008F7003" w:rsidRDefault="0000405F" w:rsidP="008F7003">
            <w:pPr>
              <w:pStyle w:val="TableBodyText"/>
              <w:spacing w:before="40" w:after="20"/>
              <w:rPr>
                <w:sz w:val="17"/>
                <w:szCs w:val="17"/>
              </w:rPr>
            </w:pPr>
            <w:r w:rsidRPr="008F7003">
              <w:rPr>
                <w:sz w:val="17"/>
                <w:szCs w:val="17"/>
              </w:rPr>
              <w:t>BB</w:t>
            </w:r>
          </w:p>
        </w:tc>
        <w:tc>
          <w:tcPr>
            <w:tcW w:w="1329" w:type="pct"/>
          </w:tcPr>
          <w:p w14:paraId="19FFD79F" w14:textId="77777777" w:rsidR="0000405F" w:rsidRPr="008F7003" w:rsidRDefault="00676063" w:rsidP="008F7003">
            <w:pPr>
              <w:pStyle w:val="TableBodyText"/>
              <w:spacing w:before="40" w:after="20"/>
              <w:ind w:left="0"/>
              <w:rPr>
                <w:sz w:val="17"/>
                <w:szCs w:val="17"/>
              </w:rPr>
            </w:pPr>
            <w:r w:rsidRPr="008F7003">
              <w:rPr>
                <w:sz w:val="17"/>
                <w:szCs w:val="17"/>
              </w:rPr>
              <w:t>Daily</w:t>
            </w:r>
          </w:p>
        </w:tc>
      </w:tr>
      <w:tr w:rsidR="0000405F" w:rsidRPr="008F7003" w14:paraId="1ABDF02A" w14:textId="77777777" w:rsidTr="008F7003">
        <w:trPr>
          <w:cantSplit/>
          <w:trHeight w:val="44"/>
        </w:trPr>
        <w:tc>
          <w:tcPr>
            <w:tcW w:w="178" w:type="pct"/>
            <w:vMerge/>
            <w:shd w:val="clear" w:color="auto" w:fill="auto"/>
            <w:textDirection w:val="btLr"/>
          </w:tcPr>
          <w:p w14:paraId="19B79C0C" w14:textId="77777777" w:rsidR="0000405F" w:rsidRPr="008F7003" w:rsidRDefault="0000405F" w:rsidP="008F7003">
            <w:pPr>
              <w:spacing w:before="40" w:after="20"/>
              <w:ind w:left="720"/>
              <w:contextualSpacing/>
              <w:rPr>
                <w:rFonts w:cs="Arial"/>
                <w:b/>
                <w:sz w:val="17"/>
                <w:szCs w:val="17"/>
              </w:rPr>
            </w:pPr>
          </w:p>
        </w:tc>
        <w:tc>
          <w:tcPr>
            <w:tcW w:w="2606" w:type="pct"/>
            <w:shd w:val="clear" w:color="auto" w:fill="auto"/>
          </w:tcPr>
          <w:p w14:paraId="33EA410A" w14:textId="77777777" w:rsidR="0000405F" w:rsidRPr="008F7003" w:rsidRDefault="0000405F" w:rsidP="008F7003">
            <w:pPr>
              <w:pStyle w:val="TableBodyText"/>
              <w:spacing w:before="40" w:after="20"/>
              <w:rPr>
                <w:sz w:val="17"/>
                <w:szCs w:val="17"/>
              </w:rPr>
            </w:pPr>
            <w:r w:rsidRPr="008F7003">
              <w:rPr>
                <w:sz w:val="17"/>
                <w:szCs w:val="17"/>
              </w:rPr>
              <w:t xml:space="preserve">Production facilities providing 3rd party access (excluding the NT facilities that have an exemption under rule 143A) to report a 36-month uncontracted capacity outlook. </w:t>
            </w:r>
          </w:p>
        </w:tc>
        <w:tc>
          <w:tcPr>
            <w:tcW w:w="887" w:type="pct"/>
          </w:tcPr>
          <w:p w14:paraId="3CCDFDD1" w14:textId="77777777" w:rsidR="0000405F" w:rsidRPr="008F7003" w:rsidRDefault="0000405F" w:rsidP="008F7003">
            <w:pPr>
              <w:pStyle w:val="TableBodyText"/>
              <w:spacing w:before="40" w:after="20"/>
              <w:rPr>
                <w:sz w:val="17"/>
                <w:szCs w:val="17"/>
              </w:rPr>
            </w:pPr>
            <w:r w:rsidRPr="008F7003">
              <w:rPr>
                <w:sz w:val="17"/>
                <w:szCs w:val="17"/>
              </w:rPr>
              <w:t>BB</w:t>
            </w:r>
          </w:p>
        </w:tc>
        <w:tc>
          <w:tcPr>
            <w:tcW w:w="1329" w:type="pct"/>
          </w:tcPr>
          <w:p w14:paraId="458F04F4" w14:textId="77777777" w:rsidR="0000405F" w:rsidRPr="008F7003" w:rsidRDefault="00FB3EE2" w:rsidP="008F7003">
            <w:pPr>
              <w:pStyle w:val="TableBodyText"/>
              <w:spacing w:before="40" w:after="20"/>
              <w:ind w:left="0"/>
              <w:rPr>
                <w:sz w:val="17"/>
                <w:szCs w:val="17"/>
              </w:rPr>
            </w:pPr>
            <w:r w:rsidRPr="008F7003">
              <w:rPr>
                <w:sz w:val="17"/>
                <w:szCs w:val="17"/>
              </w:rPr>
              <w:t xml:space="preserve">Monthly </w:t>
            </w:r>
          </w:p>
        </w:tc>
      </w:tr>
      <w:tr w:rsidR="0000405F" w:rsidRPr="008F7003" w14:paraId="3F64EECC" w14:textId="77777777" w:rsidTr="008F7003">
        <w:trPr>
          <w:cantSplit/>
          <w:trHeight w:val="663"/>
        </w:trPr>
        <w:tc>
          <w:tcPr>
            <w:tcW w:w="178" w:type="pct"/>
            <w:vMerge/>
            <w:shd w:val="clear" w:color="auto" w:fill="auto"/>
            <w:textDirection w:val="btLr"/>
          </w:tcPr>
          <w:p w14:paraId="03B347D7" w14:textId="77777777" w:rsidR="0000405F" w:rsidRPr="008F7003" w:rsidRDefault="0000405F" w:rsidP="008F7003">
            <w:pPr>
              <w:spacing w:before="40" w:after="20"/>
              <w:ind w:left="720"/>
              <w:contextualSpacing/>
              <w:rPr>
                <w:rFonts w:cs="Arial"/>
                <w:b/>
                <w:sz w:val="17"/>
                <w:szCs w:val="17"/>
              </w:rPr>
            </w:pPr>
          </w:p>
        </w:tc>
        <w:tc>
          <w:tcPr>
            <w:tcW w:w="2606" w:type="pct"/>
            <w:shd w:val="clear" w:color="auto" w:fill="auto"/>
          </w:tcPr>
          <w:p w14:paraId="0FD7A8A6" w14:textId="77777777" w:rsidR="0000405F" w:rsidRPr="008F7003" w:rsidRDefault="0000405F" w:rsidP="008F7003">
            <w:pPr>
              <w:pStyle w:val="TableBodyText"/>
              <w:spacing w:before="40" w:after="20"/>
              <w:rPr>
                <w:sz w:val="17"/>
                <w:szCs w:val="17"/>
              </w:rPr>
            </w:pPr>
            <w:r w:rsidRPr="008F7003">
              <w:rPr>
                <w:sz w:val="17"/>
                <w:szCs w:val="17"/>
              </w:rPr>
              <w:t>Materiality threshold used for the reporting of intra-day changes on the BB to be changed to the maximum of A and B, where A is the minimum of 30 TJ and 10% of nameplate capacity and B is 5 TJ.</w:t>
            </w:r>
          </w:p>
        </w:tc>
        <w:tc>
          <w:tcPr>
            <w:tcW w:w="887" w:type="pct"/>
          </w:tcPr>
          <w:p w14:paraId="5F6D9BDB" w14:textId="77777777" w:rsidR="0000405F" w:rsidRPr="008F7003" w:rsidRDefault="0000405F" w:rsidP="008F7003">
            <w:pPr>
              <w:pStyle w:val="TableBodyText"/>
              <w:spacing w:before="40" w:after="20"/>
              <w:rPr>
                <w:sz w:val="17"/>
                <w:szCs w:val="17"/>
              </w:rPr>
            </w:pPr>
            <w:r w:rsidRPr="008F7003">
              <w:rPr>
                <w:sz w:val="17"/>
                <w:szCs w:val="17"/>
              </w:rPr>
              <w:t>BB</w:t>
            </w:r>
          </w:p>
        </w:tc>
        <w:tc>
          <w:tcPr>
            <w:tcW w:w="1329" w:type="pct"/>
          </w:tcPr>
          <w:p w14:paraId="0B00F934" w14:textId="77777777" w:rsidR="0000405F" w:rsidRPr="008F7003" w:rsidRDefault="00676063" w:rsidP="008F7003">
            <w:pPr>
              <w:pStyle w:val="TableBodyText"/>
              <w:spacing w:before="40" w:after="20"/>
              <w:rPr>
                <w:sz w:val="17"/>
                <w:szCs w:val="17"/>
              </w:rPr>
            </w:pPr>
            <w:proofErr w:type="spellStart"/>
            <w:r w:rsidRPr="008F7003">
              <w:rPr>
                <w:sz w:val="17"/>
                <w:szCs w:val="17"/>
              </w:rPr>
              <w:t>n.a</w:t>
            </w:r>
            <w:proofErr w:type="spellEnd"/>
            <w:r w:rsidRPr="008F7003">
              <w:rPr>
                <w:sz w:val="17"/>
                <w:szCs w:val="17"/>
              </w:rPr>
              <w:t>.</w:t>
            </w:r>
          </w:p>
        </w:tc>
      </w:tr>
      <w:tr w:rsidR="0000405F" w:rsidRPr="008F7003" w14:paraId="381059BC" w14:textId="77777777" w:rsidTr="007C7CD0">
        <w:trPr>
          <w:cantSplit/>
          <w:trHeight w:val="344"/>
        </w:trPr>
        <w:tc>
          <w:tcPr>
            <w:tcW w:w="178" w:type="pct"/>
            <w:vMerge w:val="restart"/>
            <w:shd w:val="clear" w:color="auto" w:fill="auto"/>
            <w:textDirection w:val="btLr"/>
          </w:tcPr>
          <w:p w14:paraId="1E29D6B6" w14:textId="77777777" w:rsidR="0000405F" w:rsidRPr="008F7003" w:rsidRDefault="0000405F" w:rsidP="008F7003">
            <w:pPr>
              <w:spacing w:before="40" w:after="20"/>
              <w:contextualSpacing/>
              <w:jc w:val="center"/>
              <w:rPr>
                <w:rFonts w:cs="Arial"/>
                <w:b/>
                <w:sz w:val="17"/>
                <w:szCs w:val="17"/>
              </w:rPr>
            </w:pPr>
            <w:r w:rsidRPr="008F7003">
              <w:rPr>
                <w:rFonts w:cs="Arial"/>
                <w:b/>
                <w:sz w:val="17"/>
                <w:szCs w:val="17"/>
              </w:rPr>
              <w:t>GSOO</w:t>
            </w:r>
          </w:p>
        </w:tc>
        <w:tc>
          <w:tcPr>
            <w:tcW w:w="2606" w:type="pct"/>
            <w:shd w:val="clear" w:color="auto" w:fill="auto"/>
          </w:tcPr>
          <w:p w14:paraId="461ECC59" w14:textId="77777777" w:rsidR="0000405F" w:rsidRPr="008F7003" w:rsidRDefault="0000405F" w:rsidP="008F7003">
            <w:pPr>
              <w:pStyle w:val="TableBodyText"/>
              <w:spacing w:before="40" w:after="20"/>
              <w:rPr>
                <w:sz w:val="17"/>
                <w:szCs w:val="17"/>
              </w:rPr>
            </w:pPr>
            <w:r w:rsidRPr="008F7003">
              <w:rPr>
                <w:sz w:val="17"/>
                <w:szCs w:val="17"/>
              </w:rPr>
              <w:t>Amend the NGL and NGR to allow AEMO to collect information through a mandatory survey The NT LNG facilities that have an exemption under rule 143A would be exempt from having to complete the mandatory survey.</w:t>
            </w:r>
          </w:p>
        </w:tc>
        <w:tc>
          <w:tcPr>
            <w:tcW w:w="887" w:type="pct"/>
          </w:tcPr>
          <w:p w14:paraId="26925012" w14:textId="77777777" w:rsidR="0000405F" w:rsidRPr="008F7003" w:rsidRDefault="0000405F" w:rsidP="008F7003">
            <w:pPr>
              <w:pStyle w:val="TableBodyText"/>
              <w:spacing w:before="40" w:after="20"/>
              <w:rPr>
                <w:sz w:val="17"/>
                <w:szCs w:val="17"/>
              </w:rPr>
            </w:pPr>
            <w:r w:rsidRPr="008F7003">
              <w:rPr>
                <w:sz w:val="17"/>
                <w:szCs w:val="17"/>
              </w:rPr>
              <w:t>GSOO</w:t>
            </w:r>
          </w:p>
        </w:tc>
        <w:tc>
          <w:tcPr>
            <w:tcW w:w="1329" w:type="pct"/>
          </w:tcPr>
          <w:p w14:paraId="56167EEE" w14:textId="77777777" w:rsidR="0000405F" w:rsidRPr="008F7003" w:rsidRDefault="00676063" w:rsidP="008F7003">
            <w:pPr>
              <w:pStyle w:val="TableBodyText"/>
              <w:spacing w:before="40" w:after="20"/>
              <w:rPr>
                <w:sz w:val="17"/>
                <w:szCs w:val="17"/>
              </w:rPr>
            </w:pPr>
            <w:proofErr w:type="spellStart"/>
            <w:r w:rsidRPr="008F7003">
              <w:rPr>
                <w:sz w:val="17"/>
                <w:szCs w:val="17"/>
              </w:rPr>
              <w:t>n.a</w:t>
            </w:r>
            <w:proofErr w:type="spellEnd"/>
            <w:r w:rsidRPr="008F7003">
              <w:rPr>
                <w:sz w:val="17"/>
                <w:szCs w:val="17"/>
              </w:rPr>
              <w:t>.</w:t>
            </w:r>
          </w:p>
        </w:tc>
      </w:tr>
      <w:tr w:rsidR="0000405F" w:rsidRPr="008F7003" w14:paraId="0AA12105" w14:textId="77777777" w:rsidTr="008F7003">
        <w:trPr>
          <w:cantSplit/>
          <w:trHeight w:val="380"/>
        </w:trPr>
        <w:tc>
          <w:tcPr>
            <w:tcW w:w="178" w:type="pct"/>
            <w:vMerge/>
            <w:tcBorders>
              <w:bottom w:val="single" w:sz="4" w:space="0" w:color="auto"/>
            </w:tcBorders>
            <w:shd w:val="clear" w:color="auto" w:fill="auto"/>
            <w:textDirection w:val="btLr"/>
          </w:tcPr>
          <w:p w14:paraId="664F6300" w14:textId="77777777" w:rsidR="0000405F" w:rsidRPr="008F7003" w:rsidRDefault="0000405F" w:rsidP="008F7003">
            <w:pPr>
              <w:spacing w:before="40" w:after="20"/>
              <w:ind w:left="720"/>
              <w:contextualSpacing/>
              <w:rPr>
                <w:rFonts w:cs="Arial"/>
                <w:b/>
                <w:sz w:val="17"/>
                <w:szCs w:val="17"/>
              </w:rPr>
            </w:pPr>
          </w:p>
        </w:tc>
        <w:tc>
          <w:tcPr>
            <w:tcW w:w="2606" w:type="pct"/>
            <w:shd w:val="clear" w:color="auto" w:fill="auto"/>
          </w:tcPr>
          <w:p w14:paraId="0E95F1D0" w14:textId="77777777" w:rsidR="0000405F" w:rsidRPr="008F7003" w:rsidRDefault="0000405F" w:rsidP="008F7003">
            <w:pPr>
              <w:pStyle w:val="TableBodyText"/>
              <w:spacing w:before="40" w:after="20"/>
              <w:rPr>
                <w:sz w:val="17"/>
                <w:szCs w:val="17"/>
              </w:rPr>
            </w:pPr>
            <w:r w:rsidRPr="008F7003">
              <w:rPr>
                <w:sz w:val="17"/>
                <w:szCs w:val="17"/>
              </w:rPr>
              <w:t xml:space="preserve">Extend the coverage of GSOO to the </w:t>
            </w:r>
            <w:r w:rsidR="007D6C01">
              <w:rPr>
                <w:sz w:val="17"/>
                <w:szCs w:val="17"/>
              </w:rPr>
              <w:t>NT</w:t>
            </w:r>
            <w:r w:rsidRPr="008F7003">
              <w:rPr>
                <w:sz w:val="17"/>
                <w:szCs w:val="17"/>
              </w:rPr>
              <w:t>.</w:t>
            </w:r>
          </w:p>
        </w:tc>
        <w:tc>
          <w:tcPr>
            <w:tcW w:w="887" w:type="pct"/>
          </w:tcPr>
          <w:p w14:paraId="296A60E0" w14:textId="77777777" w:rsidR="0000405F" w:rsidRPr="008F7003" w:rsidRDefault="0000405F" w:rsidP="008F7003">
            <w:pPr>
              <w:pStyle w:val="TableBodyText"/>
              <w:spacing w:before="40" w:after="20"/>
              <w:rPr>
                <w:sz w:val="17"/>
                <w:szCs w:val="17"/>
              </w:rPr>
            </w:pPr>
            <w:r w:rsidRPr="008F7003">
              <w:rPr>
                <w:sz w:val="17"/>
                <w:szCs w:val="17"/>
              </w:rPr>
              <w:t>GSOO</w:t>
            </w:r>
          </w:p>
        </w:tc>
        <w:tc>
          <w:tcPr>
            <w:tcW w:w="1329" w:type="pct"/>
          </w:tcPr>
          <w:p w14:paraId="71134092" w14:textId="77777777" w:rsidR="0000405F" w:rsidRPr="008F7003" w:rsidRDefault="00676063" w:rsidP="008F7003">
            <w:pPr>
              <w:pStyle w:val="TableBodyText"/>
              <w:spacing w:before="40" w:after="20"/>
              <w:rPr>
                <w:sz w:val="17"/>
                <w:szCs w:val="17"/>
              </w:rPr>
            </w:pPr>
            <w:proofErr w:type="spellStart"/>
            <w:r w:rsidRPr="008F7003">
              <w:rPr>
                <w:sz w:val="17"/>
                <w:szCs w:val="17"/>
              </w:rPr>
              <w:t>n.a</w:t>
            </w:r>
            <w:proofErr w:type="spellEnd"/>
            <w:r w:rsidRPr="008F7003">
              <w:rPr>
                <w:sz w:val="17"/>
                <w:szCs w:val="17"/>
              </w:rPr>
              <w:t>.</w:t>
            </w:r>
          </w:p>
        </w:tc>
      </w:tr>
    </w:tbl>
    <w:p w14:paraId="627C7995" w14:textId="77777777" w:rsidR="00E04D23" w:rsidRPr="00D40BD3" w:rsidRDefault="00E04D23" w:rsidP="007C7CD0">
      <w:pPr>
        <w:pStyle w:val="BodyText"/>
        <w:spacing w:before="20" w:after="20"/>
        <w:ind w:left="851" w:hanging="828"/>
        <w:rPr>
          <w:sz w:val="16"/>
          <w:szCs w:val="16"/>
        </w:rPr>
      </w:pPr>
      <w:r w:rsidRPr="00FD1902">
        <w:rPr>
          <w:sz w:val="16"/>
          <w:szCs w:val="16"/>
        </w:rPr>
        <w:t>1.</w:t>
      </w:r>
      <w:r w:rsidRPr="00FD1902">
        <w:rPr>
          <w:sz w:val="16"/>
          <w:szCs w:val="16"/>
        </w:rPr>
        <w:tab/>
      </w:r>
      <w:r w:rsidRPr="00D40BD3">
        <w:rPr>
          <w:sz w:val="16"/>
          <w:szCs w:val="16"/>
        </w:rPr>
        <w:t xml:space="preserve">Excluding agreements involving residential customers and business customers consuming less than 10 TJ p.a. </w:t>
      </w:r>
    </w:p>
    <w:p w14:paraId="5C512EE1" w14:textId="77777777" w:rsidR="00E04D23" w:rsidRPr="00D40BD3" w:rsidRDefault="00E04D23" w:rsidP="007C7CD0">
      <w:pPr>
        <w:pStyle w:val="BodyText"/>
        <w:spacing w:before="20" w:after="20"/>
        <w:ind w:left="851" w:hanging="828"/>
        <w:rPr>
          <w:sz w:val="16"/>
          <w:szCs w:val="16"/>
        </w:rPr>
      </w:pPr>
      <w:r w:rsidRPr="00D40BD3">
        <w:rPr>
          <w:sz w:val="16"/>
          <w:szCs w:val="16"/>
        </w:rPr>
        <w:t>2.</w:t>
      </w:r>
      <w:r w:rsidRPr="00D40BD3">
        <w:rPr>
          <w:sz w:val="16"/>
          <w:szCs w:val="16"/>
        </w:rPr>
        <w:tab/>
        <w:t>Large users would be able to obtain an exemption from reporting on their daily consumption if they can demonstrate they did not consume more than 10 TJ/day in the last 12 months and are not expected to do so in the next 12 months. This may be done by reference to the maximum daily quantity (MDQ) specified in the gas supply agreement, gas transportation agreement or retail agreement, where a large user is only relying on a firm service.</w:t>
      </w:r>
    </w:p>
    <w:p w14:paraId="31806134" w14:textId="77777777" w:rsidR="00D40BD3" w:rsidRPr="00D40BD3" w:rsidRDefault="00E04D23" w:rsidP="007C7CD0">
      <w:pPr>
        <w:pStyle w:val="BodyText"/>
        <w:spacing w:before="20" w:after="20"/>
        <w:ind w:left="851" w:hanging="828"/>
      </w:pPr>
      <w:r w:rsidRPr="00D40BD3">
        <w:rPr>
          <w:sz w:val="16"/>
          <w:szCs w:val="16"/>
        </w:rPr>
        <w:t>3.</w:t>
      </w:r>
      <w:r w:rsidRPr="00D40BD3">
        <w:rPr>
          <w:sz w:val="16"/>
          <w:szCs w:val="16"/>
        </w:rPr>
        <w:tab/>
        <w:t>If the LNG export facility is the only one being supplied at the pipeline delivery point, and the information is already reported to AEMO by the relevant pipeline operator, then the LNG facility would be able to get an exemption from reporting this information.</w:t>
      </w:r>
      <w:r w:rsidR="00C93D9E" w:rsidRPr="00D40BD3">
        <w:rPr>
          <w:sz w:val="16"/>
          <w:szCs w:val="16"/>
        </w:rPr>
        <w:t xml:space="preserve"> </w:t>
      </w:r>
      <w:r w:rsidR="007C7CD0">
        <w:rPr>
          <w:sz w:val="16"/>
          <w:szCs w:val="16"/>
        </w:rPr>
        <w:t xml:space="preserve"> </w:t>
      </w:r>
    </w:p>
    <w:p w14:paraId="251DDE36" w14:textId="77777777" w:rsidR="00E04D23" w:rsidRDefault="00E04D23" w:rsidP="00CC4B8C">
      <w:pPr>
        <w:pStyle w:val="BodyText"/>
        <w:sectPr w:rsidR="00E04D23" w:rsidSect="00676063">
          <w:pgSz w:w="16839" w:h="11907" w:orient="landscape" w:code="9"/>
          <w:pgMar w:top="1440" w:right="1440" w:bottom="1135" w:left="1440" w:header="567" w:footer="275" w:gutter="0"/>
          <w:cols w:space="708"/>
          <w:docGrid w:linePitch="360"/>
        </w:sectPr>
      </w:pPr>
    </w:p>
    <w:p w14:paraId="05E27AB0" w14:textId="77777777" w:rsidR="00D41681" w:rsidRDefault="00D41681" w:rsidP="00D41681">
      <w:pPr>
        <w:pStyle w:val="Heading1"/>
      </w:pPr>
      <w:bookmarkStart w:id="45" w:name="_Ref36545110"/>
      <w:bookmarkStart w:id="46" w:name="_Toc45015261"/>
      <w:r>
        <w:lastRenderedPageBreak/>
        <w:t>The leg</w:t>
      </w:r>
      <w:r w:rsidR="009A095B">
        <w:t xml:space="preserve">islative </w:t>
      </w:r>
      <w:r>
        <w:t>and regulatory framework</w:t>
      </w:r>
      <w:bookmarkEnd w:id="45"/>
      <w:bookmarkEnd w:id="46"/>
    </w:p>
    <w:p w14:paraId="5C8966D6" w14:textId="77777777" w:rsidR="003016D8" w:rsidRDefault="00446CF7" w:rsidP="00E8611F">
      <w:pPr>
        <w:pStyle w:val="Heading2"/>
      </w:pPr>
      <w:bookmarkStart w:id="47" w:name="_Toc45015262"/>
      <w:r>
        <w:t xml:space="preserve">Application </w:t>
      </w:r>
      <w:r w:rsidR="00C93D9E">
        <w:t>of the transparency measures</w:t>
      </w:r>
      <w:bookmarkEnd w:id="47"/>
    </w:p>
    <w:p w14:paraId="1E3B02BA" w14:textId="77777777" w:rsidR="0096736E" w:rsidRDefault="006B33EC" w:rsidP="00AF235B">
      <w:pPr>
        <w:pStyle w:val="Heading3"/>
      </w:pPr>
      <w:r>
        <w:t>The l</w:t>
      </w:r>
      <w:r w:rsidR="0096736E">
        <w:t>egislative framework</w:t>
      </w:r>
      <w:r>
        <w:t xml:space="preserve"> in each jurisdiction</w:t>
      </w:r>
    </w:p>
    <w:p w14:paraId="58E44B06" w14:textId="77777777" w:rsidR="00446CF7" w:rsidRDefault="00E00C29" w:rsidP="00446CF7">
      <w:pPr>
        <w:pStyle w:val="BodyText"/>
      </w:pPr>
      <w:r>
        <w:t xml:space="preserve">The National Gas Law is contained in a schedule to the </w:t>
      </w:r>
      <w:r w:rsidRPr="00E00C29">
        <w:rPr>
          <w:i/>
        </w:rPr>
        <w:t>National Gas (South Australia) Act 2008</w:t>
      </w:r>
      <w:r>
        <w:t xml:space="preserve"> (SA). </w:t>
      </w:r>
      <w:r w:rsidR="00446CF7">
        <w:t xml:space="preserve">The Law describes the functions and powers of the AER, the AEMC and </w:t>
      </w:r>
      <w:r w:rsidR="00446CF7" w:rsidRPr="00B27579">
        <w:t>AEMO for the purposes of the Law</w:t>
      </w:r>
      <w:r w:rsidR="003703AA" w:rsidRPr="00B27579">
        <w:t>. It p</w:t>
      </w:r>
      <w:r w:rsidR="00446CF7" w:rsidRPr="00B27579">
        <w:t xml:space="preserve">rovides for the facilitated gas markets and </w:t>
      </w:r>
      <w:r w:rsidR="0098123B" w:rsidRPr="00B27579">
        <w:t>related</w:t>
      </w:r>
      <w:r w:rsidR="00446CF7" w:rsidRPr="00B27579">
        <w:t xml:space="preserve"> policy measures including the BB and the GSOO. </w:t>
      </w:r>
    </w:p>
    <w:p w14:paraId="491EFA86" w14:textId="77777777" w:rsidR="00446CF7" w:rsidRDefault="00446CF7" w:rsidP="00446CF7">
      <w:pPr>
        <w:pStyle w:val="BodyText"/>
      </w:pPr>
      <w:bookmarkStart w:id="48" w:name="_Hlk47508777"/>
      <w:r>
        <w:t>The Law authorises the making of the following instruments:</w:t>
      </w:r>
    </w:p>
    <w:p w14:paraId="447DBC3F" w14:textId="77777777" w:rsidR="00446CF7" w:rsidRDefault="00446CF7" w:rsidP="00446CF7">
      <w:pPr>
        <w:pStyle w:val="ListBullet"/>
      </w:pPr>
      <w:r>
        <w:t>the National Gas Regulations, which apply as regulations under the Law in each participating jurisdiction</w:t>
      </w:r>
      <w:r w:rsidR="003703AA">
        <w:t>;</w:t>
      </w:r>
      <w:r w:rsidR="005F3484">
        <w:rPr>
          <w:rStyle w:val="FootnoteReference"/>
        </w:rPr>
        <w:footnoteReference w:id="5"/>
      </w:r>
    </w:p>
    <w:p w14:paraId="26ABA75D" w14:textId="77777777" w:rsidR="00446CF7" w:rsidRDefault="00446CF7" w:rsidP="00446CF7">
      <w:pPr>
        <w:pStyle w:val="ListBullet"/>
      </w:pPr>
      <w:r>
        <w:t>the National Gas Rules, which take effect in each participating jurisdiction as statutory instruments</w:t>
      </w:r>
      <w:r w:rsidR="003703AA">
        <w:t xml:space="preserve">; </w:t>
      </w:r>
    </w:p>
    <w:p w14:paraId="22405289" w14:textId="77777777" w:rsidR="00446CF7" w:rsidRDefault="00446CF7" w:rsidP="00446CF7">
      <w:pPr>
        <w:pStyle w:val="ListBullet"/>
      </w:pPr>
      <w:r>
        <w:t xml:space="preserve">Procedures </w:t>
      </w:r>
      <w:r w:rsidR="008D43E6">
        <w:t xml:space="preserve">to be </w:t>
      </w:r>
      <w:r>
        <w:t xml:space="preserve">made by AEMO to support the operation of the </w:t>
      </w:r>
      <w:r w:rsidR="003703AA">
        <w:t>regulated gas markets,</w:t>
      </w:r>
      <w:r>
        <w:t xml:space="preserve"> the </w:t>
      </w:r>
      <w:r w:rsidR="003703AA">
        <w:t>BB</w:t>
      </w:r>
      <w:r>
        <w:t xml:space="preserve"> and retail markets</w:t>
      </w:r>
      <w:r w:rsidR="00D33289">
        <w:t>; and</w:t>
      </w:r>
    </w:p>
    <w:p w14:paraId="18AB0AA5" w14:textId="77777777" w:rsidR="00D33289" w:rsidRDefault="00D33289" w:rsidP="00446CF7">
      <w:pPr>
        <w:pStyle w:val="ListBullet"/>
      </w:pPr>
      <w:r>
        <w:t xml:space="preserve">Regulatory information instruments </w:t>
      </w:r>
      <w:r w:rsidR="008D43E6">
        <w:t xml:space="preserve">to be </w:t>
      </w:r>
      <w:r>
        <w:t>made by the AER</w:t>
      </w:r>
      <w:r w:rsidR="008D43E6">
        <w:t xml:space="preserve"> if it considers it reasonably necessary for the performance or exercise of its functions or powers under the Law or Rules.</w:t>
      </w:r>
    </w:p>
    <w:bookmarkEnd w:id="48"/>
    <w:p w14:paraId="74C40A3F" w14:textId="77777777" w:rsidR="00446CF7" w:rsidRDefault="003B2D14" w:rsidP="003B2D14">
      <w:pPr>
        <w:pStyle w:val="BodyText"/>
      </w:pPr>
      <w:r>
        <w:t xml:space="preserve">Each </w:t>
      </w:r>
      <w:r w:rsidR="00446CF7">
        <w:t>State</w:t>
      </w:r>
      <w:r w:rsidR="007D6C01">
        <w:t xml:space="preserve"> (other than Western Australia (WA))</w:t>
      </w:r>
      <w:r w:rsidR="00446CF7">
        <w:t xml:space="preserve">, the </w:t>
      </w:r>
      <w:r w:rsidR="007D6C01">
        <w:t>Australian Capital Territory (</w:t>
      </w:r>
      <w:r w:rsidR="00446CF7">
        <w:t>ACT</w:t>
      </w:r>
      <w:r w:rsidR="007D6C01">
        <w:t>)</w:t>
      </w:r>
      <w:r w:rsidR="00446CF7">
        <w:t xml:space="preserve"> and the NT </w:t>
      </w:r>
      <w:r>
        <w:t xml:space="preserve">has its own application legislation (broadly equivalent to the </w:t>
      </w:r>
      <w:r w:rsidRPr="00E00C29">
        <w:rPr>
          <w:i/>
        </w:rPr>
        <w:t>National Gas (South Australia) Act 2008</w:t>
      </w:r>
      <w:r>
        <w:t xml:space="preserve"> (SA)) that applies the </w:t>
      </w:r>
      <w:r w:rsidR="0098123B">
        <w:t>Law</w:t>
      </w:r>
      <w:r>
        <w:t xml:space="preserve"> </w:t>
      </w:r>
      <w:r w:rsidR="00446CF7">
        <w:t xml:space="preserve">and the instruments made under the </w:t>
      </w:r>
      <w:r w:rsidR="0098123B">
        <w:t>Law</w:t>
      </w:r>
      <w:r w:rsidR="00446CF7">
        <w:t xml:space="preserve"> in </w:t>
      </w:r>
      <w:r>
        <w:t>the participating jurisdiction.</w:t>
      </w:r>
      <w:r w:rsidR="00446CF7">
        <w:t xml:space="preserve"> </w:t>
      </w:r>
    </w:p>
    <w:p w14:paraId="1FC9F678" w14:textId="77777777" w:rsidR="003B2D14" w:rsidRDefault="003B2D14" w:rsidP="003B2D14">
      <w:pPr>
        <w:pStyle w:val="BodyText"/>
      </w:pPr>
      <w:r>
        <w:t>The Law applies as a law of the Commonwealth</w:t>
      </w:r>
      <w:r w:rsidR="003703AA">
        <w:t xml:space="preserve"> </w:t>
      </w:r>
      <w:r w:rsidR="00446CF7">
        <w:t xml:space="preserve">in the offshore area of each State and the </w:t>
      </w:r>
      <w:r w:rsidR="007D6C01">
        <w:t xml:space="preserve">NT </w:t>
      </w:r>
      <w:r>
        <w:t xml:space="preserve">under the </w:t>
      </w:r>
      <w:r w:rsidRPr="003B2D14">
        <w:rPr>
          <w:i/>
        </w:rPr>
        <w:t>Australian Energy Market Act 200</w:t>
      </w:r>
      <w:r>
        <w:rPr>
          <w:i/>
        </w:rPr>
        <w:t>4</w:t>
      </w:r>
      <w:r>
        <w:t xml:space="preserve"> (</w:t>
      </w:r>
      <w:proofErr w:type="spellStart"/>
      <w:r>
        <w:t>Cth</w:t>
      </w:r>
      <w:proofErr w:type="spellEnd"/>
      <w:r>
        <w:t>)</w:t>
      </w:r>
      <w:r w:rsidR="003703AA">
        <w:t xml:space="preserve"> (but not in relation to </w:t>
      </w:r>
      <w:r w:rsidR="003703AA" w:rsidRPr="00446CF7">
        <w:t xml:space="preserve">an offshore </w:t>
      </w:r>
      <w:r w:rsidR="007D6C01">
        <w:t xml:space="preserve">WA </w:t>
      </w:r>
      <w:r w:rsidR="003703AA" w:rsidRPr="00446CF7">
        <w:t>pipeline</w:t>
      </w:r>
      <w:r w:rsidR="003703AA">
        <w:t>)</w:t>
      </w:r>
      <w:r>
        <w:t>.</w:t>
      </w:r>
      <w:r w:rsidR="00446CF7">
        <w:t xml:space="preserve"> </w:t>
      </w:r>
      <w:r w:rsidR="005F3484">
        <w:t>The term ‘</w:t>
      </w:r>
      <w:r w:rsidR="005F3484" w:rsidRPr="005F3484">
        <w:t>offshore area</w:t>
      </w:r>
      <w:r w:rsidR="005F3484">
        <w:t xml:space="preserve">’ </w:t>
      </w:r>
      <w:r w:rsidR="003703AA">
        <w:t xml:space="preserve">is defined by reference to the definition in </w:t>
      </w:r>
      <w:r w:rsidR="005F3484" w:rsidRPr="005F3484">
        <w:t xml:space="preserve">the </w:t>
      </w:r>
      <w:r w:rsidR="005F3484" w:rsidRPr="005F3484">
        <w:rPr>
          <w:i/>
        </w:rPr>
        <w:t>Offshore Petroleum and Greenhouse Gas Storage Act 2006</w:t>
      </w:r>
      <w:r w:rsidR="005F3484">
        <w:t xml:space="preserve"> (</w:t>
      </w:r>
      <w:proofErr w:type="spellStart"/>
      <w:r w:rsidR="005F3484">
        <w:t>Cth</w:t>
      </w:r>
      <w:proofErr w:type="spellEnd"/>
      <w:r w:rsidR="005F3484">
        <w:t>)</w:t>
      </w:r>
      <w:r w:rsidR="005F3484" w:rsidRPr="005F3484">
        <w:t>.</w:t>
      </w:r>
    </w:p>
    <w:p w14:paraId="22011C82" w14:textId="77777777" w:rsidR="002A4AA4" w:rsidRDefault="007D6C01" w:rsidP="002A4AA4">
      <w:pPr>
        <w:pStyle w:val="BodyText"/>
      </w:pPr>
      <w:r>
        <w:t xml:space="preserve">WA </w:t>
      </w:r>
      <w:r w:rsidR="005F3484">
        <w:t>has a</w:t>
      </w:r>
      <w:r w:rsidR="002A4AA4">
        <w:t xml:space="preserve"> separate l</w:t>
      </w:r>
      <w:r w:rsidR="0098123B">
        <w:t>egislative framework as follows:</w:t>
      </w:r>
    </w:p>
    <w:p w14:paraId="1FAF6292" w14:textId="77777777" w:rsidR="005F3484" w:rsidRDefault="002A4AA4" w:rsidP="002A4AA4">
      <w:pPr>
        <w:pStyle w:val="ListBullet"/>
      </w:pPr>
      <w:r>
        <w:t xml:space="preserve">The </w:t>
      </w:r>
      <w:r w:rsidRPr="006C1654">
        <w:rPr>
          <w:i/>
        </w:rPr>
        <w:t>National Gas Access (WA) Act</w:t>
      </w:r>
      <w:r>
        <w:t xml:space="preserve"> 2009 adopts a modified version of the National Gas Law. Under that Law, the National Gas Rules applying to </w:t>
      </w:r>
      <w:r w:rsidR="00B36A35">
        <w:t xml:space="preserve">WA </w:t>
      </w:r>
      <w:r>
        <w:t xml:space="preserve">is version 1 of the National Gas Rules, as amended by rules made by the South Australian Minister under the National Gas Law, if adopted by </w:t>
      </w:r>
      <w:r w:rsidR="00B36A35">
        <w:t xml:space="preserve">WA </w:t>
      </w:r>
      <w:r>
        <w:t>, and rules made by the AEMC under section 74 of the National Gas Access (</w:t>
      </w:r>
      <w:r w:rsidR="00B36A35">
        <w:t>WA</w:t>
      </w:r>
      <w:r>
        <w:t>) Law.</w:t>
      </w:r>
    </w:p>
    <w:p w14:paraId="26654F7C" w14:textId="77777777" w:rsidR="002A4AA4" w:rsidRDefault="002A4AA4" w:rsidP="002A4AA4">
      <w:pPr>
        <w:pStyle w:val="ListBullet"/>
      </w:pPr>
      <w:r>
        <w:t xml:space="preserve">The </w:t>
      </w:r>
      <w:r w:rsidR="00B36A35">
        <w:t xml:space="preserve">WA </w:t>
      </w:r>
      <w:r>
        <w:t>equivalent</w:t>
      </w:r>
      <w:r w:rsidR="006C1654">
        <w:t>s</w:t>
      </w:r>
      <w:r>
        <w:t xml:space="preserve"> of the BB and the GSOO</w:t>
      </w:r>
      <w:r w:rsidRPr="002A4AA4">
        <w:t xml:space="preserve"> </w:t>
      </w:r>
      <w:r>
        <w:t xml:space="preserve">are </w:t>
      </w:r>
      <w:r w:rsidRPr="002A4AA4">
        <w:t>established under WA’s Gas Services Information (GSI) Rules</w:t>
      </w:r>
      <w:r w:rsidR="0098123B">
        <w:t xml:space="preserve">, </w:t>
      </w:r>
      <w:r w:rsidR="006C1654">
        <w:t>not under the WA ve</w:t>
      </w:r>
      <w:r w:rsidR="0098123B">
        <w:t>rsion of the National Gas Rules</w:t>
      </w:r>
      <w:r w:rsidR="006C1654">
        <w:t xml:space="preserve">. The GSI Rules are made under the </w:t>
      </w:r>
      <w:r w:rsidR="006C1654" w:rsidRPr="006C1654">
        <w:rPr>
          <w:i/>
        </w:rPr>
        <w:t>Gas Services Information Act 2012</w:t>
      </w:r>
      <w:r w:rsidR="006C1654">
        <w:t xml:space="preserve"> (WA) and the </w:t>
      </w:r>
      <w:r w:rsidR="006C1654" w:rsidRPr="006C1654">
        <w:rPr>
          <w:i/>
        </w:rPr>
        <w:t>Gas Services Information Regulations 2012</w:t>
      </w:r>
      <w:r w:rsidR="006C1654">
        <w:t xml:space="preserve"> (WA).</w:t>
      </w:r>
    </w:p>
    <w:p w14:paraId="17A716B9" w14:textId="77777777" w:rsidR="0096736E" w:rsidRDefault="0096736E" w:rsidP="0096736E">
      <w:pPr>
        <w:pStyle w:val="Heading3"/>
      </w:pPr>
      <w:bookmarkStart w:id="49" w:name="_Ref36548655"/>
      <w:r>
        <w:lastRenderedPageBreak/>
        <w:t xml:space="preserve">How </w:t>
      </w:r>
      <w:r w:rsidR="00440252">
        <w:t>the endorsed option</w:t>
      </w:r>
      <w:r>
        <w:t xml:space="preserve"> will apply</w:t>
      </w:r>
      <w:r w:rsidR="006B33EC">
        <w:t xml:space="preserve"> in each jurisdiction</w:t>
      </w:r>
    </w:p>
    <w:p w14:paraId="001F8669" w14:textId="77777777" w:rsidR="0096736E" w:rsidRDefault="0096736E" w:rsidP="0096736E">
      <w:pPr>
        <w:pStyle w:val="BodyText"/>
      </w:pPr>
      <w:r>
        <w:t xml:space="preserve">It is intended that </w:t>
      </w:r>
      <w:r w:rsidR="00440252">
        <w:t>the endorsed option</w:t>
      </w:r>
      <w:r>
        <w:t xml:space="preserve"> will apply in relation to all the participating jurisdictions</w:t>
      </w:r>
      <w:r w:rsidR="006B33EC">
        <w:t xml:space="preserve"> </w:t>
      </w:r>
      <w:r>
        <w:t xml:space="preserve">other than </w:t>
      </w:r>
      <w:r w:rsidR="00B36A35">
        <w:t>WA</w:t>
      </w:r>
      <w:r>
        <w:t xml:space="preserve">. </w:t>
      </w:r>
      <w:r w:rsidR="00B27579">
        <w:t xml:space="preserve">While the scope of this package is limited in this way, it would be open to the </w:t>
      </w:r>
      <w:r w:rsidR="00B36A35">
        <w:t xml:space="preserve">WA </w:t>
      </w:r>
      <w:r w:rsidR="00B27579">
        <w:t xml:space="preserve">Government to implement similar measures in </w:t>
      </w:r>
      <w:r w:rsidR="00B36A35">
        <w:t>WA</w:t>
      </w:r>
      <w:r w:rsidR="00B27579">
        <w:t xml:space="preserve">, if it considered it appropriate to do so. </w:t>
      </w:r>
    </w:p>
    <w:p w14:paraId="54741D65" w14:textId="6F811D2F" w:rsidR="006B33EC" w:rsidRDefault="006B33EC" w:rsidP="0096736E">
      <w:pPr>
        <w:pStyle w:val="BodyText"/>
      </w:pPr>
      <w:r>
        <w:t xml:space="preserve">The </w:t>
      </w:r>
      <w:r w:rsidR="0096736E">
        <w:t xml:space="preserve">existing framework </w:t>
      </w:r>
      <w:r>
        <w:t xml:space="preserve">in the NGR that exempts </w:t>
      </w:r>
      <w:r w:rsidR="0096736E">
        <w:t xml:space="preserve">the Darwin LNG and </w:t>
      </w:r>
      <w:proofErr w:type="spellStart"/>
      <w:r w:rsidR="0096736E">
        <w:t>Icthys</w:t>
      </w:r>
      <w:proofErr w:type="spellEnd"/>
      <w:r w:rsidR="0096736E">
        <w:t xml:space="preserve"> LNG facilities from reporting under Part 18 </w:t>
      </w:r>
      <w:r w:rsidR="00D33289">
        <w:t xml:space="preserve">of the NGR </w:t>
      </w:r>
      <w:r w:rsidR="0096736E">
        <w:t xml:space="preserve">will be retained. </w:t>
      </w:r>
      <w:r>
        <w:t xml:space="preserve">The NGR will also exclude these facilities from the GSOO </w:t>
      </w:r>
      <w:r w:rsidRPr="006B33EC">
        <w:t>framework, for so long as they are exempt from reporting under Part 18</w:t>
      </w:r>
      <w:r w:rsidR="00D33289">
        <w:t xml:space="preserve"> of the NGR</w:t>
      </w:r>
      <w:r w:rsidRPr="006B33EC">
        <w:t>.</w:t>
      </w:r>
      <w:r>
        <w:t xml:space="preserve"> This exemption framework for the BB and the GSOO will </w:t>
      </w:r>
      <w:r w:rsidR="0096736E">
        <w:t xml:space="preserve">be extended to the offshore gas fields supplying </w:t>
      </w:r>
      <w:r w:rsidR="0098123B">
        <w:t xml:space="preserve">exclusively </w:t>
      </w:r>
      <w:r>
        <w:t>the</w:t>
      </w:r>
      <w:r w:rsidR="0096736E">
        <w:t xml:space="preserve"> exempt NT facilities</w:t>
      </w:r>
      <w:r>
        <w:t xml:space="preserve">. </w:t>
      </w:r>
      <w:proofErr w:type="spellStart"/>
      <w:r>
        <w:t>Bayu-Undan</w:t>
      </w:r>
      <w:proofErr w:type="spellEnd"/>
      <w:r>
        <w:t xml:space="preserve"> </w:t>
      </w:r>
      <w:r w:rsidR="000F60B3">
        <w:t xml:space="preserve">gas field </w:t>
      </w:r>
      <w:r>
        <w:t>is in the waters of Timor</w:t>
      </w:r>
      <w:r w:rsidR="00D33289">
        <w:t>-</w:t>
      </w:r>
      <w:r>
        <w:t xml:space="preserve">Leste and </w:t>
      </w:r>
      <w:r w:rsidR="0066131D">
        <w:t xml:space="preserve">will not therefore </w:t>
      </w:r>
      <w:r>
        <w:t xml:space="preserve">be covered </w:t>
      </w:r>
      <w:r w:rsidR="004245D9">
        <w:t xml:space="preserve">by </w:t>
      </w:r>
      <w:r w:rsidR="007740DB">
        <w:t>the</w:t>
      </w:r>
      <w:r w:rsidR="004245D9">
        <w:t xml:space="preserve"> </w:t>
      </w:r>
      <w:r w:rsidR="002D3D07">
        <w:t>reporting requirements</w:t>
      </w:r>
      <w:r>
        <w:t>.</w:t>
      </w:r>
    </w:p>
    <w:p w14:paraId="05988ED4" w14:textId="77777777" w:rsidR="002E374D" w:rsidRDefault="007B288C" w:rsidP="00F85E7C">
      <w:pPr>
        <w:pStyle w:val="Heading2"/>
      </w:pPr>
      <w:bookmarkStart w:id="50" w:name="_Toc45015263"/>
      <w:r>
        <w:t xml:space="preserve">Current policy </w:t>
      </w:r>
      <w:r w:rsidR="0098123B">
        <w:t xml:space="preserve">frameworks relevant to </w:t>
      </w:r>
      <w:r w:rsidR="00440252">
        <w:t>the endorsed option</w:t>
      </w:r>
      <w:bookmarkEnd w:id="50"/>
    </w:p>
    <w:p w14:paraId="48AC026D" w14:textId="77777777" w:rsidR="002E374D" w:rsidRDefault="002E374D" w:rsidP="002E374D">
      <w:pPr>
        <w:pStyle w:val="BodyText"/>
      </w:pPr>
      <w:r>
        <w:t xml:space="preserve">Many of the measures in </w:t>
      </w:r>
      <w:r w:rsidR="00440252">
        <w:t>the endorsed option</w:t>
      </w:r>
      <w:r>
        <w:t xml:space="preserve"> build on frameworks already in place under the Law and </w:t>
      </w:r>
      <w:r w:rsidR="007B288C">
        <w:t>Rules</w:t>
      </w:r>
      <w:r w:rsidR="0096736E">
        <w:t xml:space="preserve">. </w:t>
      </w:r>
      <w:r w:rsidR="0098123B">
        <w:t>Sections </w:t>
      </w:r>
      <w:r w:rsidR="0098123B">
        <w:fldChar w:fldCharType="begin"/>
      </w:r>
      <w:r w:rsidR="0098123B">
        <w:instrText xml:space="preserve"> REF _Ref37321716 \w \h </w:instrText>
      </w:r>
      <w:r w:rsidR="0098123B">
        <w:fldChar w:fldCharType="separate"/>
      </w:r>
      <w:r w:rsidR="00844010">
        <w:t>3.2.1</w:t>
      </w:r>
      <w:r w:rsidR="0098123B">
        <w:fldChar w:fldCharType="end"/>
      </w:r>
      <w:r w:rsidR="0098123B">
        <w:t xml:space="preserve"> to</w:t>
      </w:r>
      <w:r w:rsidR="007C269B">
        <w:t xml:space="preserve"> </w:t>
      </w:r>
      <w:r w:rsidR="007C269B">
        <w:fldChar w:fldCharType="begin"/>
      </w:r>
      <w:r w:rsidR="007C269B">
        <w:instrText xml:space="preserve"> REF _Ref39002720 \w \h </w:instrText>
      </w:r>
      <w:r w:rsidR="007C269B">
        <w:fldChar w:fldCharType="separate"/>
      </w:r>
      <w:r w:rsidR="00844010">
        <w:t>3.2.4</w:t>
      </w:r>
      <w:r w:rsidR="007C269B">
        <w:fldChar w:fldCharType="end"/>
      </w:r>
      <w:r w:rsidR="0098123B">
        <w:t xml:space="preserve"> below describe t</w:t>
      </w:r>
      <w:r>
        <w:t xml:space="preserve">hese </w:t>
      </w:r>
      <w:r w:rsidR="0098123B">
        <w:t>frameworks</w:t>
      </w:r>
      <w:r>
        <w:t xml:space="preserve"> </w:t>
      </w:r>
      <w:r w:rsidR="0098123B">
        <w:t xml:space="preserve">and indicate how they would change to implement </w:t>
      </w:r>
      <w:r w:rsidR="00440252">
        <w:t>the endorsed option</w:t>
      </w:r>
      <w:r w:rsidR="0098123B">
        <w:t>.</w:t>
      </w:r>
    </w:p>
    <w:p w14:paraId="09E5FE45" w14:textId="77777777" w:rsidR="003016D8" w:rsidRDefault="003016D8" w:rsidP="00E8611F">
      <w:pPr>
        <w:pStyle w:val="Heading3"/>
      </w:pPr>
      <w:bookmarkStart w:id="51" w:name="_Ref37321716"/>
      <w:r>
        <w:t>Natural Gas Services Bulletin Board</w:t>
      </w:r>
      <w:bookmarkEnd w:id="49"/>
      <w:bookmarkEnd w:id="51"/>
    </w:p>
    <w:p w14:paraId="57585B68" w14:textId="77777777" w:rsidR="000549E4" w:rsidRDefault="003016D8" w:rsidP="003016D8">
      <w:pPr>
        <w:pStyle w:val="BodyText"/>
      </w:pPr>
      <w:r>
        <w:t xml:space="preserve">The BB is a web-based information service maintained by </w:t>
      </w:r>
      <w:r w:rsidR="0098123B">
        <w:t>AEMO</w:t>
      </w:r>
      <w:r>
        <w:t xml:space="preserve">. Gas industry participants are </w:t>
      </w:r>
      <w:r w:rsidR="00E46820">
        <w:t xml:space="preserve">currently </w:t>
      </w:r>
      <w:r>
        <w:t>required to register with AEMO to provide information about their facilities, services and s</w:t>
      </w:r>
      <w:r w:rsidR="000549E4">
        <w:t>econdary capacity transactions.</w:t>
      </w:r>
      <w:r>
        <w:t xml:space="preserve"> AEMO proc</w:t>
      </w:r>
      <w:r w:rsidR="006B7862">
        <w:t xml:space="preserve">esses the information and </w:t>
      </w:r>
      <w:r>
        <w:t>publish</w:t>
      </w:r>
      <w:r w:rsidR="000915D0">
        <w:t>es</w:t>
      </w:r>
      <w:r w:rsidR="006B7862">
        <w:t xml:space="preserve"> it</w:t>
      </w:r>
      <w:r>
        <w:t xml:space="preserve"> on the BB. </w:t>
      </w:r>
    </w:p>
    <w:p w14:paraId="73B7836A" w14:textId="77777777" w:rsidR="003016D8" w:rsidRDefault="000549E4" w:rsidP="003016D8">
      <w:pPr>
        <w:pStyle w:val="BodyText"/>
      </w:pPr>
      <w:r>
        <w:t xml:space="preserve">The </w:t>
      </w:r>
      <w:r w:rsidR="003016D8">
        <w:t xml:space="preserve">legal framework for the BB </w:t>
      </w:r>
      <w:r w:rsidR="00D33289">
        <w:t xml:space="preserve">currently </w:t>
      </w:r>
      <w:r>
        <w:t>comprises the following</w:t>
      </w:r>
      <w:r w:rsidR="003016D8">
        <w:t>:</w:t>
      </w:r>
    </w:p>
    <w:p w14:paraId="62396328" w14:textId="77777777" w:rsidR="003016D8" w:rsidRDefault="000549E4" w:rsidP="004874A1">
      <w:pPr>
        <w:pStyle w:val="ListBullet"/>
      </w:pPr>
      <w:r>
        <w:t xml:space="preserve">The </w:t>
      </w:r>
      <w:r w:rsidR="001E6202">
        <w:t>Law</w:t>
      </w:r>
      <w:r w:rsidR="003016D8">
        <w:t xml:space="preserve"> specif</w:t>
      </w:r>
      <w:r>
        <w:t xml:space="preserve">ies </w:t>
      </w:r>
      <w:r w:rsidR="003016D8">
        <w:t>the functions of A</w:t>
      </w:r>
      <w:r>
        <w:t xml:space="preserve">EMO in relation to the BB, lists </w:t>
      </w:r>
      <w:r w:rsidR="003016D8">
        <w:t xml:space="preserve">the classes of persons who may be required under the </w:t>
      </w:r>
      <w:r w:rsidR="00B35DFE">
        <w:t>NGR</w:t>
      </w:r>
      <w:r w:rsidR="003016D8">
        <w:t xml:space="preserve"> to give information to AEMO for the BB, specif</w:t>
      </w:r>
      <w:r>
        <w:t>ies</w:t>
      </w:r>
      <w:r w:rsidR="003016D8">
        <w:t xml:space="preserve"> the classes of information that the </w:t>
      </w:r>
      <w:r w:rsidR="00B35DFE">
        <w:t>NGR</w:t>
      </w:r>
      <w:r w:rsidR="006B7862">
        <w:t xml:space="preserve"> </w:t>
      </w:r>
      <w:r w:rsidR="003016D8">
        <w:t>may require to be provided and provid</w:t>
      </w:r>
      <w:r>
        <w:t>es</w:t>
      </w:r>
      <w:r w:rsidR="003016D8">
        <w:t xml:space="preserve"> for compliance and immunities.</w:t>
      </w:r>
      <w:r w:rsidR="003016D8">
        <w:rPr>
          <w:rStyle w:val="FootnoteReference"/>
        </w:rPr>
        <w:footnoteReference w:id="6"/>
      </w:r>
      <w:r w:rsidR="003016D8">
        <w:t xml:space="preserve"> </w:t>
      </w:r>
    </w:p>
    <w:p w14:paraId="4E9DD3DE" w14:textId="77777777" w:rsidR="003016D8" w:rsidRDefault="003016D8" w:rsidP="004874A1">
      <w:pPr>
        <w:pStyle w:val="ListBullet"/>
      </w:pPr>
      <w:r>
        <w:t xml:space="preserve">Part 18 of the </w:t>
      </w:r>
      <w:r w:rsidR="00B35DFE">
        <w:t>NGR</w:t>
      </w:r>
      <w:r w:rsidR="000549E4">
        <w:t xml:space="preserve"> </w:t>
      </w:r>
      <w:r>
        <w:t>provides for registration of reporting entities</w:t>
      </w:r>
      <w:r w:rsidR="005F4C38">
        <w:t xml:space="preserve"> and </w:t>
      </w:r>
      <w:r>
        <w:t>the information standards</w:t>
      </w:r>
      <w:r w:rsidR="007740DB">
        <w:t>. It</w:t>
      </w:r>
      <w:r>
        <w:t xml:space="preserve"> specifies the information to be provided by each category of reporting entity.</w:t>
      </w:r>
    </w:p>
    <w:p w14:paraId="17D5B96D" w14:textId="472C1911" w:rsidR="003016D8" w:rsidRDefault="003016D8" w:rsidP="004874A1">
      <w:pPr>
        <w:pStyle w:val="ListBullet"/>
      </w:pPr>
      <w:r>
        <w:t xml:space="preserve">Transitional rules in Schedule </w:t>
      </w:r>
      <w:r w:rsidR="000F60B3">
        <w:t>5</w:t>
      </w:r>
      <w:r>
        <w:t xml:space="preserve"> of the </w:t>
      </w:r>
      <w:r w:rsidR="00B35DFE">
        <w:t>NGR</w:t>
      </w:r>
      <w:r>
        <w:t xml:space="preserve"> </w:t>
      </w:r>
      <w:r w:rsidR="00D33289">
        <w:t xml:space="preserve">currently </w:t>
      </w:r>
      <w:r>
        <w:t xml:space="preserve">extend </w:t>
      </w:r>
      <w:r w:rsidR="004874A1">
        <w:t xml:space="preserve">the </w:t>
      </w:r>
      <w:r>
        <w:t xml:space="preserve">scope of the BB to compression facilities </w:t>
      </w:r>
      <w:r w:rsidR="004874A1">
        <w:t xml:space="preserve">that are </w:t>
      </w:r>
      <w:r>
        <w:t xml:space="preserve">required to make </w:t>
      </w:r>
      <w:r w:rsidR="004874A1">
        <w:t xml:space="preserve">their </w:t>
      </w:r>
      <w:r>
        <w:t xml:space="preserve">contracted but </w:t>
      </w:r>
      <w:r w:rsidR="004874A1">
        <w:t xml:space="preserve">un-nominated </w:t>
      </w:r>
      <w:r>
        <w:t xml:space="preserve">capacity available in the day ahead auction established under Part 25 of the </w:t>
      </w:r>
      <w:r w:rsidR="00B35DFE">
        <w:t>NGR</w:t>
      </w:r>
      <w:r>
        <w:t>.</w:t>
      </w:r>
      <w:r w:rsidR="00D33289">
        <w:rPr>
          <w:rStyle w:val="FootnoteReference"/>
        </w:rPr>
        <w:footnoteReference w:id="7"/>
      </w:r>
    </w:p>
    <w:p w14:paraId="7D3752E6" w14:textId="77777777" w:rsidR="003016D8" w:rsidRDefault="003016D8" w:rsidP="004874A1">
      <w:pPr>
        <w:pStyle w:val="ListBullet"/>
      </w:pPr>
      <w:r>
        <w:t xml:space="preserve">AEMO makes BB Procedures under the </w:t>
      </w:r>
      <w:r w:rsidR="001E6202">
        <w:t>Law</w:t>
      </w:r>
      <w:r w:rsidR="000549E4">
        <w:t xml:space="preserve">, in accordance with </w:t>
      </w:r>
      <w:r>
        <w:t xml:space="preserve">the </w:t>
      </w:r>
      <w:r w:rsidR="00B35DFE">
        <w:t>NGR</w:t>
      </w:r>
      <w:r>
        <w:t>. The BB Procedures detail the registration process, the process for providing information to AEMO and the time</w:t>
      </w:r>
      <w:r w:rsidR="005F4C38">
        <w:t xml:space="preserve">s for </w:t>
      </w:r>
      <w:r>
        <w:t>information to be provided for the BB.</w:t>
      </w:r>
    </w:p>
    <w:p w14:paraId="4E744C9F" w14:textId="77777777" w:rsidR="0098123B" w:rsidRDefault="0098123B" w:rsidP="0098123B">
      <w:pPr>
        <w:pStyle w:val="BodyText"/>
      </w:pPr>
      <w:r>
        <w:lastRenderedPageBreak/>
        <w:t xml:space="preserve">To implement </w:t>
      </w:r>
      <w:r w:rsidR="00440252">
        <w:t>the endorsed option</w:t>
      </w:r>
      <w:r>
        <w:t xml:space="preserve">, </w:t>
      </w:r>
      <w:r w:rsidR="0066131D">
        <w:t xml:space="preserve">the </w:t>
      </w:r>
      <w:r>
        <w:t xml:space="preserve">BB provisions in the Law and the Rules would be expanded to require information from new categories of reporting entities and new categories of information that must be provided. </w:t>
      </w:r>
    </w:p>
    <w:p w14:paraId="5EAC4E65" w14:textId="77777777" w:rsidR="003016D8" w:rsidRDefault="003016D8" w:rsidP="00E8611F">
      <w:pPr>
        <w:pStyle w:val="Heading3"/>
      </w:pPr>
      <w:r>
        <w:t>Gas Statement of Opportunities</w:t>
      </w:r>
    </w:p>
    <w:p w14:paraId="13486258" w14:textId="77777777" w:rsidR="000549E4" w:rsidRDefault="003016D8" w:rsidP="003016D8">
      <w:pPr>
        <w:pStyle w:val="BodyText"/>
      </w:pPr>
      <w:r>
        <w:t xml:space="preserve">The GSOO is published by AEMO each year. The GSOO </w:t>
      </w:r>
      <w:r w:rsidR="0066131D">
        <w:t xml:space="preserve">contains </w:t>
      </w:r>
      <w:r>
        <w:t xml:space="preserve">information about gas supply and demand </w:t>
      </w:r>
      <w:r w:rsidR="006B7862">
        <w:t>and related matters</w:t>
      </w:r>
      <w:r>
        <w:t xml:space="preserve"> </w:t>
      </w:r>
      <w:r w:rsidR="000549E4">
        <w:t xml:space="preserve">over the medium and long term </w:t>
      </w:r>
      <w:r>
        <w:t xml:space="preserve">to assist industry participants and others </w:t>
      </w:r>
      <w:r w:rsidR="00D33289">
        <w:t xml:space="preserve">make </w:t>
      </w:r>
      <w:r>
        <w:t xml:space="preserve">informed decisions about investment in the natural gas industry. </w:t>
      </w:r>
    </w:p>
    <w:p w14:paraId="5AF181CA" w14:textId="77777777" w:rsidR="000549E4" w:rsidRDefault="000549E4" w:rsidP="000549E4">
      <w:pPr>
        <w:pStyle w:val="BodyText"/>
      </w:pPr>
      <w:r>
        <w:t>The legal framework for the GSOO comprises the following:</w:t>
      </w:r>
    </w:p>
    <w:p w14:paraId="7E0D0895" w14:textId="77777777" w:rsidR="005F4C38" w:rsidRDefault="000549E4" w:rsidP="004874A1">
      <w:pPr>
        <w:pStyle w:val="ListBullet"/>
      </w:pPr>
      <w:r>
        <w:t xml:space="preserve">The </w:t>
      </w:r>
      <w:r w:rsidR="001E6202">
        <w:t>Law</w:t>
      </w:r>
      <w:r>
        <w:t xml:space="preserve"> </w:t>
      </w:r>
      <w:r w:rsidR="003016D8">
        <w:t>describes the scope and content of the GSOO and requires AEMO to publish the GSOO.</w:t>
      </w:r>
      <w:r w:rsidR="003016D8">
        <w:rPr>
          <w:rStyle w:val="FootnoteReference"/>
        </w:rPr>
        <w:footnoteReference w:id="8"/>
      </w:r>
      <w:r w:rsidR="00E25937">
        <w:t xml:space="preserve"> </w:t>
      </w:r>
    </w:p>
    <w:p w14:paraId="550F330A" w14:textId="77777777" w:rsidR="003016D8" w:rsidRDefault="003016D8" w:rsidP="004874A1">
      <w:pPr>
        <w:pStyle w:val="ListBullet"/>
      </w:pPr>
      <w:r>
        <w:t xml:space="preserve">The </w:t>
      </w:r>
      <w:r w:rsidR="001E6202">
        <w:t>Law</w:t>
      </w:r>
      <w:r>
        <w:t xml:space="preserve"> includes a framework for AEMO to </w:t>
      </w:r>
      <w:r w:rsidR="006B7862">
        <w:t xml:space="preserve">issue notices requiring </w:t>
      </w:r>
      <w:r>
        <w:t xml:space="preserve">information to be given to it for AEMO’s functions, including the GSOO. The framework has not been </w:t>
      </w:r>
      <w:r w:rsidR="00E25937">
        <w:t>used by AEMO for the GSOO</w:t>
      </w:r>
      <w:r w:rsidR="0066131D">
        <w:t xml:space="preserve">. AEMO has </w:t>
      </w:r>
      <w:r w:rsidR="00E25937">
        <w:t>instead</w:t>
      </w:r>
      <w:r w:rsidR="0066131D">
        <w:t xml:space="preserve"> </w:t>
      </w:r>
      <w:r w:rsidR="00E25937">
        <w:t xml:space="preserve">relied on </w:t>
      </w:r>
      <w:r>
        <w:t>a voluntary survey.</w:t>
      </w:r>
    </w:p>
    <w:p w14:paraId="4325EAAA" w14:textId="77777777" w:rsidR="003016D8" w:rsidRDefault="003016D8" w:rsidP="004874A1">
      <w:pPr>
        <w:pStyle w:val="ListBullet"/>
      </w:pPr>
      <w:r>
        <w:t xml:space="preserve">Part 15D of the </w:t>
      </w:r>
      <w:r w:rsidR="00B35DFE">
        <w:t>NGR</w:t>
      </w:r>
      <w:r>
        <w:t xml:space="preserve"> provides more information about the matters that must be included in the GSOO.</w:t>
      </w:r>
    </w:p>
    <w:p w14:paraId="20A8420B" w14:textId="77777777" w:rsidR="0098123B" w:rsidRDefault="0098123B" w:rsidP="0098123B">
      <w:pPr>
        <w:pStyle w:val="BodyText"/>
      </w:pPr>
      <w:r>
        <w:t xml:space="preserve">To implement </w:t>
      </w:r>
      <w:r w:rsidR="00440252">
        <w:t>the endorsed option</w:t>
      </w:r>
      <w:r>
        <w:t xml:space="preserve">, </w:t>
      </w:r>
      <w:bookmarkStart w:id="52" w:name="_Ref36548717"/>
      <w:r>
        <w:t xml:space="preserve">the GSOO provisions in the Law and the Rules would be strengthened to allow AEMO to conduct a mandatory GSOO survey. The Law would authorise AEMO to make new GSOO Procedures to define the GSOO survey process. This would be supported by changes in Part </w:t>
      </w:r>
      <w:r w:rsidR="007B3AF1">
        <w:t xml:space="preserve">15B </w:t>
      </w:r>
      <w:r>
        <w:t>of the Rules, which deals with the content of AEMO Procedures and Part 15D, which deals with the GSOO.</w:t>
      </w:r>
    </w:p>
    <w:p w14:paraId="71FA6201" w14:textId="77777777" w:rsidR="005F3484" w:rsidRDefault="005F3484" w:rsidP="005F3484">
      <w:pPr>
        <w:pStyle w:val="Heading3"/>
      </w:pPr>
      <w:r>
        <w:t xml:space="preserve">AER information </w:t>
      </w:r>
      <w:r w:rsidR="0080197F">
        <w:t>gathering</w:t>
      </w:r>
      <w:r>
        <w:t xml:space="preserve"> </w:t>
      </w:r>
      <w:bookmarkEnd w:id="52"/>
      <w:r w:rsidR="0080197F">
        <w:t>powers</w:t>
      </w:r>
    </w:p>
    <w:p w14:paraId="2D8EC18B" w14:textId="77777777" w:rsidR="009E547D" w:rsidRDefault="0080197F" w:rsidP="00C10F2D">
      <w:pPr>
        <w:pStyle w:val="BodyText"/>
      </w:pPr>
      <w:r>
        <w:t>The AER</w:t>
      </w:r>
      <w:r w:rsidR="009E547D">
        <w:t xml:space="preserve"> has power under the Law to </w:t>
      </w:r>
      <w:r w:rsidR="002E1302">
        <w:t>make a regulatory information instrument</w:t>
      </w:r>
      <w:r w:rsidR="009E547D">
        <w:t xml:space="preserve">, if it </w:t>
      </w:r>
      <w:r w:rsidR="009E547D" w:rsidRPr="009E547D">
        <w:t>considers it reasonably necessary for the performance or exercise of its functions or powers under t</w:t>
      </w:r>
      <w:r w:rsidR="009E547D">
        <w:t>he</w:t>
      </w:r>
      <w:r w:rsidR="002E1302">
        <w:t xml:space="preserve"> Law or the Rules.</w:t>
      </w:r>
      <w:r w:rsidR="002E1302">
        <w:rPr>
          <w:rStyle w:val="FootnoteReference"/>
        </w:rPr>
        <w:footnoteReference w:id="9"/>
      </w:r>
      <w:r w:rsidR="0096736E">
        <w:t xml:space="preserve"> </w:t>
      </w:r>
      <w:r w:rsidR="002E1302">
        <w:t>The</w:t>
      </w:r>
      <w:r w:rsidR="008707CD">
        <w:t xml:space="preserve"> Law provides for </w:t>
      </w:r>
      <w:r w:rsidR="002E1302">
        <w:t>two types of regulatory information instrument:</w:t>
      </w:r>
    </w:p>
    <w:p w14:paraId="58A3AAAA" w14:textId="77777777" w:rsidR="009E547D" w:rsidRDefault="005F4C38" w:rsidP="009E547D">
      <w:pPr>
        <w:pStyle w:val="ListBullet"/>
      </w:pPr>
      <w:r>
        <w:t>A</w:t>
      </w:r>
      <w:r w:rsidR="0080197F">
        <w:t xml:space="preserve"> gene</w:t>
      </w:r>
      <w:r w:rsidR="002E1302">
        <w:t xml:space="preserve">ral regulatory information order, which applies to a </w:t>
      </w:r>
      <w:r w:rsidR="009E547D">
        <w:t xml:space="preserve">class of </w:t>
      </w:r>
      <w:r w:rsidR="0080197F">
        <w:t>scheme pipeline service providers (or</w:t>
      </w:r>
      <w:r w:rsidR="009E547D">
        <w:t xml:space="preserve"> a class of</w:t>
      </w:r>
      <w:r w:rsidR="0080197F">
        <w:t xml:space="preserve"> related providers) </w:t>
      </w:r>
      <w:r>
        <w:t xml:space="preserve">and </w:t>
      </w:r>
      <w:r w:rsidR="002E1302">
        <w:t xml:space="preserve">must be published on the </w:t>
      </w:r>
      <w:r>
        <w:t>AER’s website.</w:t>
      </w:r>
    </w:p>
    <w:p w14:paraId="19D72C4E" w14:textId="77777777" w:rsidR="009E547D" w:rsidRDefault="005F4C38" w:rsidP="009E547D">
      <w:pPr>
        <w:pStyle w:val="ListBullet"/>
      </w:pPr>
      <w:r>
        <w:t>A</w:t>
      </w:r>
      <w:r w:rsidR="009E547D">
        <w:t xml:space="preserve"> regulatory information notice</w:t>
      </w:r>
      <w:r w:rsidR="002E1302">
        <w:t xml:space="preserve">, which applies to a </w:t>
      </w:r>
      <w:r w:rsidR="009E547D">
        <w:t>particular pipeline service</w:t>
      </w:r>
      <w:r w:rsidR="002E1302">
        <w:t xml:space="preserve"> provider (</w:t>
      </w:r>
      <w:r w:rsidR="009E547D">
        <w:t>or a related provider)</w:t>
      </w:r>
      <w:r w:rsidR="002E1302">
        <w:t xml:space="preserve"> and must be served on the person the notice applies to.</w:t>
      </w:r>
    </w:p>
    <w:p w14:paraId="6ECB5911" w14:textId="77777777" w:rsidR="002E1302" w:rsidRDefault="002E1302" w:rsidP="009E547D">
      <w:pPr>
        <w:pStyle w:val="BodyText"/>
      </w:pPr>
      <w:r>
        <w:t>These information gathering powers are subject to restrictions such as the following:</w:t>
      </w:r>
    </w:p>
    <w:p w14:paraId="0A24CBE1" w14:textId="77777777" w:rsidR="002E1302" w:rsidRDefault="002E1302" w:rsidP="002E1302">
      <w:pPr>
        <w:pStyle w:val="ListBullet"/>
      </w:pPr>
      <w:r>
        <w:t xml:space="preserve">A regulatory information instrument cannot be made solely for the purposes of investigating breaches, </w:t>
      </w:r>
      <w:r w:rsidRPr="002E1302">
        <w:t>instituting and conducting proceedings</w:t>
      </w:r>
      <w:r>
        <w:t xml:space="preserve"> in relation to breaches </w:t>
      </w:r>
      <w:r>
        <w:lastRenderedPageBreak/>
        <w:t>or an appeal from a decision made in such proceedings, or an application for review of an AER decision.</w:t>
      </w:r>
      <w:r>
        <w:rPr>
          <w:rStyle w:val="FootnoteReference"/>
        </w:rPr>
        <w:footnoteReference w:id="10"/>
      </w:r>
    </w:p>
    <w:p w14:paraId="40AE1D07" w14:textId="77777777" w:rsidR="002E1302" w:rsidRDefault="00E62945" w:rsidP="002E1302">
      <w:pPr>
        <w:pStyle w:val="ListBullet"/>
      </w:pPr>
      <w:r>
        <w:t xml:space="preserve">The </w:t>
      </w:r>
      <w:r w:rsidR="002E1302">
        <w:t xml:space="preserve">AER must consult before making a general regulatory information order and must give the proposed recipient of a regulatory information notice an opportunity to be heard before making the </w:t>
      </w:r>
      <w:r w:rsidR="007740DB">
        <w:t>notice</w:t>
      </w:r>
      <w:r w:rsidR="002E1302">
        <w:t>.</w:t>
      </w:r>
      <w:r w:rsidR="002E1302">
        <w:rPr>
          <w:rStyle w:val="FootnoteReference"/>
        </w:rPr>
        <w:footnoteReference w:id="11"/>
      </w:r>
    </w:p>
    <w:p w14:paraId="729C6869" w14:textId="77777777" w:rsidR="00101AD0" w:rsidRDefault="002E1302" w:rsidP="00040BDC">
      <w:pPr>
        <w:pStyle w:val="BodyText"/>
      </w:pPr>
      <w:r>
        <w:t xml:space="preserve">A person subject to a </w:t>
      </w:r>
      <w:r w:rsidRPr="002E1302">
        <w:t xml:space="preserve">regulatory information instrument </w:t>
      </w:r>
      <w:r>
        <w:t xml:space="preserve">may make a </w:t>
      </w:r>
      <w:r w:rsidR="009E547D">
        <w:t xml:space="preserve">confidentiality claim </w:t>
      </w:r>
      <w:r>
        <w:t>in respect of information given to the AER when complying with the instrument.</w:t>
      </w:r>
      <w:r>
        <w:rPr>
          <w:rStyle w:val="FootnoteReference"/>
        </w:rPr>
        <w:footnoteReference w:id="12"/>
      </w:r>
      <w:r w:rsidR="00040BDC">
        <w:t xml:space="preserve"> </w:t>
      </w:r>
      <w:r w:rsidR="00101AD0" w:rsidRPr="00040BDC">
        <w:t xml:space="preserve">Information given to the AER in compliance with a regulatory information instrument is </w:t>
      </w:r>
      <w:r w:rsidR="00101AD0">
        <w:t xml:space="preserve">only </w:t>
      </w:r>
      <w:r w:rsidR="00101AD0" w:rsidRPr="00040BDC">
        <w:t xml:space="preserve">regarded as being given to the AER in confidence </w:t>
      </w:r>
      <w:r w:rsidR="00101AD0">
        <w:t xml:space="preserve">if it </w:t>
      </w:r>
      <w:r w:rsidR="00F02444">
        <w:t xml:space="preserve">is </w:t>
      </w:r>
      <w:r w:rsidR="00101AD0" w:rsidRPr="00040BDC">
        <w:t>subject to an express claim of confidenti</w:t>
      </w:r>
      <w:r w:rsidR="00101AD0">
        <w:t>ality made under the relevant provision.</w:t>
      </w:r>
    </w:p>
    <w:p w14:paraId="755E804C" w14:textId="77777777" w:rsidR="00040BDC" w:rsidRDefault="00040BDC" w:rsidP="00101AD0">
      <w:pPr>
        <w:pStyle w:val="BodyText"/>
      </w:pPr>
      <w:r>
        <w:t xml:space="preserve">Where a claim of confidentiality is made, the AER can disclose the information in </w:t>
      </w:r>
      <w:r w:rsidRPr="00040BDC">
        <w:t>accordance with Chapter 10 Part 2 Division 1</w:t>
      </w:r>
      <w:r>
        <w:t xml:space="preserve"> of the NGL.</w:t>
      </w:r>
      <w:r>
        <w:rPr>
          <w:rStyle w:val="FootnoteReference"/>
        </w:rPr>
        <w:footnoteReference w:id="13"/>
      </w:r>
      <w:r>
        <w:t xml:space="preserve"> This includes where the information does not identify the person to whom it relates</w:t>
      </w:r>
      <w:r w:rsidR="0066131D">
        <w:t>,</w:t>
      </w:r>
      <w:r>
        <w:t xml:space="preserve"> or if it is disclosed in aggregated form.</w:t>
      </w:r>
      <w:r>
        <w:rPr>
          <w:rStyle w:val="FootnoteReference"/>
        </w:rPr>
        <w:footnoteReference w:id="14"/>
      </w:r>
      <w:r w:rsidR="00101AD0">
        <w:t xml:space="preserve"> The AER is also authorised </w:t>
      </w:r>
      <w:r w:rsidR="00560069">
        <w:t xml:space="preserve">under section 44AAF of the </w:t>
      </w:r>
      <w:r w:rsidR="00560069" w:rsidRPr="00101AD0">
        <w:rPr>
          <w:i/>
        </w:rPr>
        <w:t>Competition and Consumer Act 2010</w:t>
      </w:r>
      <w:r w:rsidR="00560069" w:rsidRPr="00040BDC">
        <w:t xml:space="preserve"> </w:t>
      </w:r>
      <w:r w:rsidR="00560069">
        <w:t>(</w:t>
      </w:r>
      <w:proofErr w:type="spellStart"/>
      <w:r w:rsidR="00560069">
        <w:t>Cth</w:t>
      </w:r>
      <w:proofErr w:type="spellEnd"/>
      <w:r w:rsidR="00560069">
        <w:t xml:space="preserve">) </w:t>
      </w:r>
      <w:r w:rsidR="00101AD0">
        <w:t>to disclose information given to it in confidence.</w:t>
      </w:r>
      <w:r>
        <w:rPr>
          <w:rStyle w:val="FootnoteReference"/>
        </w:rPr>
        <w:footnoteReference w:id="15"/>
      </w:r>
      <w:r w:rsidR="00101AD0">
        <w:t xml:space="preserve"> That section authorises disclosure to, among others, the ACCC, the AEMC and AEMO.</w:t>
      </w:r>
    </w:p>
    <w:p w14:paraId="456CE310" w14:textId="77777777" w:rsidR="0098123B" w:rsidRDefault="0098123B" w:rsidP="00101AD0">
      <w:pPr>
        <w:pStyle w:val="BodyText"/>
      </w:pPr>
      <w:r>
        <w:t xml:space="preserve">To implement </w:t>
      </w:r>
      <w:r w:rsidR="00440252">
        <w:t>the endorsed option</w:t>
      </w:r>
      <w:r>
        <w:t xml:space="preserve">, the AER would be given a new function under the Law to </w:t>
      </w:r>
      <w:r w:rsidR="005F4C38">
        <w:t xml:space="preserve">collect, analyse and </w:t>
      </w:r>
      <w:r>
        <w:t xml:space="preserve">publish information about prices </w:t>
      </w:r>
      <w:r w:rsidR="007E62BF">
        <w:t>for goods and services in the natural gas industry</w:t>
      </w:r>
      <w:r>
        <w:t xml:space="preserve">. The Rules would list the categories of price information that the AER could decide to publish. The AER’s information gathering powers </w:t>
      </w:r>
      <w:r w:rsidR="00560069">
        <w:t xml:space="preserve">described above </w:t>
      </w:r>
      <w:r>
        <w:t>would be extended to allow it to make a price information order to gather the information it needs for its new function</w:t>
      </w:r>
      <w:r w:rsidR="00560069">
        <w:t xml:space="preserve"> except that the</w:t>
      </w:r>
      <w:r>
        <w:t xml:space="preserve"> information collected </w:t>
      </w:r>
      <w:r w:rsidR="005F4C38">
        <w:t xml:space="preserve">under a price information order </w:t>
      </w:r>
      <w:r>
        <w:t>would be treated as provided in confidence.</w:t>
      </w:r>
    </w:p>
    <w:p w14:paraId="7D4FB599" w14:textId="77777777" w:rsidR="00C10F2D" w:rsidRDefault="00C10F2D" w:rsidP="00C10F2D">
      <w:pPr>
        <w:pStyle w:val="Heading3"/>
      </w:pPr>
      <w:bookmarkStart w:id="53" w:name="_Ref39002720"/>
      <w:r>
        <w:t>Information about standing terms</w:t>
      </w:r>
      <w:bookmarkEnd w:id="53"/>
    </w:p>
    <w:p w14:paraId="75F6B826" w14:textId="77777777" w:rsidR="00101AD0" w:rsidRDefault="00101AD0" w:rsidP="00C10F2D">
      <w:pPr>
        <w:pStyle w:val="BodyText"/>
      </w:pPr>
      <w:r>
        <w:t>The Law includes a head of power for Rules providing for (among other things) the publication of information about the services that may be provided by a non-scheme pipeline.</w:t>
      </w:r>
      <w:r>
        <w:rPr>
          <w:rStyle w:val="FootnoteReference"/>
        </w:rPr>
        <w:footnoteReference w:id="16"/>
      </w:r>
      <w:r>
        <w:t xml:space="preserve"> </w:t>
      </w:r>
      <w:r w:rsidR="00ED4478">
        <w:t xml:space="preserve">This may include requirements to provide information about the </w:t>
      </w:r>
      <w:r w:rsidR="00ED4478" w:rsidRPr="00101AD0">
        <w:t xml:space="preserve">terms and conditions on which the service provider is prepared to </w:t>
      </w:r>
      <w:r w:rsidR="00ED4478">
        <w:t>make a non-</w:t>
      </w:r>
      <w:r w:rsidR="00ED4478" w:rsidRPr="00101AD0">
        <w:t>scheme pipeline available for use by others</w:t>
      </w:r>
      <w:r w:rsidR="00ED4478">
        <w:t>.</w:t>
      </w:r>
      <w:r w:rsidR="0066131D">
        <w:t xml:space="preserve"> </w:t>
      </w:r>
      <w:r>
        <w:t xml:space="preserve">Rules requiring the </w:t>
      </w:r>
      <w:r w:rsidR="00ED4478">
        <w:t xml:space="preserve">service providers </w:t>
      </w:r>
      <w:r w:rsidR="00076A01">
        <w:t xml:space="preserve">of </w:t>
      </w:r>
      <w:r w:rsidR="00ED4478">
        <w:t xml:space="preserve">non-scheme pipelines to </w:t>
      </w:r>
      <w:r>
        <w:t>publi</w:t>
      </w:r>
      <w:r w:rsidR="00ED4478">
        <w:t>sh</w:t>
      </w:r>
      <w:r>
        <w:t xml:space="preserve"> standard terms and </w:t>
      </w:r>
      <w:r w:rsidR="00ED4478">
        <w:t xml:space="preserve">price </w:t>
      </w:r>
      <w:r>
        <w:t>information are in Part 23 of the Rules.</w:t>
      </w:r>
    </w:p>
    <w:p w14:paraId="15037687" w14:textId="77777777" w:rsidR="0098123B" w:rsidRDefault="0098123B" w:rsidP="00C10F2D">
      <w:pPr>
        <w:pStyle w:val="BodyText"/>
      </w:pPr>
      <w:r>
        <w:t xml:space="preserve">To implement </w:t>
      </w:r>
      <w:r w:rsidR="00440252">
        <w:t>the endorsed option</w:t>
      </w:r>
      <w:r>
        <w:t xml:space="preserve">, the Law would include a </w:t>
      </w:r>
      <w:r w:rsidR="0066131D">
        <w:t xml:space="preserve">similar </w:t>
      </w:r>
      <w:r>
        <w:t>head of power to make Rules requiring publication of information about standing offers by compression and storage service providers. A new Part would be added to the Rules setting out the detailed requirements.</w:t>
      </w:r>
    </w:p>
    <w:p w14:paraId="40E6E219" w14:textId="77777777" w:rsidR="003701E0" w:rsidRDefault="003701E0" w:rsidP="00E8611F">
      <w:pPr>
        <w:pStyle w:val="Heading2"/>
      </w:pPr>
      <w:bookmarkStart w:id="54" w:name="_Toc45015264"/>
      <w:r>
        <w:lastRenderedPageBreak/>
        <w:t>Overview of changes</w:t>
      </w:r>
      <w:bookmarkEnd w:id="54"/>
    </w:p>
    <w:p w14:paraId="747CB6BD" w14:textId="77777777" w:rsidR="00682302" w:rsidRDefault="006879AC" w:rsidP="00682302">
      <w:pPr>
        <w:pStyle w:val="BodyText"/>
      </w:pPr>
      <w:r>
        <w:t xml:space="preserve">The following table </w:t>
      </w:r>
      <w:r w:rsidR="00682302">
        <w:t>provides a</w:t>
      </w:r>
      <w:r w:rsidR="0098123B">
        <w:t xml:space="preserve">n </w:t>
      </w:r>
      <w:r w:rsidR="00682302">
        <w:t xml:space="preserve">overview of the </w:t>
      </w:r>
      <w:r w:rsidR="005F4C38">
        <w:t>proposed changes to the legal and regulatory framework</w:t>
      </w:r>
      <w:r w:rsidR="00682302">
        <w:t>.</w:t>
      </w:r>
    </w:p>
    <w:p w14:paraId="6F7B72CF" w14:textId="77777777" w:rsidR="00682302" w:rsidRPr="00187103" w:rsidRDefault="00187103" w:rsidP="00187103">
      <w:pPr>
        <w:pStyle w:val="Caption"/>
        <w:spacing w:after="0"/>
      </w:pPr>
      <w:r w:rsidRPr="00187103">
        <w:t xml:space="preserve">Table </w:t>
      </w:r>
      <w:r w:rsidR="007740DB">
        <w:rPr>
          <w:noProof/>
        </w:rPr>
        <w:fldChar w:fldCharType="begin"/>
      </w:r>
      <w:r w:rsidR="007740DB">
        <w:rPr>
          <w:noProof/>
        </w:rPr>
        <w:instrText xml:space="preserve"> STYLEREF 1 \s </w:instrText>
      </w:r>
      <w:r w:rsidR="007740DB">
        <w:rPr>
          <w:noProof/>
        </w:rPr>
        <w:fldChar w:fldCharType="separate"/>
      </w:r>
      <w:r w:rsidR="00844010">
        <w:rPr>
          <w:noProof/>
        </w:rPr>
        <w:t>3</w:t>
      </w:r>
      <w:r w:rsidR="007740DB">
        <w:rPr>
          <w:noProof/>
        </w:rPr>
        <w:fldChar w:fldCharType="end"/>
      </w:r>
      <w:r w:rsidRPr="00187103">
        <w:t>.</w:t>
      </w:r>
      <w:r w:rsidR="007740DB">
        <w:rPr>
          <w:noProof/>
        </w:rPr>
        <w:fldChar w:fldCharType="begin"/>
      </w:r>
      <w:r w:rsidR="007740DB">
        <w:rPr>
          <w:noProof/>
        </w:rPr>
        <w:instrText xml:space="preserve"> SEQ Table \* ARABIC \s 1 </w:instrText>
      </w:r>
      <w:r w:rsidR="007740DB">
        <w:rPr>
          <w:noProof/>
        </w:rPr>
        <w:fldChar w:fldCharType="separate"/>
      </w:r>
      <w:r w:rsidR="00844010">
        <w:rPr>
          <w:noProof/>
        </w:rPr>
        <w:t>1</w:t>
      </w:r>
      <w:r w:rsidR="007740DB">
        <w:rPr>
          <w:noProof/>
        </w:rPr>
        <w:fldChar w:fldCharType="end"/>
      </w:r>
      <w:r w:rsidRPr="00187103">
        <w:t xml:space="preserve">: </w:t>
      </w:r>
      <w:r w:rsidR="00682302" w:rsidRPr="00187103">
        <w:t>Overview of changes to the legal and regulatory framework</w:t>
      </w:r>
    </w:p>
    <w:tbl>
      <w:tblPr>
        <w:tblStyle w:val="ACCCTable1"/>
        <w:tblW w:w="5242" w:type="pct"/>
        <w:tblLook w:val="06A0" w:firstRow="1" w:lastRow="0" w:firstColumn="1" w:lastColumn="0" w:noHBand="1" w:noVBand="1"/>
        <w:tblCaption w:val="Key terms"/>
        <w:tblDescription w:val="Key terms used in legal and regulatory framework"/>
      </w:tblPr>
      <w:tblGrid>
        <w:gridCol w:w="1841"/>
        <w:gridCol w:w="7363"/>
      </w:tblGrid>
      <w:tr w:rsidR="00682302" w:rsidRPr="00091EAE" w14:paraId="19F38707" w14:textId="77777777" w:rsidTr="00C57CF8">
        <w:trPr>
          <w:cnfStyle w:val="100000000000" w:firstRow="1" w:lastRow="0" w:firstColumn="0" w:lastColumn="0" w:oddVBand="0" w:evenVBand="0" w:oddHBand="0" w:evenHBand="0" w:firstRowFirstColumn="0" w:firstRowLastColumn="0" w:lastRowFirstColumn="0" w:lastRowLastColumn="0"/>
          <w:cantSplit/>
          <w:trHeight w:val="54"/>
          <w:tblHeader/>
        </w:trPr>
        <w:tc>
          <w:tcPr>
            <w:tcW w:w="1000" w:type="pct"/>
            <w:tcBorders>
              <w:left w:val="single" w:sz="4" w:space="0" w:color="auto"/>
              <w:bottom w:val="single" w:sz="4" w:space="0" w:color="auto"/>
            </w:tcBorders>
            <w:shd w:val="clear" w:color="auto" w:fill="005595"/>
            <w:hideMark/>
          </w:tcPr>
          <w:p w14:paraId="6DF05CAB" w14:textId="77777777" w:rsidR="00682302" w:rsidRPr="00091EAE" w:rsidRDefault="00682302" w:rsidP="00187103">
            <w:pPr>
              <w:spacing w:before="20" w:after="20"/>
              <w:rPr>
                <w:rFonts w:cs="Arial"/>
                <w:b w:val="0"/>
              </w:rPr>
            </w:pPr>
            <w:r w:rsidRPr="00091EAE">
              <w:rPr>
                <w:rFonts w:cs="Arial"/>
              </w:rPr>
              <w:t>Instrument</w:t>
            </w:r>
          </w:p>
        </w:tc>
        <w:tc>
          <w:tcPr>
            <w:tcW w:w="4000" w:type="pct"/>
            <w:tcBorders>
              <w:bottom w:val="single" w:sz="4" w:space="0" w:color="auto"/>
              <w:right w:val="single" w:sz="4" w:space="0" w:color="auto"/>
            </w:tcBorders>
            <w:shd w:val="clear" w:color="auto" w:fill="005595"/>
            <w:hideMark/>
          </w:tcPr>
          <w:p w14:paraId="391FF47F" w14:textId="77777777" w:rsidR="00682302" w:rsidRPr="00091EAE" w:rsidRDefault="00682302" w:rsidP="00187103">
            <w:pPr>
              <w:spacing w:before="20" w:after="20"/>
              <w:rPr>
                <w:rFonts w:cs="Arial"/>
                <w:b w:val="0"/>
              </w:rPr>
            </w:pPr>
            <w:r w:rsidRPr="00091EAE">
              <w:rPr>
                <w:rFonts w:cs="Arial"/>
              </w:rPr>
              <w:t>Change</w:t>
            </w:r>
          </w:p>
        </w:tc>
      </w:tr>
      <w:tr w:rsidR="00682302" w:rsidRPr="00091EAE" w14:paraId="5956AD71" w14:textId="77777777" w:rsidTr="006879AC">
        <w:trPr>
          <w:cantSplit/>
        </w:trPr>
        <w:tc>
          <w:tcPr>
            <w:tcW w:w="1000" w:type="pct"/>
            <w:tcBorders>
              <w:bottom w:val="single" w:sz="4" w:space="0" w:color="auto"/>
            </w:tcBorders>
          </w:tcPr>
          <w:p w14:paraId="2E8FD7AF" w14:textId="77777777" w:rsidR="00682302" w:rsidRPr="007C1434" w:rsidRDefault="001E6202" w:rsidP="007C1434">
            <w:pPr>
              <w:pStyle w:val="TableBodyText"/>
              <w:rPr>
                <w:b/>
              </w:rPr>
            </w:pPr>
            <w:r w:rsidRPr="007C1434">
              <w:rPr>
                <w:b/>
              </w:rPr>
              <w:t>Law</w:t>
            </w:r>
          </w:p>
        </w:tc>
        <w:tc>
          <w:tcPr>
            <w:tcW w:w="4000" w:type="pct"/>
            <w:tcBorders>
              <w:bottom w:val="single" w:sz="4" w:space="0" w:color="auto"/>
            </w:tcBorders>
          </w:tcPr>
          <w:p w14:paraId="5F521AA1" w14:textId="77777777" w:rsidR="00682302" w:rsidRPr="004C522B" w:rsidRDefault="00682302" w:rsidP="007C1434">
            <w:pPr>
              <w:pStyle w:val="TableBodyText"/>
            </w:pPr>
            <w:r w:rsidRPr="007C1434">
              <w:t>Changes</w:t>
            </w:r>
            <w:r w:rsidRPr="004C522B">
              <w:t xml:space="preserve"> to the </w:t>
            </w:r>
            <w:r w:rsidR="001E6202">
              <w:t>Law</w:t>
            </w:r>
            <w:r w:rsidRPr="004C522B">
              <w:t xml:space="preserve"> are required to:</w:t>
            </w:r>
          </w:p>
          <w:p w14:paraId="6BD48C52" w14:textId="77777777" w:rsidR="008707CD" w:rsidRDefault="00682302" w:rsidP="007D35DE">
            <w:pPr>
              <w:pStyle w:val="Newtablebullet"/>
            </w:pPr>
            <w:r w:rsidRPr="007D35DE">
              <w:t xml:space="preserve">expand the scope of the </w:t>
            </w:r>
            <w:r w:rsidR="003433BB" w:rsidRPr="007D35DE">
              <w:t xml:space="preserve">BB </w:t>
            </w:r>
            <w:r w:rsidRPr="007D35DE">
              <w:t>to provide for the collection of information about gas reserves and resources, gas sales</w:t>
            </w:r>
            <w:r w:rsidR="00210650" w:rsidRPr="007D35DE">
              <w:t xml:space="preserve"> and swaps</w:t>
            </w:r>
            <w:r w:rsidRPr="007D35DE">
              <w:t>, compression services,</w:t>
            </w:r>
            <w:r w:rsidR="005F4C38" w:rsidRPr="007D35DE">
              <w:t xml:space="preserve"> LNG processing facilities,</w:t>
            </w:r>
            <w:r w:rsidRPr="007D35DE">
              <w:t xml:space="preserve"> LNG exports and imports, the use of gas and </w:t>
            </w:r>
            <w:r w:rsidR="00666122" w:rsidRPr="007D35DE">
              <w:t>facility development projects</w:t>
            </w:r>
            <w:r w:rsidR="008707CD">
              <w:t>;</w:t>
            </w:r>
          </w:p>
          <w:p w14:paraId="54180CF7" w14:textId="77777777" w:rsidR="00682302" w:rsidRPr="007D35DE" w:rsidRDefault="008707CD" w:rsidP="007D35DE">
            <w:pPr>
              <w:pStyle w:val="Newtablebullet"/>
            </w:pPr>
            <w:r>
              <w:t>provide</w:t>
            </w:r>
            <w:r w:rsidR="0004140E">
              <w:t xml:space="preserve"> for</w:t>
            </w:r>
            <w:r>
              <w:t xml:space="preserve"> gas price assumption information use</w:t>
            </w:r>
            <w:r w:rsidR="0004140E">
              <w:t>d</w:t>
            </w:r>
            <w:r>
              <w:t xml:space="preserve"> to calculate reserves and resources</w:t>
            </w:r>
            <w:r w:rsidR="0004140E">
              <w:t xml:space="preserve"> information to</w:t>
            </w:r>
            <w:r>
              <w:t xml:space="preserve"> be given to the AER for publication</w:t>
            </w:r>
            <w:r w:rsidR="00666122" w:rsidRPr="007D35DE">
              <w:t xml:space="preserve">; </w:t>
            </w:r>
          </w:p>
          <w:p w14:paraId="39B63E37" w14:textId="77777777" w:rsidR="00682302" w:rsidRPr="007D35DE" w:rsidRDefault="007C269B" w:rsidP="007D35DE">
            <w:pPr>
              <w:pStyle w:val="Newtablebullet"/>
            </w:pPr>
            <w:r w:rsidRPr="007D35DE">
              <w:t xml:space="preserve">expand the scope of who may be required to </w:t>
            </w:r>
            <w:r w:rsidR="00682302" w:rsidRPr="007D35DE">
              <w:t xml:space="preserve">provide information for the </w:t>
            </w:r>
            <w:r w:rsidR="003433BB" w:rsidRPr="007D35DE">
              <w:t xml:space="preserve">BB </w:t>
            </w:r>
            <w:r w:rsidR="00682302" w:rsidRPr="007D35DE">
              <w:t xml:space="preserve">to include those with an interest in a petroleum tenement, the operators of LNG processing facilities, LNG importers and exporters, the operators of large user facilities, sellers under gas </w:t>
            </w:r>
            <w:r w:rsidR="00F27670">
              <w:t>supply</w:t>
            </w:r>
            <w:r w:rsidR="00F27670" w:rsidRPr="007D35DE">
              <w:t xml:space="preserve"> </w:t>
            </w:r>
            <w:r w:rsidR="00682302" w:rsidRPr="007D35DE">
              <w:t>agreements</w:t>
            </w:r>
            <w:r w:rsidR="00560069" w:rsidRPr="007D35DE">
              <w:t>, parties to gas swaps</w:t>
            </w:r>
            <w:r w:rsidR="00682302" w:rsidRPr="007D35DE">
              <w:t xml:space="preserve"> and facility developers;</w:t>
            </w:r>
            <w:r w:rsidR="00666122" w:rsidRPr="007D35DE">
              <w:t xml:space="preserve"> </w:t>
            </w:r>
          </w:p>
          <w:p w14:paraId="1F7D9FB2" w14:textId="77777777" w:rsidR="00682302" w:rsidRPr="007D35DE" w:rsidRDefault="00682302" w:rsidP="007D35DE">
            <w:pPr>
              <w:pStyle w:val="Newtablebullet"/>
            </w:pPr>
            <w:r w:rsidRPr="007D35DE">
              <w:t xml:space="preserve">allow </w:t>
            </w:r>
            <w:r w:rsidR="005F4C38" w:rsidRPr="007D35DE">
              <w:t>R</w:t>
            </w:r>
            <w:r w:rsidRPr="007D35DE">
              <w:t>ules to be made to require the operators of compression service facilities and storage facilities to provide information about standing prices and actual prices;</w:t>
            </w:r>
          </w:p>
          <w:p w14:paraId="31642FBB" w14:textId="77777777" w:rsidR="00682302" w:rsidRPr="007D35DE" w:rsidRDefault="006B7862" w:rsidP="007D35DE">
            <w:pPr>
              <w:pStyle w:val="Newtablebullet"/>
            </w:pPr>
            <w:r w:rsidRPr="007D35DE">
              <w:t xml:space="preserve">require AEMO to make GSOO Procedures and </w:t>
            </w:r>
            <w:r w:rsidR="00682302" w:rsidRPr="007D35DE">
              <w:t>require producers, facility operators</w:t>
            </w:r>
            <w:r w:rsidR="00560069" w:rsidRPr="007D35DE">
              <w:t>,</w:t>
            </w:r>
            <w:r w:rsidR="00682302" w:rsidRPr="007D35DE">
              <w:t xml:space="preserve"> project developers</w:t>
            </w:r>
            <w:r w:rsidR="00560069" w:rsidRPr="007D35DE">
              <w:t xml:space="preserve"> and others with relevant information</w:t>
            </w:r>
            <w:r w:rsidR="00682302" w:rsidRPr="007D35DE">
              <w:t xml:space="preserve"> to give AEMO information for the GSOO;</w:t>
            </w:r>
            <w:r w:rsidR="00295BFE" w:rsidRPr="007D35DE">
              <w:t xml:space="preserve"> </w:t>
            </w:r>
          </w:p>
          <w:p w14:paraId="6B87D805" w14:textId="77777777" w:rsidR="00295BFE" w:rsidRPr="007D35DE" w:rsidRDefault="00295BFE" w:rsidP="007D35DE">
            <w:pPr>
              <w:pStyle w:val="Newtablebullet"/>
            </w:pPr>
            <w:r w:rsidRPr="007D35DE">
              <w:t>give the AER a new function to publish gas price information and new powers to publish an instrument requiring information to be provided to the AER that is used in preparing the gas price information; and</w:t>
            </w:r>
          </w:p>
          <w:p w14:paraId="557735C5" w14:textId="77777777" w:rsidR="00682302" w:rsidRPr="007D35DE" w:rsidRDefault="00682302" w:rsidP="007D35DE">
            <w:pPr>
              <w:pStyle w:val="Newtablebullet"/>
            </w:pPr>
            <w:proofErr w:type="gramStart"/>
            <w:r w:rsidRPr="007D35DE">
              <w:t>allow</w:t>
            </w:r>
            <w:proofErr w:type="gramEnd"/>
            <w:r w:rsidRPr="007D35DE">
              <w:t xml:space="preserve"> the Minister to make the initial </w:t>
            </w:r>
            <w:r w:rsidR="005F4C38" w:rsidRPr="007D35DE">
              <w:t>Rules</w:t>
            </w:r>
            <w:r w:rsidRPr="007D35DE">
              <w:t xml:space="preserve"> to implement the reform package.</w:t>
            </w:r>
          </w:p>
        </w:tc>
      </w:tr>
      <w:tr w:rsidR="00682302" w:rsidRPr="00091EAE" w14:paraId="42D2B8E6" w14:textId="77777777" w:rsidTr="006879AC">
        <w:trPr>
          <w:cantSplit/>
        </w:trPr>
        <w:tc>
          <w:tcPr>
            <w:tcW w:w="1000" w:type="pct"/>
            <w:shd w:val="clear" w:color="auto" w:fill="E1E2E7" w:themeFill="background2"/>
          </w:tcPr>
          <w:p w14:paraId="6D48B0F3" w14:textId="77777777" w:rsidR="00682302" w:rsidRPr="007C1434" w:rsidRDefault="00682302" w:rsidP="007C1434">
            <w:pPr>
              <w:pStyle w:val="TableBodyText"/>
              <w:rPr>
                <w:b/>
              </w:rPr>
            </w:pPr>
            <w:r w:rsidRPr="007C1434">
              <w:rPr>
                <w:b/>
              </w:rPr>
              <w:t>Regulations</w:t>
            </w:r>
          </w:p>
        </w:tc>
        <w:tc>
          <w:tcPr>
            <w:tcW w:w="4000" w:type="pct"/>
            <w:shd w:val="clear" w:color="auto" w:fill="E1E2E7" w:themeFill="background2"/>
          </w:tcPr>
          <w:p w14:paraId="18B93F82" w14:textId="77777777" w:rsidR="00682302" w:rsidRPr="004C522B" w:rsidRDefault="00682302" w:rsidP="007C1434">
            <w:pPr>
              <w:pStyle w:val="TableBodyText"/>
            </w:pPr>
            <w:r w:rsidRPr="004C522B">
              <w:t xml:space="preserve">Changes to the Regulations are required to: </w:t>
            </w:r>
          </w:p>
          <w:p w14:paraId="15C620FE" w14:textId="77777777" w:rsidR="00682302" w:rsidRPr="007D35DE" w:rsidRDefault="00682302" w:rsidP="007D35DE">
            <w:pPr>
              <w:pStyle w:val="Newtablebullet"/>
            </w:pPr>
            <w:r w:rsidRPr="007D35DE">
              <w:t>extend the liability caps to persons providing information for the GSOO;</w:t>
            </w:r>
            <w:r w:rsidR="006879AC" w:rsidRPr="007D35DE">
              <w:t xml:space="preserve"> and</w:t>
            </w:r>
          </w:p>
          <w:p w14:paraId="6CEC5DAD" w14:textId="77777777" w:rsidR="00682302" w:rsidRPr="007D35DE" w:rsidRDefault="00682302" w:rsidP="007D35DE">
            <w:pPr>
              <w:pStyle w:val="Newtablebullet"/>
            </w:pPr>
            <w:proofErr w:type="gramStart"/>
            <w:r w:rsidRPr="007D35DE">
              <w:t>update</w:t>
            </w:r>
            <w:proofErr w:type="gramEnd"/>
            <w:r w:rsidRPr="007D35DE">
              <w:t xml:space="preserve"> the list of civil penalty provisions. </w:t>
            </w:r>
          </w:p>
        </w:tc>
      </w:tr>
      <w:tr w:rsidR="00682302" w:rsidRPr="00091EAE" w14:paraId="12CBC66E" w14:textId="77777777" w:rsidTr="00295BFE">
        <w:trPr>
          <w:cantSplit/>
          <w:trHeight w:val="7191"/>
        </w:trPr>
        <w:tc>
          <w:tcPr>
            <w:tcW w:w="1000" w:type="pct"/>
            <w:tcBorders>
              <w:bottom w:val="single" w:sz="4" w:space="0" w:color="auto"/>
            </w:tcBorders>
            <w:hideMark/>
          </w:tcPr>
          <w:p w14:paraId="290C1D8F" w14:textId="77777777" w:rsidR="00682302" w:rsidRPr="007C1434" w:rsidRDefault="004874A1" w:rsidP="007C1434">
            <w:pPr>
              <w:pStyle w:val="TableBodyText"/>
              <w:rPr>
                <w:b/>
              </w:rPr>
            </w:pPr>
            <w:r w:rsidRPr="007C1434">
              <w:rPr>
                <w:b/>
              </w:rPr>
              <w:lastRenderedPageBreak/>
              <w:t>NGR</w:t>
            </w:r>
          </w:p>
        </w:tc>
        <w:tc>
          <w:tcPr>
            <w:tcW w:w="4000" w:type="pct"/>
            <w:tcBorders>
              <w:bottom w:val="single" w:sz="4" w:space="0" w:color="auto"/>
            </w:tcBorders>
            <w:hideMark/>
          </w:tcPr>
          <w:p w14:paraId="50D6ADCC" w14:textId="77777777" w:rsidR="00682302" w:rsidRPr="001F1965" w:rsidRDefault="00682302" w:rsidP="007C1434">
            <w:pPr>
              <w:pStyle w:val="TableBodyText"/>
            </w:pPr>
            <w:r w:rsidRPr="001F1965">
              <w:t xml:space="preserve">Changes to the </w:t>
            </w:r>
            <w:r w:rsidR="004874A1">
              <w:t xml:space="preserve">NGR </w:t>
            </w:r>
            <w:r w:rsidRPr="001F1965">
              <w:t>are required to:</w:t>
            </w:r>
          </w:p>
          <w:p w14:paraId="56D64373" w14:textId="77777777" w:rsidR="00682302" w:rsidRPr="007D35DE" w:rsidRDefault="00682302" w:rsidP="007D35DE">
            <w:pPr>
              <w:pStyle w:val="Newtablebullet"/>
            </w:pPr>
            <w:r w:rsidRPr="007D35DE">
              <w:t>bring LNG facilities, some compression service facilities and large user facilities within  the scope of Part 18 as ‘BB facilities’ and require the facility operators to register with AEMO under Part 18;</w:t>
            </w:r>
          </w:p>
          <w:p w14:paraId="74E67288" w14:textId="77777777" w:rsidR="00682302" w:rsidRPr="007D35DE" w:rsidRDefault="00682302" w:rsidP="007D35DE">
            <w:pPr>
              <w:pStyle w:val="Newtablebullet"/>
            </w:pPr>
            <w:r w:rsidRPr="007D35DE">
              <w:t xml:space="preserve">bring natural gas fields for which a petroleum tenement has been granted within the scope of Part 18 and require each person with a net revenue interest in the </w:t>
            </w:r>
            <w:r w:rsidR="00666122" w:rsidRPr="007D35DE">
              <w:t>gas field</w:t>
            </w:r>
            <w:r w:rsidRPr="007D35DE">
              <w:t xml:space="preserve"> to register with AEMO under Part 18;</w:t>
            </w:r>
          </w:p>
          <w:p w14:paraId="47C4D0DA" w14:textId="77777777" w:rsidR="00682302" w:rsidRPr="007D35DE" w:rsidRDefault="00682302" w:rsidP="007D35DE">
            <w:pPr>
              <w:pStyle w:val="Newtablebullet"/>
            </w:pPr>
            <w:r w:rsidRPr="007D35DE">
              <w:t>specify the information that must be provided to AEMO for the new categories of BB facility and for BB field interests and the reporting standards and classification systems for information relating to BB fields;</w:t>
            </w:r>
          </w:p>
          <w:p w14:paraId="648D285D" w14:textId="77777777" w:rsidR="006B7862" w:rsidRPr="007D35DE" w:rsidRDefault="006B7862" w:rsidP="007D35DE">
            <w:pPr>
              <w:pStyle w:val="Newtablebullet"/>
            </w:pPr>
            <w:r w:rsidRPr="007D35DE">
              <w:t>specify information to be given to the AER about price assumptions used for reserves and resources estimates and give the AER specific monitoring powers in relation to those estimates;</w:t>
            </w:r>
          </w:p>
          <w:p w14:paraId="16526A94" w14:textId="77777777" w:rsidR="00682302" w:rsidRPr="007D35DE" w:rsidRDefault="00682302" w:rsidP="007D35DE">
            <w:pPr>
              <w:pStyle w:val="Newtablebullet"/>
            </w:pPr>
            <w:r w:rsidRPr="007D35DE">
              <w:t xml:space="preserve">specify the information that must be provided to AEMO about LNG import and export </w:t>
            </w:r>
            <w:r w:rsidR="00210650" w:rsidRPr="007D35DE">
              <w:t>shipments</w:t>
            </w:r>
            <w:r w:rsidRPr="007D35DE">
              <w:t>;</w:t>
            </w:r>
          </w:p>
          <w:p w14:paraId="72CF6DBB" w14:textId="77777777" w:rsidR="00682302" w:rsidRPr="007D35DE" w:rsidRDefault="00682302" w:rsidP="007D35DE">
            <w:pPr>
              <w:pStyle w:val="Newtablebullet"/>
            </w:pPr>
            <w:r w:rsidRPr="007D35DE">
              <w:t xml:space="preserve">define short term gas </w:t>
            </w:r>
            <w:r w:rsidR="00210650" w:rsidRPr="007D35DE">
              <w:t>supply</w:t>
            </w:r>
            <w:r w:rsidRPr="007D35DE">
              <w:t xml:space="preserve"> transactions</w:t>
            </w:r>
            <w:r w:rsidR="00210650" w:rsidRPr="007D35DE">
              <w:t xml:space="preserve"> </w:t>
            </w:r>
            <w:r w:rsidR="00666122" w:rsidRPr="007D35DE">
              <w:t xml:space="preserve">(covering both gas supply and gas swaps), </w:t>
            </w:r>
            <w:r w:rsidR="00210650" w:rsidRPr="007D35DE">
              <w:t>and short term LNG exp</w:t>
            </w:r>
            <w:r w:rsidR="00666122" w:rsidRPr="007D35DE">
              <w:t>ort</w:t>
            </w:r>
            <w:r w:rsidR="00210650" w:rsidRPr="007D35DE">
              <w:t xml:space="preserve"> transactions</w:t>
            </w:r>
            <w:r w:rsidRPr="007D35DE">
              <w:t>, identify who must provide information to AEMO about the transactions and specify the information to be provided;</w:t>
            </w:r>
          </w:p>
          <w:p w14:paraId="1AB18118" w14:textId="77777777" w:rsidR="00682302" w:rsidRPr="007D35DE" w:rsidRDefault="00682302" w:rsidP="007D35DE">
            <w:pPr>
              <w:pStyle w:val="Newtablebullet"/>
            </w:pPr>
            <w:r w:rsidRPr="007D35DE">
              <w:t>identify who must provide information to AEMO about proposed new BB facilities</w:t>
            </w:r>
            <w:r w:rsidR="005F4C38" w:rsidRPr="007D35DE">
              <w:t xml:space="preserve"> and</w:t>
            </w:r>
            <w:r w:rsidRPr="007D35DE">
              <w:t xml:space="preserve"> the information that must be provided and provide for AEMO to publish guidance as part of the BB Procedures about how to assess the development stage of a project;</w:t>
            </w:r>
          </w:p>
          <w:p w14:paraId="26B22766" w14:textId="77777777" w:rsidR="00682302" w:rsidRPr="007D35DE" w:rsidRDefault="00682302" w:rsidP="007D35DE">
            <w:pPr>
              <w:pStyle w:val="Newtablebullet"/>
            </w:pPr>
            <w:r w:rsidRPr="007D35DE">
              <w:t xml:space="preserve">extend the forward timeframe for uncontracted capacity outlooks for BB </w:t>
            </w:r>
            <w:r w:rsidR="005F4C38" w:rsidRPr="007D35DE">
              <w:t xml:space="preserve">storage and processing </w:t>
            </w:r>
            <w:r w:rsidRPr="007D35DE">
              <w:t>facilities from 12 to 36 months;</w:t>
            </w:r>
            <w:r w:rsidR="00666122" w:rsidRPr="007D35DE">
              <w:t xml:space="preserve"> </w:t>
            </w:r>
          </w:p>
          <w:p w14:paraId="1B9E37F1" w14:textId="77777777" w:rsidR="00682302" w:rsidRPr="007D35DE" w:rsidRDefault="00682302" w:rsidP="007D35DE">
            <w:pPr>
              <w:pStyle w:val="Newtablebullet"/>
            </w:pPr>
            <w:r w:rsidRPr="007D35DE">
              <w:t xml:space="preserve">require storage providers to provide information about </w:t>
            </w:r>
            <w:r w:rsidR="005F4C38" w:rsidRPr="007D35DE">
              <w:t xml:space="preserve">bookings of </w:t>
            </w:r>
            <w:r w:rsidRPr="007D35DE">
              <w:t>primary storage capacity;</w:t>
            </w:r>
          </w:p>
          <w:p w14:paraId="1FD4E1C2" w14:textId="77777777" w:rsidR="00682302" w:rsidRPr="007D35DE" w:rsidRDefault="00682302" w:rsidP="007D35DE">
            <w:pPr>
              <w:pStyle w:val="Newtablebullet"/>
            </w:pPr>
            <w:r w:rsidRPr="007D35DE">
              <w:t xml:space="preserve">provide for AEMO to aggregate data </w:t>
            </w:r>
            <w:r w:rsidR="006B7862" w:rsidRPr="007D35DE">
              <w:t>about</w:t>
            </w:r>
            <w:r w:rsidRPr="007D35DE">
              <w:t xml:space="preserve"> short term gas transac</w:t>
            </w:r>
            <w:r w:rsidR="00666122" w:rsidRPr="007D35DE">
              <w:t>tions</w:t>
            </w:r>
            <w:r w:rsidR="00210650" w:rsidRPr="007D35DE">
              <w:t xml:space="preserve"> </w:t>
            </w:r>
            <w:r w:rsidR="006B7862" w:rsidRPr="007D35DE">
              <w:t xml:space="preserve">and the sensitivity of 2P reserves estimates to changes in gas prices </w:t>
            </w:r>
            <w:r w:rsidRPr="007D35DE">
              <w:t>prior to publication on the Bulletin Board and to delay publication of some of this information;</w:t>
            </w:r>
          </w:p>
          <w:p w14:paraId="44E594B6" w14:textId="77777777" w:rsidR="00682302" w:rsidRPr="007D35DE" w:rsidRDefault="00682302" w:rsidP="007D35DE">
            <w:pPr>
              <w:pStyle w:val="Newtablebullet"/>
            </w:pPr>
            <w:r w:rsidRPr="007D35DE">
              <w:t xml:space="preserve">include a new Part </w:t>
            </w:r>
            <w:r w:rsidR="000549E4" w:rsidRPr="007D35DE">
              <w:t xml:space="preserve">18A </w:t>
            </w:r>
            <w:r w:rsidRPr="007D35DE">
              <w:t>providing for compression service providers and storage providers to publish information about standi</w:t>
            </w:r>
            <w:r w:rsidR="00295BFE" w:rsidRPr="007D35DE">
              <w:t xml:space="preserve">ng </w:t>
            </w:r>
            <w:r w:rsidR="00A73EC3" w:rsidRPr="007D35DE">
              <w:t>terms</w:t>
            </w:r>
            <w:r w:rsidR="00295BFE" w:rsidRPr="007D35DE">
              <w:t xml:space="preserve"> and actual prices;</w:t>
            </w:r>
          </w:p>
          <w:p w14:paraId="3686DDAA" w14:textId="77777777" w:rsidR="00295BFE" w:rsidRPr="007D35DE" w:rsidRDefault="000549E4" w:rsidP="007D35DE">
            <w:pPr>
              <w:pStyle w:val="Newtablebullet"/>
            </w:pPr>
            <w:r w:rsidRPr="007D35DE">
              <w:t xml:space="preserve">amend </w:t>
            </w:r>
            <w:r w:rsidR="00295BFE" w:rsidRPr="007D35DE">
              <w:t xml:space="preserve">Part </w:t>
            </w:r>
            <w:r w:rsidRPr="007D35DE">
              <w:t xml:space="preserve">17 </w:t>
            </w:r>
            <w:r w:rsidR="00295BFE" w:rsidRPr="007D35DE">
              <w:t xml:space="preserve">to specify the </w:t>
            </w:r>
            <w:r w:rsidR="001E6202" w:rsidRPr="007D35DE">
              <w:t xml:space="preserve">information </w:t>
            </w:r>
            <w:r w:rsidR="00666122" w:rsidRPr="007D35DE">
              <w:t xml:space="preserve">relating to gas price estimates and </w:t>
            </w:r>
            <w:r w:rsidR="001E6202" w:rsidRPr="007D35DE">
              <w:t xml:space="preserve">prices </w:t>
            </w:r>
            <w:r w:rsidR="00666122" w:rsidRPr="007D35DE">
              <w:t>in</w:t>
            </w:r>
            <w:r w:rsidR="007E62BF">
              <w:t xml:space="preserve"> the natural gas industry</w:t>
            </w:r>
            <w:r w:rsidR="00666122" w:rsidRPr="007D35DE">
              <w:t xml:space="preserve"> </w:t>
            </w:r>
            <w:r w:rsidR="005F4C38" w:rsidRPr="007D35DE">
              <w:t>to be published by the AER;</w:t>
            </w:r>
          </w:p>
          <w:p w14:paraId="6EF28A89" w14:textId="77777777" w:rsidR="005F4C38" w:rsidRPr="007D35DE" w:rsidRDefault="005F4C38" w:rsidP="007D35DE">
            <w:pPr>
              <w:pStyle w:val="Newtablebullet"/>
            </w:pPr>
            <w:r w:rsidRPr="007D35DE">
              <w:t>amend Part 15D to specify in more detail the information to be included in the GSOO; and</w:t>
            </w:r>
          </w:p>
          <w:p w14:paraId="69B9AA6B" w14:textId="77777777" w:rsidR="00682302" w:rsidRPr="007D35DE" w:rsidRDefault="006B7862" w:rsidP="007C1434">
            <w:pPr>
              <w:pStyle w:val="Newtablebullet"/>
            </w:pPr>
            <w:r w:rsidRPr="007D35DE">
              <w:t xml:space="preserve">amend Part 15D </w:t>
            </w:r>
            <w:r w:rsidR="001E6202" w:rsidRPr="007D35DE">
              <w:t xml:space="preserve">to </w:t>
            </w:r>
            <w:r w:rsidR="00682302" w:rsidRPr="007D35DE">
              <w:t xml:space="preserve">require </w:t>
            </w:r>
            <w:r w:rsidR="00560069" w:rsidRPr="007D35DE">
              <w:t xml:space="preserve">people with relevant information </w:t>
            </w:r>
            <w:r w:rsidR="00682302" w:rsidRPr="007D35DE">
              <w:t>to give AEMO</w:t>
            </w:r>
            <w:r w:rsidR="00E61B8B">
              <w:t xml:space="preserve"> the i</w:t>
            </w:r>
            <w:r w:rsidR="00682302" w:rsidRPr="007D35DE">
              <w:t>nformation it needs for the GSOO</w:t>
            </w:r>
            <w:r w:rsidRPr="007D35DE">
              <w:t xml:space="preserve"> under the new GSOO Procedures and through the GSOO survey process</w:t>
            </w:r>
            <w:r w:rsidR="00427FB0">
              <w:t>,</w:t>
            </w:r>
            <w:r w:rsidR="004B7943" w:rsidRPr="007D35DE">
              <w:t xml:space="preserve"> and make consequential changes to Part 15B</w:t>
            </w:r>
            <w:r w:rsidR="00682302" w:rsidRPr="007D35DE">
              <w:t xml:space="preserve">. </w:t>
            </w:r>
          </w:p>
        </w:tc>
      </w:tr>
    </w:tbl>
    <w:p w14:paraId="2E883198" w14:textId="01CA7B52" w:rsidR="00A120B8" w:rsidRPr="00E24BDD" w:rsidRDefault="00BD48CF" w:rsidP="00E8611F">
      <w:pPr>
        <w:pStyle w:val="Heading2"/>
      </w:pPr>
      <w:bookmarkStart w:id="55" w:name="_Toc45015265"/>
      <w:bookmarkStart w:id="56" w:name="_Hlk487650137"/>
      <w:r>
        <w:t xml:space="preserve">Incidental </w:t>
      </w:r>
      <w:r w:rsidR="00A120B8">
        <w:t>changes</w:t>
      </w:r>
      <w:r w:rsidR="00781A2D">
        <w:t xml:space="preserve"> to </w:t>
      </w:r>
      <w:r w:rsidR="00D50B18">
        <w:t>the Rules</w:t>
      </w:r>
      <w:bookmarkEnd w:id="55"/>
    </w:p>
    <w:p w14:paraId="39E36092" w14:textId="4FE9999B" w:rsidR="00A120B8" w:rsidRDefault="00E61B8B" w:rsidP="00A120B8">
      <w:pPr>
        <w:pStyle w:val="BodyText"/>
      </w:pPr>
      <w:r>
        <w:t xml:space="preserve">A number of </w:t>
      </w:r>
      <w:r w:rsidR="00A120B8">
        <w:t xml:space="preserve">incidental changes to </w:t>
      </w:r>
      <w:r w:rsidR="00D50B18">
        <w:t xml:space="preserve">the Rules </w:t>
      </w:r>
      <w:r w:rsidR="00A120B8">
        <w:t>are</w:t>
      </w:r>
      <w:r w:rsidR="00781A2D">
        <w:t xml:space="preserve"> also</w:t>
      </w:r>
      <w:r w:rsidR="00A120B8">
        <w:t xml:space="preserve"> proposed</w:t>
      </w:r>
      <w:r w:rsidR="00051834">
        <w:t>, including the following</w:t>
      </w:r>
      <w:r w:rsidR="00560069">
        <w:t>. Part</w:t>
      </w:r>
      <w:r w:rsidR="008707CD">
        <w:t> </w:t>
      </w:r>
      <w:r w:rsidR="00560069">
        <w:fldChar w:fldCharType="begin"/>
      </w:r>
      <w:r w:rsidR="00560069">
        <w:instrText xml:space="preserve"> REF _Ref41655331 \r \h </w:instrText>
      </w:r>
      <w:r w:rsidR="00560069">
        <w:fldChar w:fldCharType="separate"/>
      </w:r>
      <w:r w:rsidR="00844010">
        <w:t>11</w:t>
      </w:r>
      <w:r w:rsidR="00560069">
        <w:fldChar w:fldCharType="end"/>
      </w:r>
      <w:r w:rsidR="00560069">
        <w:t xml:space="preserve"> provides more information about the proposed incidental amendments.</w:t>
      </w:r>
    </w:p>
    <w:p w14:paraId="62FC9E66" w14:textId="6E3465F0" w:rsidR="00051834" w:rsidRDefault="00666122" w:rsidP="00A6147C">
      <w:pPr>
        <w:pStyle w:val="ListBullet"/>
      </w:pPr>
      <w:r>
        <w:t xml:space="preserve">The registration provisions in Subdivision 3.1 </w:t>
      </w:r>
      <w:r w:rsidR="00D50B18">
        <w:t xml:space="preserve">of Part 18 </w:t>
      </w:r>
      <w:r w:rsidR="005F4C38">
        <w:t>would</w:t>
      </w:r>
      <w:r>
        <w:t xml:space="preserve"> be restructured and simplified </w:t>
      </w:r>
      <w:r w:rsidR="005F4C38">
        <w:t xml:space="preserve">to clarify registration obligations and </w:t>
      </w:r>
      <w:r>
        <w:t xml:space="preserve">to </w:t>
      </w:r>
      <w:r w:rsidR="005F4C38">
        <w:t>remove unnecessary duplication</w:t>
      </w:r>
      <w:r w:rsidR="00051834">
        <w:t xml:space="preserve"> and the content of the BB register would be amended to reflect the new registration arrangements</w:t>
      </w:r>
      <w:r w:rsidR="005F4C38">
        <w:t>.</w:t>
      </w:r>
    </w:p>
    <w:p w14:paraId="10559556" w14:textId="77777777" w:rsidR="00A120B8" w:rsidRDefault="005F4C38" w:rsidP="004874A1">
      <w:pPr>
        <w:pStyle w:val="ListBullet"/>
      </w:pPr>
      <w:r>
        <w:t>Provisions that are no longer required due to gas day harmonisation would be removed</w:t>
      </w:r>
      <w:r w:rsidR="00A120B8">
        <w:t>.</w:t>
      </w:r>
    </w:p>
    <w:p w14:paraId="3E4EB565" w14:textId="77777777" w:rsidR="00063EAD" w:rsidRDefault="00063EAD" w:rsidP="004874A1">
      <w:pPr>
        <w:pStyle w:val="ListBullet"/>
      </w:pPr>
      <w:r>
        <w:t>Provisions that are no longer required due to the NT application date having occurred would be removed.</w:t>
      </w:r>
    </w:p>
    <w:p w14:paraId="6C91C386" w14:textId="77777777" w:rsidR="00A120B8" w:rsidRPr="005F4C38" w:rsidRDefault="005F4C38" w:rsidP="004874A1">
      <w:pPr>
        <w:pStyle w:val="ListBullet"/>
      </w:pPr>
      <w:r w:rsidRPr="005F4C38">
        <w:t>T</w:t>
      </w:r>
      <w:r w:rsidR="00A120B8" w:rsidRPr="005F4C38">
        <w:t xml:space="preserve">he treatment of cushion gas in a storage facility </w:t>
      </w:r>
      <w:r w:rsidRPr="005F4C38">
        <w:t>would be clarified</w:t>
      </w:r>
      <w:r w:rsidR="00A120B8" w:rsidRPr="005F4C38">
        <w:t>.</w:t>
      </w:r>
    </w:p>
    <w:p w14:paraId="2F06D1BC" w14:textId="77777777" w:rsidR="00A120B8" w:rsidRDefault="00A120B8" w:rsidP="004874A1">
      <w:pPr>
        <w:pStyle w:val="ListBullet"/>
      </w:pPr>
      <w:r>
        <w:lastRenderedPageBreak/>
        <w:t>Chang</w:t>
      </w:r>
      <w:r w:rsidR="00BD48CF">
        <w:t xml:space="preserve">es </w:t>
      </w:r>
      <w:r w:rsidR="005F4C38">
        <w:t xml:space="preserve">would be made </w:t>
      </w:r>
      <w:r w:rsidR="00BD48CF">
        <w:t xml:space="preserve">to use ‘D’, </w:t>
      </w:r>
      <w:r w:rsidR="00297C08">
        <w:t>‘</w:t>
      </w:r>
      <w:r w:rsidR="00BD48CF">
        <w:t>D+1</w:t>
      </w:r>
      <w:r w:rsidR="00297C08">
        <w:t>’</w:t>
      </w:r>
      <w:r w:rsidR="00BD48CF">
        <w:t xml:space="preserve"> </w:t>
      </w:r>
      <w:r w:rsidR="000915D0">
        <w:t>etc.</w:t>
      </w:r>
      <w:r w:rsidR="00BD48CF">
        <w:t xml:space="preserve"> consistently in Part 18</w:t>
      </w:r>
      <w:r w:rsidR="00297C08">
        <w:t xml:space="preserve">. </w:t>
      </w:r>
    </w:p>
    <w:p w14:paraId="33A8DC0F" w14:textId="77777777" w:rsidR="00756A01" w:rsidRDefault="003C5E7B" w:rsidP="001F0D57">
      <w:pPr>
        <w:pStyle w:val="ListBullet"/>
      </w:pPr>
      <w:r>
        <w:t>T</w:t>
      </w:r>
      <w:r w:rsidR="00781A2D">
        <w:t>he ‘</w:t>
      </w:r>
      <w:r w:rsidR="00A120B8">
        <w:t>purpose</w:t>
      </w:r>
      <w:r w:rsidR="00781A2D">
        <w:t>’</w:t>
      </w:r>
      <w:r w:rsidR="00A120B8">
        <w:t xml:space="preserve"> statement in rule 145 </w:t>
      </w:r>
      <w:r>
        <w:t xml:space="preserve">would be </w:t>
      </w:r>
      <w:r w:rsidR="00051834">
        <w:t>updated.</w:t>
      </w:r>
    </w:p>
    <w:p w14:paraId="700EFF37" w14:textId="6B3792BC" w:rsidR="00051834" w:rsidRDefault="00051834" w:rsidP="001F0D57">
      <w:pPr>
        <w:pStyle w:val="ListBullet"/>
      </w:pPr>
      <w:r>
        <w:t>Provision would be made for reporting in PJ</w:t>
      </w:r>
      <w:r w:rsidR="00D50B18">
        <w:t xml:space="preserve"> under Part 18</w:t>
      </w:r>
      <w:r>
        <w:t>.</w:t>
      </w:r>
    </w:p>
    <w:p w14:paraId="0A61E409" w14:textId="77777777" w:rsidR="009B1183" w:rsidRDefault="009B1183" w:rsidP="001F0D57">
      <w:pPr>
        <w:pStyle w:val="ListBullet"/>
      </w:pPr>
      <w:r>
        <w:t>The scope of ‘detailed facility information’ provided for BB pipelines would be extended to reflect the extended scope of the BB.</w:t>
      </w:r>
    </w:p>
    <w:p w14:paraId="6875D4E8" w14:textId="77777777" w:rsidR="00051834" w:rsidRDefault="00051834" w:rsidP="001F0D57">
      <w:pPr>
        <w:pStyle w:val="ListBullet"/>
      </w:pPr>
      <w:r>
        <w:t>Provision would be made to use forecasts where nominations are not provided and to allow for facilities without operational</w:t>
      </w:r>
      <w:r w:rsidR="009B1183">
        <w:t xml:space="preserve"> </w:t>
      </w:r>
      <w:r>
        <w:t>me</w:t>
      </w:r>
      <w:r w:rsidR="009B1183">
        <w:t>t</w:t>
      </w:r>
      <w:r>
        <w:t>ering</w:t>
      </w:r>
      <w:r w:rsidR="00427FB0">
        <w:t>.</w:t>
      </w:r>
    </w:p>
    <w:p w14:paraId="0B75A57F" w14:textId="77777777" w:rsidR="00A120B8" w:rsidRDefault="00A120B8" w:rsidP="00682302"/>
    <w:p w14:paraId="3B5AAB1D" w14:textId="77777777" w:rsidR="00DF2398" w:rsidRDefault="00DF2398" w:rsidP="00682302">
      <w:pPr>
        <w:sectPr w:rsidR="00DF2398" w:rsidSect="003F06EA">
          <w:pgSz w:w="11907" w:h="16839" w:code="9"/>
          <w:pgMar w:top="1361" w:right="1417" w:bottom="709" w:left="1701" w:header="567" w:footer="275" w:gutter="0"/>
          <w:cols w:space="708"/>
          <w:docGrid w:linePitch="360"/>
        </w:sectPr>
      </w:pPr>
    </w:p>
    <w:p w14:paraId="2063574C" w14:textId="77777777" w:rsidR="00BE066A" w:rsidRPr="00E51706" w:rsidRDefault="00BE066A" w:rsidP="00E51706">
      <w:pPr>
        <w:pStyle w:val="Heading1"/>
      </w:pPr>
      <w:bookmarkStart w:id="57" w:name="_Ref36545129"/>
      <w:bookmarkStart w:id="58" w:name="_Ref41655398"/>
      <w:bookmarkStart w:id="59" w:name="_Toc45015266"/>
      <w:bookmarkEnd w:id="56"/>
      <w:r w:rsidRPr="00E51706">
        <w:lastRenderedPageBreak/>
        <w:t>Changes to the National Gas Law</w:t>
      </w:r>
      <w:r w:rsidR="00F9708F" w:rsidRPr="00E51706">
        <w:t xml:space="preserve"> and Regulations</w:t>
      </w:r>
      <w:bookmarkEnd w:id="57"/>
      <w:bookmarkEnd w:id="58"/>
      <w:bookmarkEnd w:id="59"/>
    </w:p>
    <w:p w14:paraId="1E18B755" w14:textId="77777777" w:rsidR="00F048FA" w:rsidRPr="003109A7" w:rsidRDefault="00F9708F" w:rsidP="003109A7">
      <w:pPr>
        <w:pStyle w:val="Heading2"/>
      </w:pPr>
      <w:bookmarkStart w:id="60" w:name="_Toc45015267"/>
      <w:r w:rsidRPr="003109A7">
        <w:t>Introduction</w:t>
      </w:r>
      <w:bookmarkEnd w:id="60"/>
    </w:p>
    <w:p w14:paraId="353DFE9D" w14:textId="77777777" w:rsidR="00C21B69" w:rsidRDefault="00F9708F" w:rsidP="00F9708F">
      <w:pPr>
        <w:pStyle w:val="BodyText"/>
      </w:pPr>
      <w:r>
        <w:t xml:space="preserve">This section describes the changes to the </w:t>
      </w:r>
      <w:r w:rsidR="001E6202">
        <w:t>Law</w:t>
      </w:r>
      <w:r w:rsidR="00B35DFE">
        <w:t xml:space="preserve"> that would be required to implement </w:t>
      </w:r>
      <w:r w:rsidR="00440252">
        <w:t>the endorsed option</w:t>
      </w:r>
      <w:r w:rsidR="00560069">
        <w:t xml:space="preserve"> </w:t>
      </w:r>
      <w:r w:rsidR="00C21B69">
        <w:t>and to clarify that certain legal privileges are preserved in relation to the BB and the GSOO.</w:t>
      </w:r>
    </w:p>
    <w:p w14:paraId="265D927F" w14:textId="77777777" w:rsidR="00C21B69" w:rsidRDefault="00F9708F" w:rsidP="00F9708F">
      <w:pPr>
        <w:pStyle w:val="BodyText"/>
      </w:pPr>
      <w:r>
        <w:t xml:space="preserve">An exposure draft Bill </w:t>
      </w:r>
      <w:r w:rsidR="002D02EA">
        <w:t xml:space="preserve">and exposure draft Regulations </w:t>
      </w:r>
      <w:r>
        <w:t xml:space="preserve">giving effect to these changes </w:t>
      </w:r>
      <w:r w:rsidR="002D02EA">
        <w:t>are</w:t>
      </w:r>
      <w:r>
        <w:t xml:space="preserve"> </w:t>
      </w:r>
      <w:r w:rsidR="00BA417C">
        <w:t xml:space="preserve">contained </w:t>
      </w:r>
      <w:r>
        <w:t xml:space="preserve">in </w:t>
      </w:r>
      <w:r w:rsidR="00BA417C">
        <w:t xml:space="preserve">Attachments </w:t>
      </w:r>
      <w:r w:rsidR="003C7D52">
        <w:t>A1 and A2</w:t>
      </w:r>
      <w:r>
        <w:t>.</w:t>
      </w:r>
    </w:p>
    <w:p w14:paraId="6EC9D439" w14:textId="77777777" w:rsidR="00F9708F" w:rsidRPr="003109A7" w:rsidRDefault="00C21B69" w:rsidP="003109A7">
      <w:pPr>
        <w:pStyle w:val="Heading2"/>
      </w:pPr>
      <w:bookmarkStart w:id="61" w:name="_Toc45015268"/>
      <w:r w:rsidRPr="003109A7">
        <w:t xml:space="preserve">Expanding the </w:t>
      </w:r>
      <w:r w:rsidR="00F9708F" w:rsidRPr="003109A7">
        <w:t>scope of the BB</w:t>
      </w:r>
      <w:bookmarkEnd w:id="61"/>
    </w:p>
    <w:p w14:paraId="4FDF707D" w14:textId="77777777" w:rsidR="00970E8D" w:rsidRDefault="00B35DFE" w:rsidP="00F9708F">
      <w:bookmarkStart w:id="62" w:name="_Ref6910510"/>
      <w:r>
        <w:t xml:space="preserve">To implement </w:t>
      </w:r>
      <w:r w:rsidR="00440252">
        <w:t>the endorsed option</w:t>
      </w:r>
      <w:r>
        <w:t xml:space="preserve">, the </w:t>
      </w:r>
      <w:r w:rsidR="001E6202">
        <w:t>Law</w:t>
      </w:r>
      <w:r w:rsidR="00F9708F">
        <w:t xml:space="preserve"> </w:t>
      </w:r>
      <w:r w:rsidR="008233EB">
        <w:t xml:space="preserve">will </w:t>
      </w:r>
      <w:r w:rsidR="00F9708F">
        <w:t xml:space="preserve">be amended to allow </w:t>
      </w:r>
      <w:r w:rsidR="00970E8D">
        <w:t xml:space="preserve">Rules made for </w:t>
      </w:r>
      <w:r w:rsidR="00F9708F">
        <w:t xml:space="preserve">the BB to </w:t>
      </w:r>
      <w:r w:rsidR="00970E8D">
        <w:t xml:space="preserve">require any person with </w:t>
      </w:r>
      <w:r w:rsidR="00F9708F">
        <w:t xml:space="preserve">information </w:t>
      </w:r>
      <w:r w:rsidR="00970E8D">
        <w:t xml:space="preserve">in relation to the natural gas industry to provide it to AEMO for the BB. In the draft Bill in </w:t>
      </w:r>
      <w:r w:rsidR="003C7D52">
        <w:t>Attachment A1</w:t>
      </w:r>
      <w:r w:rsidR="00970E8D">
        <w:t xml:space="preserve">, this is implemented through the replacement of </w:t>
      </w:r>
      <w:r w:rsidR="004E7B0C">
        <w:t xml:space="preserve">current </w:t>
      </w:r>
      <w:r w:rsidR="00970E8D">
        <w:t xml:space="preserve">sections 223 and 223A and new or amended definitions including </w:t>
      </w:r>
      <w:r w:rsidR="00B015B9">
        <w:t>“natural gas industry”</w:t>
      </w:r>
      <w:r w:rsidR="00970E8D">
        <w:t xml:space="preserve">, </w:t>
      </w:r>
      <w:r w:rsidR="00B015B9">
        <w:t>“</w:t>
      </w:r>
      <w:r w:rsidR="00970E8D">
        <w:t>natural gas industry facility</w:t>
      </w:r>
      <w:r w:rsidR="00B015B9">
        <w:t>” and “</w:t>
      </w:r>
      <w:r w:rsidR="00970E8D">
        <w:t>user facility</w:t>
      </w:r>
      <w:r w:rsidR="00B015B9">
        <w:t>”</w:t>
      </w:r>
      <w:r w:rsidR="00970E8D">
        <w:t>.</w:t>
      </w:r>
      <w:r w:rsidR="00970E8D">
        <w:rPr>
          <w:rStyle w:val="FootnoteReference"/>
        </w:rPr>
        <w:footnoteReference w:id="17"/>
      </w:r>
    </w:p>
    <w:p w14:paraId="49EB46E6" w14:textId="77777777" w:rsidR="00F9708F" w:rsidRDefault="00970E8D" w:rsidP="008707CD">
      <w:r>
        <w:t xml:space="preserve">The new term </w:t>
      </w:r>
      <w:r w:rsidR="00B015B9">
        <w:t>“</w:t>
      </w:r>
      <w:r>
        <w:t>natural gas industry</w:t>
      </w:r>
      <w:r w:rsidR="00B015B9">
        <w:t>”</w:t>
      </w:r>
      <w:r>
        <w:t xml:space="preserve"> would be defined broadly to include</w:t>
      </w:r>
      <w:r w:rsidR="00F9708F">
        <w:t xml:space="preserve"> activities and transactions relating to:</w:t>
      </w:r>
      <w:bookmarkEnd w:id="62"/>
    </w:p>
    <w:p w14:paraId="620BB713" w14:textId="77777777" w:rsidR="00F9708F" w:rsidRDefault="00F9708F" w:rsidP="008707CD">
      <w:pPr>
        <w:pStyle w:val="ListBullet"/>
      </w:pPr>
      <w:proofErr w:type="spellStart"/>
      <w:r>
        <w:t>processable</w:t>
      </w:r>
      <w:proofErr w:type="spellEnd"/>
      <w:r>
        <w:t xml:space="preserve"> gas;</w:t>
      </w:r>
    </w:p>
    <w:p w14:paraId="767B45B7" w14:textId="77777777" w:rsidR="00F9708F" w:rsidRDefault="00F9708F" w:rsidP="008707CD">
      <w:pPr>
        <w:pStyle w:val="ListBullet"/>
      </w:pPr>
      <w:r>
        <w:t>natural gas (including liquefied natural ga</w:t>
      </w:r>
      <w:r w:rsidR="006B7862">
        <w:t>s) and natural gas services;</w:t>
      </w:r>
    </w:p>
    <w:p w14:paraId="722E7A4F" w14:textId="77777777" w:rsidR="004E7B0C" w:rsidRDefault="00253D82" w:rsidP="008707CD">
      <w:pPr>
        <w:pStyle w:val="ListBullet"/>
      </w:pPr>
      <w:r>
        <w:t>natural gas industry facilities</w:t>
      </w:r>
      <w:r w:rsidR="00FD4883">
        <w:t>;</w:t>
      </w:r>
    </w:p>
    <w:p w14:paraId="7C171A36" w14:textId="77777777" w:rsidR="008707CD" w:rsidRDefault="008707CD" w:rsidP="008707CD">
      <w:pPr>
        <w:pStyle w:val="ListBullet"/>
      </w:pPr>
      <w:r>
        <w:t xml:space="preserve">services provided by means of natural gas </w:t>
      </w:r>
      <w:r w:rsidR="0004140E">
        <w:t xml:space="preserve">industry </w:t>
      </w:r>
      <w:r>
        <w:t>facilities; and</w:t>
      </w:r>
    </w:p>
    <w:p w14:paraId="1D559104" w14:textId="77777777" w:rsidR="008707CD" w:rsidRDefault="008707CD" w:rsidP="008707CD">
      <w:pPr>
        <w:pStyle w:val="ListBullet"/>
      </w:pPr>
      <w:proofErr w:type="gramStart"/>
      <w:r>
        <w:t>petroleum</w:t>
      </w:r>
      <w:proofErr w:type="gramEnd"/>
      <w:r>
        <w:t xml:space="preserve"> tenements.</w:t>
      </w:r>
    </w:p>
    <w:p w14:paraId="76A9029E" w14:textId="77777777" w:rsidR="004E7B0C" w:rsidRDefault="004E7B0C" w:rsidP="004E7B0C">
      <w:r>
        <w:t xml:space="preserve">The new term “natural gas industry facility” </w:t>
      </w:r>
      <w:r w:rsidR="00C77866">
        <w:t>would</w:t>
      </w:r>
      <w:r>
        <w:t xml:space="preserve"> cover:</w:t>
      </w:r>
      <w:r w:rsidR="00A37D15">
        <w:rPr>
          <w:rStyle w:val="FootnoteReference"/>
        </w:rPr>
        <w:footnoteReference w:id="18"/>
      </w:r>
    </w:p>
    <w:p w14:paraId="4CD66221" w14:textId="77777777" w:rsidR="00F9708F" w:rsidRDefault="00F9708F" w:rsidP="00F9708F">
      <w:pPr>
        <w:pStyle w:val="ListBullet"/>
      </w:pPr>
      <w:r>
        <w:t xml:space="preserve">facilities used by, or providing services to, the natural gas industry - pipelines, compression service facilities, </w:t>
      </w:r>
      <w:r w:rsidR="00F63DB5">
        <w:t xml:space="preserve">gas processing plants, </w:t>
      </w:r>
      <w:r>
        <w:t>storage facilities and LNG import facilities; and</w:t>
      </w:r>
    </w:p>
    <w:p w14:paraId="577F7A35" w14:textId="77777777" w:rsidR="00F9708F" w:rsidRDefault="00F9708F" w:rsidP="00F9708F">
      <w:pPr>
        <w:pStyle w:val="ListBullet"/>
      </w:pPr>
      <w:r>
        <w:t xml:space="preserve">facilities that consume large quantities of gas, </w:t>
      </w:r>
      <w:r w:rsidR="00367533">
        <w:t xml:space="preserve">including </w:t>
      </w:r>
      <w:r>
        <w:t>LNG export facilities and other facilities such as gas fired power stations</w:t>
      </w:r>
      <w:r w:rsidR="00367533">
        <w:t xml:space="preserve"> and commercial </w:t>
      </w:r>
      <w:r>
        <w:t>and industrial users.</w:t>
      </w:r>
    </w:p>
    <w:p w14:paraId="50802483" w14:textId="59472328" w:rsidR="00CB528D" w:rsidRDefault="00560069" w:rsidP="00FD4883">
      <w:pPr>
        <w:pStyle w:val="BodyText"/>
      </w:pPr>
      <w:r w:rsidRPr="008707CD">
        <w:t xml:space="preserve">The </w:t>
      </w:r>
      <w:r w:rsidR="00214B04" w:rsidRPr="008707CD">
        <w:t xml:space="preserve">term </w:t>
      </w:r>
      <w:r w:rsidR="00512DCC" w:rsidRPr="001F3673">
        <w:t>“</w:t>
      </w:r>
      <w:r w:rsidRPr="001F3673">
        <w:t xml:space="preserve">petroleum </w:t>
      </w:r>
      <w:r w:rsidR="001F3C4A" w:rsidRPr="001F3673">
        <w:t>tenement</w:t>
      </w:r>
      <w:r w:rsidR="001F3C4A" w:rsidRPr="008707CD">
        <w:t xml:space="preserve">” </w:t>
      </w:r>
      <w:r w:rsidRPr="008707CD">
        <w:t>would be defined to mean a right granted under law to explore for, extract, recover or process petroleum.</w:t>
      </w:r>
      <w:r w:rsidRPr="008707CD">
        <w:rPr>
          <w:rStyle w:val="FootnoteReference"/>
        </w:rPr>
        <w:footnoteReference w:id="19"/>
      </w:r>
      <w:r w:rsidR="00214B04" w:rsidRPr="008707CD">
        <w:t xml:space="preserve">  </w:t>
      </w:r>
    </w:p>
    <w:p w14:paraId="5F058696" w14:textId="77777777" w:rsidR="00F9708F" w:rsidRDefault="00F14EF3" w:rsidP="00F9708F">
      <w:r>
        <w:t xml:space="preserve">It is intended that </w:t>
      </w:r>
      <w:r w:rsidR="00560069">
        <w:t xml:space="preserve">matters </w:t>
      </w:r>
      <w:r w:rsidR="00F9708F">
        <w:t xml:space="preserve">covered by </w:t>
      </w:r>
      <w:r w:rsidR="00970E8D">
        <w:t xml:space="preserve">Rules made for the </w:t>
      </w:r>
      <w:r w:rsidR="00F9708F">
        <w:t xml:space="preserve">BB </w:t>
      </w:r>
      <w:r w:rsidR="00C77866">
        <w:t>may include</w:t>
      </w:r>
      <w:r w:rsidR="00F9708F">
        <w:t>:</w:t>
      </w:r>
    </w:p>
    <w:p w14:paraId="72090FE4" w14:textId="77777777" w:rsidR="00F9708F" w:rsidRDefault="004E7B0C" w:rsidP="00F9708F">
      <w:pPr>
        <w:pStyle w:val="ListBullet"/>
      </w:pPr>
      <w:r>
        <w:t xml:space="preserve">gas </w:t>
      </w:r>
      <w:r w:rsidR="00F9708F">
        <w:t>exploration, recovery and processing</w:t>
      </w:r>
      <w:r w:rsidR="00560069">
        <w:t xml:space="preserve"> and gas reserves and resources estimates</w:t>
      </w:r>
      <w:r w:rsidR="00F9708F">
        <w:t>;</w:t>
      </w:r>
    </w:p>
    <w:p w14:paraId="60B39124" w14:textId="77777777" w:rsidR="00F9708F" w:rsidRDefault="001734A5" w:rsidP="00F9708F">
      <w:pPr>
        <w:pStyle w:val="ListBullet"/>
      </w:pPr>
      <w:r>
        <w:lastRenderedPageBreak/>
        <w:t xml:space="preserve">the </w:t>
      </w:r>
      <w:r w:rsidR="00F9708F">
        <w:t xml:space="preserve">grant, disposal </w:t>
      </w:r>
      <w:r>
        <w:t xml:space="preserve">or </w:t>
      </w:r>
      <w:r w:rsidR="00F9708F">
        <w:t xml:space="preserve">use of transportation capacity </w:t>
      </w:r>
      <w:r>
        <w:t xml:space="preserve">or </w:t>
      </w:r>
      <w:r w:rsidR="00F9708F">
        <w:t>transportation services (including primary capacity transactions and secondary capacity transactions);</w:t>
      </w:r>
    </w:p>
    <w:p w14:paraId="63D400E5" w14:textId="77777777" w:rsidR="00F9708F" w:rsidRDefault="001734A5" w:rsidP="00F9708F">
      <w:pPr>
        <w:pStyle w:val="ListBullet"/>
      </w:pPr>
      <w:r>
        <w:t xml:space="preserve">the </w:t>
      </w:r>
      <w:r w:rsidR="00F9708F">
        <w:t xml:space="preserve">transportation, allocation, delivery, supply, use, consumption, import </w:t>
      </w:r>
      <w:r>
        <w:t xml:space="preserve">or </w:t>
      </w:r>
      <w:r w:rsidR="00F9708F">
        <w:t xml:space="preserve">export of natural gas </w:t>
      </w:r>
      <w:r w:rsidR="004E7B0C">
        <w:t>(including</w:t>
      </w:r>
      <w:r w:rsidR="00F9708F">
        <w:t xml:space="preserve"> liquefied natural gas</w:t>
      </w:r>
      <w:r w:rsidR="004E7B0C">
        <w:t>)</w:t>
      </w:r>
      <w:r>
        <w:t>,</w:t>
      </w:r>
      <w:r w:rsidR="00F9708F">
        <w:t xml:space="preserve"> including </w:t>
      </w:r>
      <w:r>
        <w:t xml:space="preserve">any </w:t>
      </w:r>
      <w:r w:rsidR="00F9708F">
        <w:t>gas supply transaction</w:t>
      </w:r>
      <w:r w:rsidR="00EC045E">
        <w:t>s</w:t>
      </w:r>
      <w:r w:rsidR="00F9708F">
        <w:t>;</w:t>
      </w:r>
      <w:r w:rsidR="00FD4883">
        <w:t xml:space="preserve"> and</w:t>
      </w:r>
    </w:p>
    <w:p w14:paraId="573343D5" w14:textId="77777777" w:rsidR="00F9708F" w:rsidRDefault="001734A5" w:rsidP="00F9708F">
      <w:pPr>
        <w:pStyle w:val="ListBullet"/>
      </w:pPr>
      <w:proofErr w:type="gramStart"/>
      <w:r>
        <w:t>the</w:t>
      </w:r>
      <w:proofErr w:type="gramEnd"/>
      <w:r>
        <w:t xml:space="preserve"> </w:t>
      </w:r>
      <w:r w:rsidR="00F9708F">
        <w:t xml:space="preserve">development, construction, commissioning, </w:t>
      </w:r>
      <w:r>
        <w:t>use or</w:t>
      </w:r>
      <w:r w:rsidR="00F9708F">
        <w:t xml:space="preserve"> operation of </w:t>
      </w:r>
      <w:r>
        <w:t xml:space="preserve">natural gas industry </w:t>
      </w:r>
      <w:r w:rsidR="00F9708F">
        <w:t>facilities</w:t>
      </w:r>
      <w:r>
        <w:t>.</w:t>
      </w:r>
    </w:p>
    <w:p w14:paraId="64BE18C5" w14:textId="77777777" w:rsidR="00F9708F" w:rsidRDefault="00F14EF3" w:rsidP="00F9708F">
      <w:r>
        <w:t xml:space="preserve">It is intended that </w:t>
      </w:r>
      <w:r w:rsidR="00B015B9">
        <w:t xml:space="preserve">persons who may be required to provide information for the BB </w:t>
      </w:r>
      <w:r w:rsidR="00FD4883">
        <w:t xml:space="preserve">may </w:t>
      </w:r>
      <w:r w:rsidR="00B015B9">
        <w:t>include:</w:t>
      </w:r>
    </w:p>
    <w:p w14:paraId="6BC927F6" w14:textId="77777777" w:rsidR="00F9708F" w:rsidRDefault="00F9708F" w:rsidP="00F9708F">
      <w:pPr>
        <w:pStyle w:val="ListBullet"/>
      </w:pPr>
      <w:r>
        <w:t>a transportation service provider;</w:t>
      </w:r>
    </w:p>
    <w:p w14:paraId="1F0F05E0" w14:textId="77777777" w:rsidR="00F9708F" w:rsidRDefault="00F9708F" w:rsidP="00F9708F">
      <w:pPr>
        <w:pStyle w:val="ListBullet"/>
      </w:pPr>
      <w:r>
        <w:t>a transportation facility user;</w:t>
      </w:r>
    </w:p>
    <w:p w14:paraId="1E611F72" w14:textId="77777777" w:rsidR="00F9708F" w:rsidRDefault="00F9708F" w:rsidP="00F9708F">
      <w:pPr>
        <w:pStyle w:val="ListBullet"/>
      </w:pPr>
      <w:r>
        <w:t>a person who determines the allocation of deliveries or receipts of natural gas;</w:t>
      </w:r>
    </w:p>
    <w:p w14:paraId="0F000D51" w14:textId="77777777" w:rsidR="00F9708F" w:rsidRDefault="00F9708F" w:rsidP="00F9708F">
      <w:pPr>
        <w:pStyle w:val="ListBullet"/>
      </w:pPr>
      <w:r>
        <w:t>a producer;</w:t>
      </w:r>
    </w:p>
    <w:p w14:paraId="100B990C" w14:textId="77777777" w:rsidR="00F9708F" w:rsidRDefault="00F9708F" w:rsidP="00F9708F">
      <w:pPr>
        <w:pStyle w:val="ListBullet"/>
      </w:pPr>
      <w:r>
        <w:t>a storage provider;</w:t>
      </w:r>
    </w:p>
    <w:p w14:paraId="27FB12D0" w14:textId="77777777" w:rsidR="00F9708F" w:rsidRDefault="00F9708F" w:rsidP="00F9708F">
      <w:pPr>
        <w:pStyle w:val="ListBullet"/>
      </w:pPr>
      <w:r>
        <w:t xml:space="preserve">a </w:t>
      </w:r>
      <w:r w:rsidR="00970E8D">
        <w:t>trader</w:t>
      </w:r>
      <w:r>
        <w:t>;</w:t>
      </w:r>
    </w:p>
    <w:p w14:paraId="660D8AE7" w14:textId="77777777" w:rsidR="00F9708F" w:rsidRDefault="00F9708F" w:rsidP="00F9708F">
      <w:pPr>
        <w:pStyle w:val="ListBullet"/>
      </w:pPr>
      <w:r>
        <w:t xml:space="preserve">a person who owns or controls an interest in </w:t>
      </w:r>
      <w:r w:rsidR="00560069">
        <w:t>petroleum tenement</w:t>
      </w:r>
      <w:r>
        <w:t xml:space="preserve">; </w:t>
      </w:r>
    </w:p>
    <w:p w14:paraId="3096BBDA" w14:textId="77777777" w:rsidR="00F9708F" w:rsidRDefault="00F9708F" w:rsidP="00F9708F">
      <w:pPr>
        <w:pStyle w:val="ListBullet"/>
      </w:pPr>
      <w:r>
        <w:t>a compression service provider;</w:t>
      </w:r>
    </w:p>
    <w:p w14:paraId="21B15E4F" w14:textId="77777777" w:rsidR="00F9708F" w:rsidRDefault="006B7862" w:rsidP="00F9708F">
      <w:pPr>
        <w:pStyle w:val="ListBullet"/>
      </w:pPr>
      <w:r>
        <w:t>an LNG facility operator</w:t>
      </w:r>
      <w:r w:rsidR="00F9708F">
        <w:t>;</w:t>
      </w:r>
    </w:p>
    <w:p w14:paraId="2C7BB473" w14:textId="77777777" w:rsidR="00F9708F" w:rsidRDefault="00F9708F" w:rsidP="00F9708F">
      <w:pPr>
        <w:pStyle w:val="ListBullet"/>
      </w:pPr>
      <w:r>
        <w:t>a person who owns, controls or operates a facility that involves the consumption of natural gas (other than a facility for gas production, storage or compression);</w:t>
      </w:r>
      <w:r w:rsidR="004E7B0C">
        <w:rPr>
          <w:rStyle w:val="FootnoteReference"/>
        </w:rPr>
        <w:footnoteReference w:id="20"/>
      </w:r>
      <w:r w:rsidR="006B7862">
        <w:t xml:space="preserve"> and</w:t>
      </w:r>
    </w:p>
    <w:p w14:paraId="20C658A6" w14:textId="77777777" w:rsidR="00F9708F" w:rsidRDefault="00F9708F" w:rsidP="00F9708F">
      <w:pPr>
        <w:pStyle w:val="ListBullet"/>
      </w:pPr>
      <w:proofErr w:type="gramStart"/>
      <w:r>
        <w:t>a</w:t>
      </w:r>
      <w:proofErr w:type="gramEnd"/>
      <w:r>
        <w:t xml:space="preserve"> </w:t>
      </w:r>
      <w:r w:rsidRPr="000679D1">
        <w:t>person undertaking or proposing to undertake</w:t>
      </w:r>
      <w:r>
        <w:t xml:space="preserve"> (directly or indirectly and alone or with others)</w:t>
      </w:r>
      <w:r w:rsidRPr="000679D1">
        <w:t xml:space="preserve"> a project for the </w:t>
      </w:r>
      <w:r w:rsidR="00120054">
        <w:t>development o</w:t>
      </w:r>
      <w:r w:rsidR="00C77866">
        <w:t>r</w:t>
      </w:r>
      <w:r w:rsidR="00120054">
        <w:t xml:space="preserve"> expansion, or for the proposed development or expansion,</w:t>
      </w:r>
      <w:r w:rsidR="00120054" w:rsidRPr="000679D1">
        <w:t xml:space="preserve"> </w:t>
      </w:r>
      <w:r w:rsidRPr="000679D1">
        <w:t xml:space="preserve">of a </w:t>
      </w:r>
      <w:r w:rsidR="00120054">
        <w:t xml:space="preserve">natural gas industry </w:t>
      </w:r>
      <w:r w:rsidRPr="000679D1">
        <w:t>facility</w:t>
      </w:r>
      <w:r>
        <w:t>.</w:t>
      </w:r>
      <w:r w:rsidR="00120054">
        <w:rPr>
          <w:rStyle w:val="FootnoteReference"/>
        </w:rPr>
        <w:footnoteReference w:id="21"/>
      </w:r>
    </w:p>
    <w:p w14:paraId="7443ACF9" w14:textId="77777777" w:rsidR="004E7B0C" w:rsidRDefault="00F9708F" w:rsidP="00E51706">
      <w:r>
        <w:t xml:space="preserve">Consequential amendments </w:t>
      </w:r>
      <w:r w:rsidR="00B35DFE">
        <w:t xml:space="preserve">would </w:t>
      </w:r>
      <w:r>
        <w:t>be made to the powers of the AEMC to make Rules for the BB</w:t>
      </w:r>
      <w:r w:rsidR="00151641">
        <w:rPr>
          <w:rStyle w:val="FootnoteReference"/>
        </w:rPr>
        <w:footnoteReference w:id="22"/>
      </w:r>
      <w:r>
        <w:t xml:space="preserve"> and to the definitions of </w:t>
      </w:r>
      <w:r w:rsidR="004E7B0C">
        <w:t>“</w:t>
      </w:r>
      <w:r>
        <w:t>Bulletin Board information</w:t>
      </w:r>
      <w:r w:rsidR="004E7B0C">
        <w:t>”</w:t>
      </w:r>
      <w:r>
        <w:t xml:space="preserve"> and </w:t>
      </w:r>
      <w:r w:rsidR="004E7B0C">
        <w:t>“</w:t>
      </w:r>
      <w:r>
        <w:t>Natural Gas Services Bulletin Board</w:t>
      </w:r>
      <w:r w:rsidR="004E7B0C">
        <w:t>”</w:t>
      </w:r>
      <w:r>
        <w:t>,</w:t>
      </w:r>
      <w:r w:rsidR="003A6881">
        <w:rPr>
          <w:rStyle w:val="FootnoteReference"/>
        </w:rPr>
        <w:footnoteReference w:id="23"/>
      </w:r>
      <w:r>
        <w:t xml:space="preserve"> in AEMO’s BB functions in section 219</w:t>
      </w:r>
      <w:r w:rsidR="003A6881">
        <w:rPr>
          <w:rStyle w:val="FootnoteReference"/>
        </w:rPr>
        <w:footnoteReference w:id="24"/>
      </w:r>
      <w:r>
        <w:t xml:space="preserve"> and</w:t>
      </w:r>
      <w:r w:rsidR="006B7862">
        <w:t xml:space="preserve"> in</w:t>
      </w:r>
      <w:r>
        <w:t xml:space="preserve"> item 56 of Schedule 1.</w:t>
      </w:r>
      <w:r w:rsidR="003A6881">
        <w:rPr>
          <w:rStyle w:val="FootnoteReference"/>
        </w:rPr>
        <w:footnoteReference w:id="25"/>
      </w:r>
      <w:r w:rsidR="00E51706">
        <w:t xml:space="preserve"> T</w:t>
      </w:r>
      <w:r>
        <w:t xml:space="preserve">he definition of </w:t>
      </w:r>
      <w:r w:rsidR="004E7B0C">
        <w:t>“</w:t>
      </w:r>
      <w:r>
        <w:t>storage provider</w:t>
      </w:r>
      <w:r w:rsidR="004E7B0C">
        <w:t>”</w:t>
      </w:r>
      <w:r w:rsidR="00E51706">
        <w:t xml:space="preserve"> </w:t>
      </w:r>
      <w:r w:rsidR="00B35DFE">
        <w:t xml:space="preserve">would also need to </w:t>
      </w:r>
      <w:r w:rsidR="00E51706">
        <w:t xml:space="preserve">be amended to </w:t>
      </w:r>
      <w:r w:rsidR="004A0C46">
        <w:t xml:space="preserve">make it </w:t>
      </w:r>
      <w:r>
        <w:t xml:space="preserve">clear that it extends to storage for processed gas and </w:t>
      </w:r>
      <w:r w:rsidRPr="00F9708F">
        <w:t>LNG</w:t>
      </w:r>
      <w:r>
        <w:t>.</w:t>
      </w:r>
      <w:r w:rsidR="003A6881">
        <w:rPr>
          <w:rStyle w:val="FootnoteReference"/>
        </w:rPr>
        <w:footnoteReference w:id="26"/>
      </w:r>
    </w:p>
    <w:p w14:paraId="634FB009" w14:textId="77777777" w:rsidR="008707CD" w:rsidRDefault="008707CD" w:rsidP="00E51706">
      <w:r>
        <w:t xml:space="preserve">The endorsed option provides for </w:t>
      </w:r>
      <w:r w:rsidR="003A5587">
        <w:t>producers to report on gas price assumptions underpinning the</w:t>
      </w:r>
      <w:r w:rsidR="00CF564B">
        <w:t>ir</w:t>
      </w:r>
      <w:r w:rsidR="003A5587">
        <w:t xml:space="preserve"> reserves and resource estimates. Amendments to Chapter 7 </w:t>
      </w:r>
      <w:r w:rsidR="004151F5">
        <w:t xml:space="preserve">of the Law </w:t>
      </w:r>
      <w:r w:rsidR="003A5587">
        <w:t xml:space="preserve">will </w:t>
      </w:r>
      <w:r w:rsidR="004151F5">
        <w:t xml:space="preserve">allow the </w:t>
      </w:r>
      <w:r w:rsidR="003A5587">
        <w:t>Rule</w:t>
      </w:r>
      <w:r w:rsidR="004151F5">
        <w:t>s</w:t>
      </w:r>
      <w:r w:rsidR="003A5587">
        <w:t xml:space="preserve"> to require this information to be given to the AER</w:t>
      </w:r>
      <w:r w:rsidR="003A5587">
        <w:rPr>
          <w:rStyle w:val="FootnoteReference"/>
        </w:rPr>
        <w:footnoteReference w:id="27"/>
      </w:r>
      <w:r w:rsidR="003A5587">
        <w:t xml:space="preserve"> </w:t>
      </w:r>
      <w:r w:rsidR="004151F5">
        <w:t xml:space="preserve">subject to the same principles that apply to other </w:t>
      </w:r>
      <w:r w:rsidR="003A5587">
        <w:t xml:space="preserve">Bulletin Board information under </w:t>
      </w:r>
      <w:r w:rsidR="004151F5">
        <w:t xml:space="preserve">sections 224 (dealing </w:t>
      </w:r>
      <w:r w:rsidR="004151F5">
        <w:lastRenderedPageBreak/>
        <w:t xml:space="preserve">with confidentiality), 225 (dealing with false or misleading information) and 226 </w:t>
      </w:r>
      <w:r w:rsidR="00CF564B">
        <w:t>(</w:t>
      </w:r>
      <w:r w:rsidR="008B18E0">
        <w:t>protection from claims)</w:t>
      </w:r>
      <w:r w:rsidR="003A5587">
        <w:t>.</w:t>
      </w:r>
      <w:r w:rsidR="003A5587">
        <w:rPr>
          <w:rStyle w:val="FootnoteReference"/>
        </w:rPr>
        <w:footnoteReference w:id="28"/>
      </w:r>
    </w:p>
    <w:p w14:paraId="0321328C" w14:textId="77777777" w:rsidR="00F9708F" w:rsidRPr="003109A7" w:rsidRDefault="004C522B" w:rsidP="003109A7">
      <w:pPr>
        <w:pStyle w:val="Heading2"/>
      </w:pPr>
      <w:bookmarkStart w:id="63" w:name="_Toc45015269"/>
      <w:r w:rsidRPr="003109A7">
        <w:t>P</w:t>
      </w:r>
      <w:r w:rsidR="00F9708F" w:rsidRPr="003109A7">
        <w:t>ublicatio</w:t>
      </w:r>
      <w:r w:rsidR="00FF5B2C" w:rsidRPr="003109A7">
        <w:t>n of standing offer information</w:t>
      </w:r>
      <w:bookmarkEnd w:id="63"/>
    </w:p>
    <w:p w14:paraId="2B9CE034" w14:textId="77777777" w:rsidR="00D837B7" w:rsidRDefault="00440252" w:rsidP="00E51706">
      <w:r>
        <w:t>The endorsed option</w:t>
      </w:r>
      <w:r w:rsidR="00FD4883">
        <w:t xml:space="preserve"> </w:t>
      </w:r>
      <w:r w:rsidR="00F9708F">
        <w:t>provide</w:t>
      </w:r>
      <w:r w:rsidR="00FD4883">
        <w:t>s</w:t>
      </w:r>
      <w:r w:rsidR="00F9708F">
        <w:t xml:space="preserve"> for the operator of a compression service facility or storage facility to publish</w:t>
      </w:r>
      <w:r w:rsidR="00D837B7">
        <w:t>:</w:t>
      </w:r>
      <w:r w:rsidR="00F9708F">
        <w:t xml:space="preserve"> </w:t>
      </w:r>
    </w:p>
    <w:p w14:paraId="3C51FF56" w14:textId="77777777" w:rsidR="00D837B7" w:rsidRDefault="00BB12EC" w:rsidP="00D837B7">
      <w:pPr>
        <w:pStyle w:val="ListBullet"/>
      </w:pPr>
      <w:r>
        <w:t>standing terms and prices for each service they offer</w:t>
      </w:r>
      <w:r w:rsidR="00D837B7">
        <w:t>; and</w:t>
      </w:r>
    </w:p>
    <w:p w14:paraId="30BD6BEC" w14:textId="77777777" w:rsidR="00D837B7" w:rsidRDefault="00BB12EC" w:rsidP="00D837B7">
      <w:pPr>
        <w:pStyle w:val="ListBullet"/>
      </w:pPr>
      <w:proofErr w:type="gramStart"/>
      <w:r>
        <w:t>information</w:t>
      </w:r>
      <w:proofErr w:type="gramEnd"/>
      <w:r>
        <w:t xml:space="preserve"> on the weighted average prices paid by users of these facilities. </w:t>
      </w:r>
    </w:p>
    <w:p w14:paraId="6DE202DD" w14:textId="77777777" w:rsidR="00F9708F" w:rsidRDefault="00F9708F" w:rsidP="00E51706">
      <w:r>
        <w:t>Similar obligations already apply to the operators of non-scheme pipelin</w:t>
      </w:r>
      <w:r w:rsidR="00E51706">
        <w:t xml:space="preserve">es under Part 23 of the </w:t>
      </w:r>
      <w:r w:rsidR="00B35DFE">
        <w:t>NGR</w:t>
      </w:r>
      <w:r w:rsidR="00E51706">
        <w:t xml:space="preserve">, as </w:t>
      </w:r>
      <w:r>
        <w:t xml:space="preserve">provided for in section 83A of the </w:t>
      </w:r>
      <w:r w:rsidR="001E6202">
        <w:t>Law</w:t>
      </w:r>
      <w:r>
        <w:t>.</w:t>
      </w:r>
    </w:p>
    <w:p w14:paraId="1294D917" w14:textId="77777777" w:rsidR="00F9708F" w:rsidRDefault="00B35DFE" w:rsidP="00E51706">
      <w:r>
        <w:t xml:space="preserve">To implement this recommendation a </w:t>
      </w:r>
      <w:r w:rsidR="00E51706">
        <w:t xml:space="preserve">new section </w:t>
      </w:r>
      <w:r w:rsidR="008233EB">
        <w:t xml:space="preserve">will </w:t>
      </w:r>
      <w:r>
        <w:t xml:space="preserve">need to be included in the </w:t>
      </w:r>
      <w:r w:rsidR="001E6202">
        <w:t>Law</w:t>
      </w:r>
      <w:r w:rsidR="00C77866">
        <w:t>, proposed to be section 83A</w:t>
      </w:r>
      <w:r w:rsidR="00B149DA">
        <w:t>B</w:t>
      </w:r>
      <w:r>
        <w:t>.</w:t>
      </w:r>
      <w:r w:rsidR="00C77866">
        <w:rPr>
          <w:rStyle w:val="FootnoteReference"/>
        </w:rPr>
        <w:footnoteReference w:id="29"/>
      </w:r>
      <w:r>
        <w:t xml:space="preserve"> </w:t>
      </w:r>
      <w:r w:rsidR="00FD4883">
        <w:t xml:space="preserve">The </w:t>
      </w:r>
      <w:r w:rsidR="00C77866">
        <w:t>new</w:t>
      </w:r>
      <w:r>
        <w:t xml:space="preserve"> section </w:t>
      </w:r>
      <w:r w:rsidR="00FD4883">
        <w:t xml:space="preserve">would </w:t>
      </w:r>
      <w:r w:rsidR="00F9708F">
        <w:t>closely mirror s</w:t>
      </w:r>
      <w:r w:rsidR="006B7862">
        <w:t>ection 83A</w:t>
      </w:r>
      <w:r>
        <w:t>,</w:t>
      </w:r>
      <w:r w:rsidR="006B7862">
        <w:t xml:space="preserve"> but </w:t>
      </w:r>
      <w:r w:rsidR="00FD4883">
        <w:t xml:space="preserve">would </w:t>
      </w:r>
      <w:r w:rsidR="006B7862">
        <w:t>omit subsection</w:t>
      </w:r>
      <w:r w:rsidR="00F9708F">
        <w:t xml:space="preserve"> (2)(e) </w:t>
      </w:r>
      <w:r>
        <w:t xml:space="preserve">because </w:t>
      </w:r>
      <w:r w:rsidR="00F9708F">
        <w:t xml:space="preserve">it is not relevant to compression facilities and storage facilities. </w:t>
      </w:r>
    </w:p>
    <w:p w14:paraId="7359041F" w14:textId="77777777" w:rsidR="00F9708F" w:rsidRPr="003109A7" w:rsidRDefault="00F9708F" w:rsidP="003109A7">
      <w:pPr>
        <w:pStyle w:val="Heading2"/>
      </w:pPr>
      <w:bookmarkStart w:id="64" w:name="_Toc45015270"/>
      <w:r w:rsidRPr="003109A7">
        <w:t>Updating the GSOO provisions</w:t>
      </w:r>
      <w:bookmarkEnd w:id="64"/>
    </w:p>
    <w:p w14:paraId="38FFFF04" w14:textId="77777777" w:rsidR="00F9708F" w:rsidRDefault="00B35DFE" w:rsidP="00F9708F">
      <w:r>
        <w:t xml:space="preserve">To implement the GSOO related recommendations, </w:t>
      </w:r>
      <w:r w:rsidR="00E51706">
        <w:t xml:space="preserve">the GSOO framework in the </w:t>
      </w:r>
      <w:r w:rsidR="001E6202">
        <w:t>Law</w:t>
      </w:r>
      <w:r w:rsidR="00E51706">
        <w:t xml:space="preserve"> </w:t>
      </w:r>
      <w:r w:rsidR="008233EB">
        <w:t xml:space="preserve">will </w:t>
      </w:r>
      <w:r>
        <w:t>need to be amended to provide</w:t>
      </w:r>
      <w:r w:rsidR="00E51706">
        <w:t xml:space="preserve">, in terms similar to the BB provisions, </w:t>
      </w:r>
      <w:r w:rsidR="00F9708F">
        <w:t xml:space="preserve">that a person required by the </w:t>
      </w:r>
      <w:r>
        <w:t>NGR</w:t>
      </w:r>
      <w:r w:rsidR="00F9708F">
        <w:t xml:space="preserve"> to provide information to</w:t>
      </w:r>
      <w:r w:rsidR="00E51706">
        <w:t xml:space="preserve"> AEMO for the GSOO must do so.</w:t>
      </w:r>
      <w:r w:rsidR="003A6881">
        <w:rPr>
          <w:rStyle w:val="FootnoteReference"/>
        </w:rPr>
        <w:footnoteReference w:id="30"/>
      </w:r>
      <w:r w:rsidR="00E51706">
        <w:t xml:space="preserve"> The </w:t>
      </w:r>
      <w:r w:rsidR="00F9708F">
        <w:t xml:space="preserve">obligation </w:t>
      </w:r>
      <w:r w:rsidR="00E51706">
        <w:t xml:space="preserve">would be </w:t>
      </w:r>
      <w:r w:rsidR="00F9708F">
        <w:t>classified in the Regulations as a civil penalty provision.</w:t>
      </w:r>
      <w:r w:rsidR="002D02EA">
        <w:rPr>
          <w:rStyle w:val="FootnoteReference"/>
        </w:rPr>
        <w:footnoteReference w:id="31"/>
      </w:r>
      <w:r w:rsidR="00E51706">
        <w:t xml:space="preserve"> </w:t>
      </w:r>
      <w:r w:rsidR="00F9708F">
        <w:t>T</w:t>
      </w:r>
      <w:r w:rsidR="00E51706">
        <w:t xml:space="preserve">he </w:t>
      </w:r>
      <w:r w:rsidR="001E6202">
        <w:t>Law</w:t>
      </w:r>
      <w:r w:rsidR="00E51706">
        <w:t xml:space="preserve"> wo</w:t>
      </w:r>
      <w:r w:rsidR="00F9708F">
        <w:t xml:space="preserve">uld </w:t>
      </w:r>
      <w:r w:rsidR="00E51706">
        <w:t xml:space="preserve">also </w:t>
      </w:r>
      <w:r w:rsidR="00F9708F">
        <w:t xml:space="preserve">give immunity to a person providing information for the GSOO in terms similar to </w:t>
      </w:r>
      <w:r w:rsidR="00E51706">
        <w:t>the BB</w:t>
      </w:r>
      <w:r w:rsidR="00B015B9">
        <w:t xml:space="preserve"> provisions</w:t>
      </w:r>
      <w:r w:rsidR="003A6881">
        <w:rPr>
          <w:rStyle w:val="FootnoteReference"/>
        </w:rPr>
        <w:footnoteReference w:id="32"/>
      </w:r>
      <w:r w:rsidR="00E51706">
        <w:t xml:space="preserve"> </w:t>
      </w:r>
      <w:r w:rsidR="00F9708F">
        <w:t xml:space="preserve">and the Regulations </w:t>
      </w:r>
      <w:r w:rsidR="00B015B9">
        <w:t>w</w:t>
      </w:r>
      <w:r w:rsidR="00F9708F">
        <w:t>ould support this by specifying a liability cap.</w:t>
      </w:r>
      <w:r w:rsidR="002D02EA">
        <w:rPr>
          <w:rStyle w:val="FootnoteReference"/>
        </w:rPr>
        <w:footnoteReference w:id="33"/>
      </w:r>
    </w:p>
    <w:p w14:paraId="4FE709B4" w14:textId="77777777" w:rsidR="00F9708F" w:rsidRDefault="00E51706" w:rsidP="00F9708F">
      <w:r>
        <w:t xml:space="preserve">It is proposed that the </w:t>
      </w:r>
      <w:r w:rsidR="001E6202">
        <w:t>Law</w:t>
      </w:r>
      <w:r w:rsidR="004C522B">
        <w:t xml:space="preserve"> </w:t>
      </w:r>
      <w:r w:rsidR="00B35DFE">
        <w:t xml:space="preserve">would </w:t>
      </w:r>
      <w:r w:rsidR="004C522B">
        <w:t xml:space="preserve">allow AEMO to make </w:t>
      </w:r>
      <w:r w:rsidR="00F9708F">
        <w:t xml:space="preserve">GSOO Procedures </w:t>
      </w:r>
      <w:r w:rsidR="004C522B">
        <w:t xml:space="preserve">in accordance with the </w:t>
      </w:r>
      <w:r w:rsidR="00B35DFE">
        <w:t>NGR</w:t>
      </w:r>
      <w:r w:rsidR="004C522B">
        <w:t xml:space="preserve"> to govern</w:t>
      </w:r>
      <w:r>
        <w:t xml:space="preserve"> </w:t>
      </w:r>
      <w:r w:rsidR="00F9708F">
        <w:t>the GSOO survey process and the form of survey</w:t>
      </w:r>
      <w:r w:rsidR="004C522B">
        <w:t>.</w:t>
      </w:r>
      <w:r w:rsidR="003A6881">
        <w:rPr>
          <w:rStyle w:val="FootnoteReference"/>
        </w:rPr>
        <w:footnoteReference w:id="34"/>
      </w:r>
      <w:r w:rsidR="004C522B">
        <w:t xml:space="preserve"> Under the </w:t>
      </w:r>
      <w:r w:rsidR="00B35DFE">
        <w:t>NGR</w:t>
      </w:r>
      <w:r w:rsidR="004C522B">
        <w:t>,</w:t>
      </w:r>
      <w:r w:rsidR="00F9708F">
        <w:t xml:space="preserve"> AEMO </w:t>
      </w:r>
      <w:r w:rsidR="00B35DFE">
        <w:t xml:space="preserve">would </w:t>
      </w:r>
      <w:r w:rsidR="00F9708F">
        <w:t>therefore be required to consult when it determines the initial form of the Procedures and when changes are proposed.</w:t>
      </w:r>
    </w:p>
    <w:p w14:paraId="6D6C22A4" w14:textId="77777777" w:rsidR="00F9708F" w:rsidRDefault="00F9708F" w:rsidP="00F9708F">
      <w:r>
        <w:t xml:space="preserve">Consequential amendments </w:t>
      </w:r>
      <w:r w:rsidR="00B35DFE">
        <w:t xml:space="preserve">would be required </w:t>
      </w:r>
      <w:r w:rsidR="00E51706">
        <w:t>to</w:t>
      </w:r>
      <w:r w:rsidR="00FF5B2C">
        <w:t xml:space="preserve"> </w:t>
      </w:r>
      <w:r w:rsidR="00750F6A">
        <w:t>the functions of AEMO in section</w:t>
      </w:r>
      <w:r w:rsidR="00B015B9">
        <w:t> </w:t>
      </w:r>
      <w:r w:rsidR="00750F6A">
        <w:t xml:space="preserve">91DA, to </w:t>
      </w:r>
      <w:r>
        <w:t>include new definitions of “GSOO inf</w:t>
      </w:r>
      <w:r w:rsidR="00FF5B2C">
        <w:t xml:space="preserve">ormation” and “GSOO Procedures” and </w:t>
      </w:r>
      <w:r w:rsidR="00750F6A">
        <w:t xml:space="preserve">to </w:t>
      </w:r>
      <w:r>
        <w:t xml:space="preserve">extend the subject matter for the </w:t>
      </w:r>
      <w:r w:rsidR="00B35DFE">
        <w:t>NGR</w:t>
      </w:r>
      <w:r>
        <w:t xml:space="preserve"> in section 74 and Schedule 1.</w:t>
      </w:r>
      <w:r w:rsidR="00B35DFE">
        <w:rPr>
          <w:rStyle w:val="FootnoteReference"/>
        </w:rPr>
        <w:footnoteReference w:id="35"/>
      </w:r>
    </w:p>
    <w:p w14:paraId="6879EF21" w14:textId="77777777" w:rsidR="00F9708F" w:rsidRPr="003109A7" w:rsidRDefault="00F9708F" w:rsidP="003109A7">
      <w:pPr>
        <w:pStyle w:val="Heading2"/>
      </w:pPr>
      <w:bookmarkStart w:id="65" w:name="_Toc14941785"/>
      <w:bookmarkStart w:id="66" w:name="_Toc45015271"/>
      <w:bookmarkStart w:id="67" w:name="_Ref36718363"/>
      <w:bookmarkEnd w:id="65"/>
      <w:r w:rsidRPr="003109A7">
        <w:lastRenderedPageBreak/>
        <w:t xml:space="preserve">AER’s </w:t>
      </w:r>
      <w:r w:rsidR="008233EB" w:rsidRPr="003109A7">
        <w:t xml:space="preserve">gas price reporting </w:t>
      </w:r>
      <w:r w:rsidRPr="003109A7">
        <w:t>functions and powers</w:t>
      </w:r>
      <w:bookmarkEnd w:id="66"/>
      <w:r w:rsidRPr="003109A7">
        <w:t xml:space="preserve"> </w:t>
      </w:r>
      <w:bookmarkEnd w:id="67"/>
    </w:p>
    <w:p w14:paraId="28D7A114" w14:textId="77777777" w:rsidR="00FF5B2C" w:rsidRDefault="00B35DFE" w:rsidP="00B35DFE">
      <w:r>
        <w:t xml:space="preserve">To </w:t>
      </w:r>
      <w:r w:rsidR="00BB12EC">
        <w:t xml:space="preserve">allow the AER to report on gas prices, </w:t>
      </w:r>
      <w:r>
        <w:t xml:space="preserve">the </w:t>
      </w:r>
      <w:r w:rsidR="001E6202">
        <w:t>Law</w:t>
      </w:r>
      <w:r>
        <w:t xml:space="preserve"> </w:t>
      </w:r>
      <w:r w:rsidR="008233EB">
        <w:t xml:space="preserve">will </w:t>
      </w:r>
      <w:r>
        <w:t>be amended to</w:t>
      </w:r>
      <w:r w:rsidR="00FF5B2C">
        <w:t>:</w:t>
      </w:r>
    </w:p>
    <w:p w14:paraId="734B38CE" w14:textId="77777777" w:rsidR="00CB528D" w:rsidRDefault="008233EB" w:rsidP="00AF235B">
      <w:pPr>
        <w:pStyle w:val="ListBullet"/>
      </w:pPr>
      <w:r>
        <w:t xml:space="preserve">Extend </w:t>
      </w:r>
      <w:r w:rsidR="00FF5B2C">
        <w:t>the functions of the AER to include</w:t>
      </w:r>
      <w:r w:rsidR="00CB528D">
        <w:t xml:space="preserve"> preparing and publishing </w:t>
      </w:r>
      <w:r w:rsidR="00FD4883">
        <w:t xml:space="preserve">in accordance with the Rules </w:t>
      </w:r>
      <w:r w:rsidR="00CB528D">
        <w:t xml:space="preserve">aggregated and anonymised information or data about prices for goods or services in </w:t>
      </w:r>
      <w:r w:rsidR="008E3E17">
        <w:t>the natural gas industry and for that purpose, collecting and analysing information</w:t>
      </w:r>
      <w:r w:rsidR="008B18E0">
        <w:t xml:space="preserve"> or data about those prices.</w:t>
      </w:r>
    </w:p>
    <w:p w14:paraId="27CF2E0C" w14:textId="77777777" w:rsidR="00FF5B2C" w:rsidRDefault="008233EB" w:rsidP="00FF5B2C">
      <w:pPr>
        <w:pStyle w:val="ListBullet"/>
      </w:pPr>
      <w:r>
        <w:t xml:space="preserve">Give </w:t>
      </w:r>
      <w:r w:rsidR="00F9708F">
        <w:t xml:space="preserve">the AER power to make an instrument requiring information to be provided to the AER </w:t>
      </w:r>
      <w:r w:rsidR="00FD4883">
        <w:t>for the performance of its new functions</w:t>
      </w:r>
      <w:r w:rsidR="00FF5B2C">
        <w:t xml:space="preserve">. The provisions would include a requirement for the AER to consult on an order before it is made, obligations to comply with the order and protections for those subject to an order. </w:t>
      </w:r>
    </w:p>
    <w:p w14:paraId="52265BE6" w14:textId="77777777" w:rsidR="00F9708F" w:rsidRDefault="00E70EB8" w:rsidP="00F9708F">
      <w:r>
        <w:t xml:space="preserve">It is proposed to implement these arrangements by </w:t>
      </w:r>
      <w:r w:rsidR="00FD4883">
        <w:t xml:space="preserve">amending </w:t>
      </w:r>
      <w:r>
        <w:t xml:space="preserve">Division </w:t>
      </w:r>
      <w:r w:rsidR="00FD4883">
        <w:t>4 of</w:t>
      </w:r>
      <w:r>
        <w:t xml:space="preserve"> Part 1 of Chapter 2 of the </w:t>
      </w:r>
      <w:r w:rsidR="001E6202">
        <w:t>Law</w:t>
      </w:r>
      <w:r w:rsidR="00A46BD3">
        <w:t xml:space="preserve"> and </w:t>
      </w:r>
      <w:r w:rsidR="00C77866">
        <w:t xml:space="preserve">by </w:t>
      </w:r>
      <w:r w:rsidR="00A46BD3">
        <w:t>extend</w:t>
      </w:r>
      <w:r w:rsidR="00C77866">
        <w:t>ing</w:t>
      </w:r>
      <w:r w:rsidR="00A46BD3">
        <w:t xml:space="preserve"> the AER’s functions to include the “AER gas price reporting functions”</w:t>
      </w:r>
      <w:r>
        <w:t>.</w:t>
      </w:r>
      <w:r>
        <w:rPr>
          <w:rStyle w:val="FootnoteReference"/>
        </w:rPr>
        <w:footnoteReference w:id="36"/>
      </w:r>
      <w:r>
        <w:t xml:space="preserve"> </w:t>
      </w:r>
      <w:r w:rsidR="00B35DFE">
        <w:t xml:space="preserve">The AEMC’s rule making power </w:t>
      </w:r>
      <w:r w:rsidR="008233EB">
        <w:t xml:space="preserve">will </w:t>
      </w:r>
      <w:r w:rsidR="00B35DFE">
        <w:t xml:space="preserve">also be extended to </w:t>
      </w:r>
      <w:r w:rsidR="00F9708F">
        <w:t xml:space="preserve">include rules </w:t>
      </w:r>
      <w:r w:rsidR="00FD4883">
        <w:t>relating to the AER’s new function</w:t>
      </w:r>
      <w:r w:rsidR="00FF5B2C">
        <w:t>.</w:t>
      </w:r>
      <w:r w:rsidR="002D02EA">
        <w:rPr>
          <w:rStyle w:val="FootnoteReference"/>
        </w:rPr>
        <w:footnoteReference w:id="37"/>
      </w:r>
    </w:p>
    <w:p w14:paraId="24A062B8" w14:textId="77777777" w:rsidR="00FD4883" w:rsidRDefault="00FD4883" w:rsidP="00F9708F">
      <w:r>
        <w:t xml:space="preserve">The </w:t>
      </w:r>
      <w:r w:rsidR="008233EB">
        <w:t xml:space="preserve">Law </w:t>
      </w:r>
      <w:r w:rsidR="00560069">
        <w:t xml:space="preserve">would </w:t>
      </w:r>
      <w:r w:rsidR="008233EB">
        <w:t xml:space="preserve">also be amended to </w:t>
      </w:r>
      <w:r>
        <w:t xml:space="preserve">provide for information </w:t>
      </w:r>
      <w:r w:rsidR="008233EB">
        <w:t xml:space="preserve">that is </w:t>
      </w:r>
      <w:r>
        <w:t>provided under a price information order to be treated as having been given to the AER in confidence.</w:t>
      </w:r>
      <w:r w:rsidR="009B0EC7">
        <w:rPr>
          <w:rStyle w:val="FootnoteReference"/>
        </w:rPr>
        <w:footnoteReference w:id="38"/>
      </w:r>
      <w:r w:rsidR="00CD1908">
        <w:t xml:space="preserve"> </w:t>
      </w:r>
      <w:r w:rsidR="00F9708F">
        <w:t>Chapter 10 Part</w:t>
      </w:r>
      <w:r>
        <w:t xml:space="preserve"> 2 Division 1 would govern the circumstances in which the AER could disclose the information, including where it is aggregated and anonymised. In addition it is proposed that Part 17 of the Rules </w:t>
      </w:r>
      <w:r w:rsidR="008233EB">
        <w:t xml:space="preserve">will </w:t>
      </w:r>
      <w:r>
        <w:t>provide for the price information to be both aggregated and anonym</w:t>
      </w:r>
      <w:r w:rsidR="008233EB">
        <w:t>ised</w:t>
      </w:r>
      <w:r>
        <w:t>.</w:t>
      </w:r>
    </w:p>
    <w:p w14:paraId="37F7F05B" w14:textId="77777777" w:rsidR="00F9708F" w:rsidRPr="003109A7" w:rsidRDefault="00F9708F" w:rsidP="004C5846">
      <w:pPr>
        <w:pStyle w:val="Heading2"/>
        <w:spacing w:before="120" w:after="120"/>
      </w:pPr>
      <w:bookmarkStart w:id="68" w:name="_Toc45015272"/>
      <w:r w:rsidRPr="003109A7">
        <w:t>Minister-made rules</w:t>
      </w:r>
      <w:bookmarkEnd w:id="68"/>
    </w:p>
    <w:p w14:paraId="3DCC9FC9" w14:textId="77777777" w:rsidR="00F9708F" w:rsidRDefault="00F9708F" w:rsidP="00F9708F">
      <w:bookmarkStart w:id="69" w:name="_Ref6832129"/>
      <w:r>
        <w:t>The amendment</w:t>
      </w:r>
      <w:r w:rsidR="00CD1908">
        <w:t>s</w:t>
      </w:r>
      <w:r>
        <w:t xml:space="preserve"> to the </w:t>
      </w:r>
      <w:r w:rsidR="00B35DFE">
        <w:t>NGR</w:t>
      </w:r>
      <w:r>
        <w:t xml:space="preserve"> </w:t>
      </w:r>
      <w:r w:rsidR="00CD1908">
        <w:t xml:space="preserve">to give effect to the </w:t>
      </w:r>
      <w:r>
        <w:t>enhanced transparency package</w:t>
      </w:r>
      <w:r w:rsidDel="000374CD">
        <w:t xml:space="preserve"> </w:t>
      </w:r>
      <w:r>
        <w:t xml:space="preserve">will be </w:t>
      </w:r>
      <w:r w:rsidR="008233EB">
        <w:t xml:space="preserve">implemented through </w:t>
      </w:r>
      <w:r>
        <w:t>Minister-made rules.</w:t>
      </w:r>
      <w:bookmarkEnd w:id="69"/>
      <w:r w:rsidR="00FF5B2C">
        <w:t xml:space="preserve"> </w:t>
      </w:r>
      <w:r w:rsidR="00CD1908">
        <w:t>A</w:t>
      </w:r>
      <w:r>
        <w:t xml:space="preserve"> new provision </w:t>
      </w:r>
      <w:r w:rsidR="00CD1908">
        <w:t xml:space="preserve">will therefore need </w:t>
      </w:r>
      <w:r w:rsidR="00FF5B2C">
        <w:t xml:space="preserve">to be included in the </w:t>
      </w:r>
      <w:r w:rsidR="001E6202">
        <w:t>Law</w:t>
      </w:r>
      <w:r w:rsidR="00FF5B2C">
        <w:t xml:space="preserve"> </w:t>
      </w:r>
      <w:r w:rsidR="00CD1908">
        <w:t xml:space="preserve">that is </w:t>
      </w:r>
      <w:r w:rsidR="004C522B">
        <w:t>broad enough to allow for the following:</w:t>
      </w:r>
      <w:r w:rsidR="00A46BD3">
        <w:rPr>
          <w:rStyle w:val="FootnoteReference"/>
        </w:rPr>
        <w:footnoteReference w:id="39"/>
      </w:r>
    </w:p>
    <w:p w14:paraId="6E1ABBDB" w14:textId="77777777" w:rsidR="00F9708F" w:rsidRDefault="00F9708F" w:rsidP="007E7D63">
      <w:pPr>
        <w:pStyle w:val="ListBullet"/>
      </w:pPr>
      <w:r>
        <w:t xml:space="preserve">Part 15B – </w:t>
      </w:r>
      <w:r w:rsidR="006B7862">
        <w:t xml:space="preserve">changes </w:t>
      </w:r>
      <w:r>
        <w:t xml:space="preserve">for </w:t>
      </w:r>
      <w:r w:rsidR="00FF5B2C">
        <w:t>new matters to be covered in the BB Procedures and the new GSOO Procedures;</w:t>
      </w:r>
    </w:p>
    <w:p w14:paraId="12A5B899" w14:textId="77777777" w:rsidR="00F9708F" w:rsidRDefault="00F9708F" w:rsidP="007E7D63">
      <w:pPr>
        <w:pStyle w:val="ListBullet"/>
      </w:pPr>
      <w:r>
        <w:t xml:space="preserve">Part 15D – </w:t>
      </w:r>
      <w:r w:rsidR="006B7862">
        <w:t xml:space="preserve">changes </w:t>
      </w:r>
      <w:r>
        <w:t>for the GSOO survey rules;</w:t>
      </w:r>
    </w:p>
    <w:p w14:paraId="7AA778C1" w14:textId="77777777" w:rsidR="00F9708F" w:rsidRDefault="00F9708F" w:rsidP="007E7D63">
      <w:pPr>
        <w:pStyle w:val="ListBullet"/>
      </w:pPr>
      <w:r>
        <w:t xml:space="preserve">Part 17 – </w:t>
      </w:r>
      <w:r w:rsidR="006B7862">
        <w:t xml:space="preserve">changes </w:t>
      </w:r>
      <w:r>
        <w:t>to allow for the specification of the gas price series</w:t>
      </w:r>
      <w:r w:rsidR="007E7D63">
        <w:t xml:space="preserve"> to be published by the AER;</w:t>
      </w:r>
    </w:p>
    <w:p w14:paraId="05D086A4" w14:textId="77777777" w:rsidR="00F9708F" w:rsidRDefault="00F9708F" w:rsidP="007E7D63">
      <w:pPr>
        <w:pStyle w:val="ListBullet"/>
      </w:pPr>
      <w:r>
        <w:t xml:space="preserve">Part 18 – </w:t>
      </w:r>
      <w:r w:rsidR="006B7862">
        <w:t xml:space="preserve">changes </w:t>
      </w:r>
      <w:r>
        <w:t xml:space="preserve">to implement the BB measures referred to in these instructions and for changes that are incidental to, or consequential on, those BB measures; </w:t>
      </w:r>
    </w:p>
    <w:p w14:paraId="2BCA053D" w14:textId="77777777" w:rsidR="00F9708F" w:rsidRDefault="00F9708F" w:rsidP="007E7D63">
      <w:pPr>
        <w:pStyle w:val="ListBullet"/>
      </w:pPr>
      <w:r>
        <w:t xml:space="preserve">Part 18 – </w:t>
      </w:r>
      <w:r w:rsidR="006B7862">
        <w:t xml:space="preserve">changes </w:t>
      </w:r>
      <w:r>
        <w:t>to improve the operation of Part 18 identified as part of this</w:t>
      </w:r>
      <w:r w:rsidR="006B7862">
        <w:t xml:space="preserve"> process; and</w:t>
      </w:r>
    </w:p>
    <w:p w14:paraId="0037CFD4" w14:textId="77777777" w:rsidR="006B7862" w:rsidRPr="00D7751B" w:rsidRDefault="006B7862" w:rsidP="007E7D63">
      <w:pPr>
        <w:pStyle w:val="ListBullet"/>
      </w:pPr>
      <w:r>
        <w:t>Part 18A – a new Part to deal with standing terms and price information for compression and storage.</w:t>
      </w:r>
    </w:p>
    <w:p w14:paraId="782CA33F" w14:textId="77777777" w:rsidR="00F9708F" w:rsidRPr="00E314C9" w:rsidRDefault="00F9708F" w:rsidP="004C5846">
      <w:pPr>
        <w:pStyle w:val="Heading2"/>
        <w:spacing w:before="120" w:after="120"/>
      </w:pPr>
      <w:bookmarkStart w:id="70" w:name="_Toc45015273"/>
      <w:r w:rsidRPr="00E314C9">
        <w:lastRenderedPageBreak/>
        <w:t>Changes to the Regulations</w:t>
      </w:r>
      <w:bookmarkEnd w:id="70"/>
    </w:p>
    <w:p w14:paraId="637FA0AC" w14:textId="77777777" w:rsidR="000038FB" w:rsidRDefault="00CD1908" w:rsidP="007E7D63">
      <w:r>
        <w:t xml:space="preserve">To give effect to </w:t>
      </w:r>
      <w:r w:rsidR="00440252">
        <w:t>the endorsed option</w:t>
      </w:r>
      <w:r>
        <w:t>, t</w:t>
      </w:r>
      <w:r w:rsidR="007E7D63">
        <w:t xml:space="preserve">he </w:t>
      </w:r>
      <w:r w:rsidR="00F9708F">
        <w:t xml:space="preserve">Regulations </w:t>
      </w:r>
      <w:r w:rsidR="008233EB">
        <w:t xml:space="preserve">will </w:t>
      </w:r>
      <w:r>
        <w:t xml:space="preserve">be amended </w:t>
      </w:r>
      <w:r w:rsidR="00F9708F">
        <w:t xml:space="preserve">to designate new provisions in the </w:t>
      </w:r>
      <w:r w:rsidR="001E6202">
        <w:t>Law</w:t>
      </w:r>
      <w:r w:rsidR="00F9708F">
        <w:t xml:space="preserve"> and the </w:t>
      </w:r>
      <w:r w:rsidR="00B35DFE">
        <w:t>NGR</w:t>
      </w:r>
      <w:r w:rsidR="007E7D63">
        <w:t xml:space="preserve"> as civil penalty provisions and to </w:t>
      </w:r>
      <w:r w:rsidR="00F9708F">
        <w:t>apply the liability cap arrangements to the provision of information for the GSOO.</w:t>
      </w:r>
      <w:r w:rsidR="003E3D5D">
        <w:rPr>
          <w:rStyle w:val="FootnoteReference"/>
        </w:rPr>
        <w:footnoteReference w:id="40"/>
      </w:r>
      <w:r w:rsidR="00F9708F">
        <w:t xml:space="preserve"> Due to the close interaction between GSOO information and BB information, </w:t>
      </w:r>
      <w:r w:rsidR="007E7D63">
        <w:t xml:space="preserve">it is </w:t>
      </w:r>
      <w:r w:rsidR="006B7862">
        <w:t>proposed</w:t>
      </w:r>
      <w:r w:rsidR="007E7D63">
        <w:t xml:space="preserve"> that </w:t>
      </w:r>
      <w:r w:rsidR="00F9708F">
        <w:t xml:space="preserve">a person providing information to AEMO </w:t>
      </w:r>
      <w:r>
        <w:t xml:space="preserve">would </w:t>
      </w:r>
      <w:r w:rsidR="00F9708F">
        <w:t>have the benefit of a single $20 million cap even if the information falls into both categories of information</w:t>
      </w:r>
      <w:r w:rsidR="007E7D63">
        <w:t>.</w:t>
      </w:r>
      <w:r w:rsidR="003E3D5D">
        <w:rPr>
          <w:rStyle w:val="FootnoteReference"/>
        </w:rPr>
        <w:footnoteReference w:id="41"/>
      </w:r>
    </w:p>
    <w:p w14:paraId="3243C738" w14:textId="77777777" w:rsidR="00A833FF" w:rsidRDefault="00F02B1D" w:rsidP="007E7D63">
      <w:r>
        <w:t>The list of Rules classified as civil penalty provisions will also need to be updated.</w:t>
      </w:r>
      <w:r w:rsidR="00187103">
        <w:t xml:space="preserve"> </w:t>
      </w:r>
      <w:r w:rsidR="007B3710">
        <w:t xml:space="preserve">The </w:t>
      </w:r>
      <w:r w:rsidR="00214B04">
        <w:t>proposed revised list of civil penalty provisions is</w:t>
      </w:r>
      <w:r w:rsidR="007B3710">
        <w:t xml:space="preserve"> set out in </w:t>
      </w:r>
      <w:r w:rsidR="00F34CBE">
        <w:t>section</w:t>
      </w:r>
      <w:r w:rsidR="007B3710">
        <w:t> </w:t>
      </w:r>
      <w:r w:rsidR="007B3710" w:rsidRPr="004C5846">
        <w:fldChar w:fldCharType="begin"/>
      </w:r>
      <w:r w:rsidR="007B3710" w:rsidRPr="004C5846">
        <w:instrText xml:space="preserve"> REF _Ref41656722 \r \h </w:instrText>
      </w:r>
      <w:r w:rsidR="00F34CBE" w:rsidRPr="004C5846">
        <w:instrText xml:space="preserve"> \* MERGEFORMAT </w:instrText>
      </w:r>
      <w:r w:rsidR="007B3710" w:rsidRPr="004C5846">
        <w:fldChar w:fldCharType="separate"/>
      </w:r>
      <w:r w:rsidR="00844010">
        <w:t>12</w:t>
      </w:r>
      <w:r w:rsidR="007B3710" w:rsidRPr="004C5846">
        <w:fldChar w:fldCharType="end"/>
      </w:r>
      <w:r w:rsidR="007B3710" w:rsidRPr="004C5846">
        <w:t>.</w:t>
      </w:r>
    </w:p>
    <w:p w14:paraId="6D3E75EC" w14:textId="77777777" w:rsidR="00A833FF" w:rsidRDefault="00A833FF" w:rsidP="007E7D63">
      <w:pPr>
        <w:sectPr w:rsidR="00A833FF" w:rsidSect="005F181B">
          <w:pgSz w:w="11907" w:h="16839" w:code="9"/>
          <w:pgMar w:top="1361" w:right="1417" w:bottom="709" w:left="1701" w:header="567" w:footer="275" w:gutter="0"/>
          <w:cols w:space="708"/>
          <w:docGrid w:linePitch="360"/>
        </w:sectPr>
      </w:pPr>
    </w:p>
    <w:p w14:paraId="103EE2FC" w14:textId="77777777" w:rsidR="00682302" w:rsidRDefault="00D15605" w:rsidP="00E51706">
      <w:pPr>
        <w:pStyle w:val="Heading1"/>
      </w:pPr>
      <w:bookmarkStart w:id="71" w:name="_Ref36545149"/>
      <w:bookmarkStart w:id="72" w:name="_Toc45015274"/>
      <w:r w:rsidRPr="00E51706">
        <w:lastRenderedPageBreak/>
        <w:t>Gas, LNG and infrastructure prices</w:t>
      </w:r>
      <w:bookmarkEnd w:id="71"/>
      <w:bookmarkEnd w:id="72"/>
    </w:p>
    <w:p w14:paraId="5796A7F3" w14:textId="77777777" w:rsidR="00954DC4" w:rsidRDefault="00954DC4" w:rsidP="00954DC4">
      <w:pPr>
        <w:pStyle w:val="BodyText"/>
      </w:pPr>
      <w:r>
        <w:t>Th</w:t>
      </w:r>
      <w:r w:rsidR="003703AA">
        <w:t xml:space="preserve">is section describes the proposed </w:t>
      </w:r>
      <w:r w:rsidR="008030EE">
        <w:t xml:space="preserve">approach in the Rules to implementation of the </w:t>
      </w:r>
      <w:r w:rsidR="003703AA">
        <w:t xml:space="preserve">measures in </w:t>
      </w:r>
      <w:r w:rsidR="00440252">
        <w:t>the endorsed option</w:t>
      </w:r>
      <w:r w:rsidR="003703AA">
        <w:t xml:space="preserve"> </w:t>
      </w:r>
      <w:r w:rsidR="006955CF">
        <w:t>relating to g</w:t>
      </w:r>
      <w:r w:rsidR="00D6048F">
        <w:t xml:space="preserve">as, </w:t>
      </w:r>
      <w:r w:rsidR="003703AA">
        <w:t>LNG and infrastructure prices.</w:t>
      </w:r>
    </w:p>
    <w:p w14:paraId="49B5FD47" w14:textId="77777777" w:rsidR="004F1347" w:rsidRDefault="004F1347" w:rsidP="004F1347">
      <w:pPr>
        <w:pStyle w:val="Heading2"/>
      </w:pPr>
      <w:bookmarkStart w:id="73" w:name="_Toc45015275"/>
      <w:r>
        <w:t>Production cost estimates</w:t>
      </w:r>
      <w:bookmarkEnd w:id="73"/>
    </w:p>
    <w:tbl>
      <w:tblPr>
        <w:tblStyle w:val="ACCCTable11"/>
        <w:tblW w:w="4976" w:type="pct"/>
        <w:tblLook w:val="06A0" w:firstRow="1" w:lastRow="0" w:firstColumn="1" w:lastColumn="0" w:noHBand="1" w:noVBand="1"/>
      </w:tblPr>
      <w:tblGrid>
        <w:gridCol w:w="3965"/>
        <w:gridCol w:w="5242"/>
        <w:gridCol w:w="4675"/>
      </w:tblGrid>
      <w:tr w:rsidR="00223694" w:rsidRPr="002F7121" w14:paraId="28909902"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8" w:type="pct"/>
            <w:tcBorders>
              <w:left w:val="single" w:sz="4" w:space="0" w:color="auto"/>
              <w:bottom w:val="single" w:sz="4" w:space="0" w:color="auto"/>
            </w:tcBorders>
            <w:shd w:val="clear" w:color="auto" w:fill="005595"/>
          </w:tcPr>
          <w:p w14:paraId="65C26B20" w14:textId="77777777" w:rsidR="00223694" w:rsidRDefault="00440252" w:rsidP="00187103">
            <w:pPr>
              <w:spacing w:before="20"/>
              <w:rPr>
                <w:rFonts w:cs="Arial"/>
              </w:rPr>
            </w:pPr>
            <w:r>
              <w:rPr>
                <w:rFonts w:cs="Arial"/>
              </w:rPr>
              <w:t>Endorsed</w:t>
            </w:r>
            <w:r w:rsidR="00AD7935">
              <w:rPr>
                <w:rFonts w:cs="Arial"/>
              </w:rPr>
              <w:t xml:space="preserve"> measure</w:t>
            </w:r>
          </w:p>
        </w:tc>
        <w:tc>
          <w:tcPr>
            <w:tcW w:w="1888" w:type="pct"/>
            <w:tcBorders>
              <w:bottom w:val="single" w:sz="4" w:space="0" w:color="auto"/>
            </w:tcBorders>
            <w:shd w:val="clear" w:color="auto" w:fill="005595"/>
            <w:hideMark/>
          </w:tcPr>
          <w:p w14:paraId="6E949EC3" w14:textId="77777777" w:rsidR="00223694" w:rsidRPr="002F7121" w:rsidRDefault="00223694" w:rsidP="00187103">
            <w:pPr>
              <w:spacing w:before="20"/>
              <w:rPr>
                <w:rFonts w:cs="Arial"/>
              </w:rPr>
            </w:pPr>
            <w:r>
              <w:rPr>
                <w:rFonts w:cs="Arial"/>
              </w:rPr>
              <w:t>Proposed approach to implementation</w:t>
            </w:r>
          </w:p>
        </w:tc>
        <w:tc>
          <w:tcPr>
            <w:tcW w:w="1684" w:type="pct"/>
            <w:tcBorders>
              <w:bottom w:val="single" w:sz="4" w:space="0" w:color="auto"/>
              <w:right w:val="single" w:sz="4" w:space="0" w:color="auto"/>
            </w:tcBorders>
            <w:shd w:val="clear" w:color="auto" w:fill="005595"/>
            <w:hideMark/>
          </w:tcPr>
          <w:p w14:paraId="569B8D82" w14:textId="77777777" w:rsidR="00223694" w:rsidRPr="002F7121" w:rsidRDefault="003703AA" w:rsidP="00187103">
            <w:pPr>
              <w:spacing w:before="20"/>
              <w:rPr>
                <w:rFonts w:cs="Arial"/>
              </w:rPr>
            </w:pPr>
            <w:r>
              <w:rPr>
                <w:rFonts w:cs="Arial"/>
              </w:rPr>
              <w:t xml:space="preserve">Proposed amendments </w:t>
            </w:r>
            <w:r w:rsidR="00223694">
              <w:rPr>
                <w:rFonts w:cs="Arial"/>
              </w:rPr>
              <w:t>in Part 15D</w:t>
            </w:r>
          </w:p>
        </w:tc>
      </w:tr>
      <w:tr w:rsidR="00223694" w:rsidRPr="00977003" w14:paraId="11DBF574" w14:textId="77777777" w:rsidTr="007C110B">
        <w:trPr>
          <w:cantSplit/>
        </w:trPr>
        <w:tc>
          <w:tcPr>
            <w:tcW w:w="1428" w:type="pct"/>
          </w:tcPr>
          <w:p w14:paraId="4E4AA0F7" w14:textId="77777777" w:rsidR="00223694" w:rsidRDefault="00223694" w:rsidP="00223694">
            <w:pPr>
              <w:pStyle w:val="TableBodyText"/>
            </w:pPr>
            <w:r w:rsidRPr="00086338">
              <w:t>AEMO to publish production cost estimates in the GSOO</w:t>
            </w:r>
          </w:p>
        </w:tc>
        <w:tc>
          <w:tcPr>
            <w:tcW w:w="1888" w:type="pct"/>
          </w:tcPr>
          <w:p w14:paraId="200E0943" w14:textId="77777777" w:rsidR="00223694" w:rsidRPr="00977003" w:rsidRDefault="00223694" w:rsidP="00DA35AD">
            <w:pPr>
              <w:pStyle w:val="TableBodyText"/>
            </w:pPr>
            <w:r>
              <w:t>Update the GSOO description in the Rules.</w:t>
            </w:r>
          </w:p>
        </w:tc>
        <w:tc>
          <w:tcPr>
            <w:tcW w:w="1684" w:type="pct"/>
          </w:tcPr>
          <w:p w14:paraId="55860789" w14:textId="77777777" w:rsidR="00223694" w:rsidRPr="00977003" w:rsidRDefault="003703AA" w:rsidP="003703AA">
            <w:pPr>
              <w:pStyle w:val="TableBodyText"/>
              <w:tabs>
                <w:tab w:val="left" w:pos="1003"/>
              </w:tabs>
            </w:pPr>
            <w:r w:rsidRPr="00192BD0">
              <w:t xml:space="preserve">Proposed paragraph (ac) in rule </w:t>
            </w:r>
            <w:proofErr w:type="gramStart"/>
            <w:r w:rsidRPr="00192BD0">
              <w:t>135KB(</w:t>
            </w:r>
            <w:proofErr w:type="gramEnd"/>
            <w:r w:rsidRPr="00192BD0">
              <w:t>1).</w:t>
            </w:r>
          </w:p>
        </w:tc>
      </w:tr>
    </w:tbl>
    <w:p w14:paraId="3E641F15" w14:textId="77777777" w:rsidR="00682302" w:rsidRDefault="00117DFE" w:rsidP="00DC4D79">
      <w:pPr>
        <w:pStyle w:val="Heading2"/>
      </w:pPr>
      <w:bookmarkStart w:id="74" w:name="_Toc45015276"/>
      <w:r>
        <w:t xml:space="preserve">Short term </w:t>
      </w:r>
      <w:r w:rsidR="004F1347">
        <w:t xml:space="preserve">gas supply </w:t>
      </w:r>
      <w:r w:rsidR="007B435B">
        <w:t>agreements</w:t>
      </w:r>
      <w:bookmarkEnd w:id="74"/>
    </w:p>
    <w:tbl>
      <w:tblPr>
        <w:tblStyle w:val="ACCCTable11"/>
        <w:tblW w:w="5000" w:type="pct"/>
        <w:tblLook w:val="06A0" w:firstRow="1" w:lastRow="0" w:firstColumn="1" w:lastColumn="0" w:noHBand="1" w:noVBand="1"/>
      </w:tblPr>
      <w:tblGrid>
        <w:gridCol w:w="3967"/>
        <w:gridCol w:w="5382"/>
        <w:gridCol w:w="4600"/>
      </w:tblGrid>
      <w:tr w:rsidR="00086338" w:rsidRPr="002F7121" w14:paraId="34E36863"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left w:val="single" w:sz="4" w:space="0" w:color="auto"/>
              <w:bottom w:val="single" w:sz="4" w:space="0" w:color="auto"/>
            </w:tcBorders>
            <w:shd w:val="clear" w:color="auto" w:fill="005595"/>
          </w:tcPr>
          <w:p w14:paraId="22094E75" w14:textId="77777777" w:rsidR="00086338"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5A13B292" w14:textId="77777777" w:rsidR="00086338" w:rsidRPr="002F7121" w:rsidRDefault="00086338" w:rsidP="00187103">
            <w:pPr>
              <w:spacing w:before="20"/>
              <w:rPr>
                <w:rFonts w:cs="Arial"/>
              </w:rPr>
            </w:pPr>
            <w:r>
              <w:rPr>
                <w:rFonts w:cs="Arial"/>
              </w:rPr>
              <w:t>Proposed approach to implementation</w:t>
            </w:r>
          </w:p>
        </w:tc>
        <w:tc>
          <w:tcPr>
            <w:tcW w:w="1649" w:type="pct"/>
            <w:tcBorders>
              <w:bottom w:val="single" w:sz="4" w:space="0" w:color="auto"/>
              <w:right w:val="single" w:sz="4" w:space="0" w:color="auto"/>
            </w:tcBorders>
            <w:shd w:val="clear" w:color="auto" w:fill="005595"/>
            <w:hideMark/>
          </w:tcPr>
          <w:p w14:paraId="40B68399" w14:textId="77777777" w:rsidR="00086338" w:rsidRPr="002F7121" w:rsidRDefault="003703AA" w:rsidP="00187103">
            <w:pPr>
              <w:spacing w:before="20"/>
              <w:rPr>
                <w:rFonts w:cs="Arial"/>
              </w:rPr>
            </w:pPr>
            <w:r>
              <w:rPr>
                <w:rFonts w:cs="Arial"/>
              </w:rPr>
              <w:t xml:space="preserve">Proposed amendments in </w:t>
            </w:r>
            <w:r w:rsidR="00086338" w:rsidRPr="002F7121">
              <w:rPr>
                <w:rFonts w:cs="Arial"/>
              </w:rPr>
              <w:t>Part 18</w:t>
            </w:r>
          </w:p>
        </w:tc>
      </w:tr>
      <w:tr w:rsidR="00086338" w:rsidRPr="00977003" w14:paraId="5BDF1709" w14:textId="77777777" w:rsidTr="007C110B">
        <w:trPr>
          <w:cantSplit/>
        </w:trPr>
        <w:tc>
          <w:tcPr>
            <w:tcW w:w="1422" w:type="pct"/>
            <w:vMerge w:val="restart"/>
          </w:tcPr>
          <w:p w14:paraId="132875B5" w14:textId="77777777" w:rsidR="00086338" w:rsidRDefault="00086338" w:rsidP="00086338">
            <w:pPr>
              <w:pStyle w:val="TableBodyText"/>
            </w:pPr>
            <w:r w:rsidRPr="00086338">
              <w:t xml:space="preserve">Sellers under </w:t>
            </w:r>
            <w:r w:rsidR="005406E1">
              <w:t>short term</w:t>
            </w:r>
            <w:r w:rsidRPr="00086338">
              <w:t xml:space="preserve"> gas supply agreements (contract term of 12 months or less) to </w:t>
            </w:r>
            <w:r>
              <w:t>report the prices and key terms.</w:t>
            </w:r>
          </w:p>
          <w:p w14:paraId="12386F22" w14:textId="77777777" w:rsidR="00086338" w:rsidRDefault="007201CF" w:rsidP="009A1B4A">
            <w:pPr>
              <w:pStyle w:val="TableBodyText"/>
            </w:pPr>
            <w:r>
              <w:t xml:space="preserve">This is to exclude </w:t>
            </w:r>
            <w:r w:rsidRPr="007201CF">
              <w:t>agreements involving residential customers and business customers consuming less than 10 TJ p.a.</w:t>
            </w:r>
          </w:p>
          <w:p w14:paraId="1A0C1EAE" w14:textId="77777777" w:rsidR="009A1B4A" w:rsidRDefault="009A1B4A" w:rsidP="009A1B4A">
            <w:pPr>
              <w:pStyle w:val="TableBodyText"/>
            </w:pPr>
            <w:r>
              <w:t>The information is to be published on the BB.</w:t>
            </w:r>
          </w:p>
        </w:tc>
        <w:tc>
          <w:tcPr>
            <w:tcW w:w="1929" w:type="pct"/>
          </w:tcPr>
          <w:p w14:paraId="56DBF9A0" w14:textId="77777777" w:rsidR="006E5B53" w:rsidRDefault="009A1B4A" w:rsidP="007B3710">
            <w:pPr>
              <w:pStyle w:val="TableBodyText"/>
            </w:pPr>
            <w:r>
              <w:t xml:space="preserve">Define </w:t>
            </w:r>
            <w:r w:rsidR="00086338">
              <w:t xml:space="preserve">short term gas </w:t>
            </w:r>
            <w:r w:rsidR="007C110B">
              <w:t xml:space="preserve">supply </w:t>
            </w:r>
            <w:r w:rsidR="00086338">
              <w:t>transaction</w:t>
            </w:r>
            <w:r>
              <w:t>s</w:t>
            </w:r>
            <w:r w:rsidR="006E5B53">
              <w:t xml:space="preserve"> and in doing so, clarify that</w:t>
            </w:r>
            <w:r w:rsidR="007B3710">
              <w:t xml:space="preserve"> where there is a master trading agreement, each transaction under the agreement is a separate transaction for reporting purposes.</w:t>
            </w:r>
          </w:p>
          <w:p w14:paraId="5E01BCF2" w14:textId="36E070FB" w:rsidR="00F51552" w:rsidRPr="00977003" w:rsidRDefault="00F51552" w:rsidP="007B3710">
            <w:pPr>
              <w:pStyle w:val="TableBodyText"/>
            </w:pPr>
            <w:r>
              <w:t xml:space="preserve">Clarify </w:t>
            </w:r>
            <w:r w:rsidR="009B16E4">
              <w:t>that the term includes transactions delivered at an in-pipe point or by sub-allocation.</w:t>
            </w:r>
          </w:p>
        </w:tc>
        <w:tc>
          <w:tcPr>
            <w:tcW w:w="1649" w:type="pct"/>
          </w:tcPr>
          <w:p w14:paraId="03BA718D" w14:textId="77777777" w:rsidR="00086338" w:rsidRDefault="00086338" w:rsidP="007B3710">
            <w:pPr>
              <w:pStyle w:val="TableBodyText"/>
            </w:pPr>
            <w:r>
              <w:t xml:space="preserve">New definitions of </w:t>
            </w:r>
            <w:r w:rsidR="009A1B4A">
              <w:t xml:space="preserve">‘gas supply transaction’, </w:t>
            </w:r>
            <w:r w:rsidR="002F725D">
              <w:t xml:space="preserve">‘master trading agreement’, </w:t>
            </w:r>
            <w:r w:rsidR="009A1B4A">
              <w:t>‘</w:t>
            </w:r>
            <w:r>
              <w:t>short</w:t>
            </w:r>
            <w:r w:rsidR="009A1B4A">
              <w:t xml:space="preserve"> term gas supply transaction’</w:t>
            </w:r>
            <w:r w:rsidR="002F725D">
              <w:t xml:space="preserve"> and</w:t>
            </w:r>
            <w:r w:rsidR="009A1B4A">
              <w:t xml:space="preserve"> </w:t>
            </w:r>
            <w:r>
              <w:t>‘transaction’.</w:t>
            </w:r>
          </w:p>
          <w:p w14:paraId="22A2D556" w14:textId="636D0A3D" w:rsidR="001C1217" w:rsidRPr="00977003" w:rsidRDefault="00F51552" w:rsidP="007B3710">
            <w:pPr>
              <w:pStyle w:val="TableBodyText"/>
            </w:pPr>
            <w:r>
              <w:t>New definition of ‘supply’ to have the meaning in the Law and include transactions delivered at an in-pipe point or by sub-allocation.</w:t>
            </w:r>
          </w:p>
        </w:tc>
      </w:tr>
      <w:tr w:rsidR="00086338" w:rsidRPr="00977003" w14:paraId="76BBA93D" w14:textId="77777777" w:rsidTr="007C110B">
        <w:trPr>
          <w:cantSplit/>
        </w:trPr>
        <w:tc>
          <w:tcPr>
            <w:tcW w:w="1422" w:type="pct"/>
            <w:vMerge/>
          </w:tcPr>
          <w:p w14:paraId="1883A976" w14:textId="77777777" w:rsidR="00086338" w:rsidRDefault="00086338" w:rsidP="00086338">
            <w:pPr>
              <w:pStyle w:val="TableBodyText"/>
            </w:pPr>
          </w:p>
        </w:tc>
        <w:tc>
          <w:tcPr>
            <w:tcW w:w="1929" w:type="pct"/>
          </w:tcPr>
          <w:p w14:paraId="0E08CAA5" w14:textId="77777777" w:rsidR="00086338" w:rsidRDefault="00086338" w:rsidP="00086338">
            <w:pPr>
              <w:pStyle w:val="TableBodyText"/>
            </w:pPr>
            <w:r>
              <w:t>Define the transactions for which information must be reported on the BB and those that are excluded from the reporting requirement.</w:t>
            </w:r>
          </w:p>
        </w:tc>
        <w:tc>
          <w:tcPr>
            <w:tcW w:w="1649" w:type="pct"/>
          </w:tcPr>
          <w:p w14:paraId="0252C6F4" w14:textId="77777777" w:rsidR="00086338" w:rsidRDefault="00086338" w:rsidP="00086338">
            <w:pPr>
              <w:pStyle w:val="TableBodyText"/>
            </w:pPr>
            <w:r>
              <w:t xml:space="preserve">New definitions of ‘BB short term gas transaction’ </w:t>
            </w:r>
            <w:r w:rsidR="009A1B4A">
              <w:t xml:space="preserve">(which covers both short term gas supply transactions and short term gas swap transactions) </w:t>
            </w:r>
            <w:r>
              <w:t>and ‘excluded supply transaction’.</w:t>
            </w:r>
          </w:p>
          <w:p w14:paraId="3CA73C28" w14:textId="77777777" w:rsidR="002F725D" w:rsidRDefault="002F725D" w:rsidP="00086338">
            <w:pPr>
              <w:pStyle w:val="TableBodyText"/>
            </w:pPr>
            <w:r>
              <w:t xml:space="preserve">Amendments to the term ‘related party transaction’ </w:t>
            </w:r>
            <w:r w:rsidR="005718FE">
              <w:t xml:space="preserve">would </w:t>
            </w:r>
            <w:r>
              <w:t>extend it to related party gas supply and gas swap transactions</w:t>
            </w:r>
            <w:r w:rsidR="006955CF">
              <w:t>, which are excluded supply transactions</w:t>
            </w:r>
            <w:r>
              <w:t>.</w:t>
            </w:r>
          </w:p>
        </w:tc>
      </w:tr>
      <w:tr w:rsidR="00086338" w:rsidRPr="00977003" w14:paraId="48CCC88F" w14:textId="77777777" w:rsidTr="007C110B">
        <w:trPr>
          <w:cantSplit/>
        </w:trPr>
        <w:tc>
          <w:tcPr>
            <w:tcW w:w="1422" w:type="pct"/>
            <w:vMerge/>
          </w:tcPr>
          <w:p w14:paraId="185890C8" w14:textId="77777777" w:rsidR="00086338" w:rsidRDefault="00086338" w:rsidP="00086338">
            <w:pPr>
              <w:pStyle w:val="TableBodyText"/>
            </w:pPr>
          </w:p>
        </w:tc>
        <w:tc>
          <w:tcPr>
            <w:tcW w:w="1929" w:type="pct"/>
          </w:tcPr>
          <w:p w14:paraId="18B719CE" w14:textId="77777777" w:rsidR="00086338" w:rsidRDefault="00086338" w:rsidP="009A1B4A">
            <w:pPr>
              <w:pStyle w:val="TableBodyText"/>
            </w:pPr>
            <w:r>
              <w:t>Define the information to be reported about BB short term gas transactions.</w:t>
            </w:r>
            <w:r w:rsidR="007C110B">
              <w:t xml:space="preserve"> </w:t>
            </w:r>
          </w:p>
        </w:tc>
        <w:tc>
          <w:tcPr>
            <w:tcW w:w="1649" w:type="pct"/>
          </w:tcPr>
          <w:p w14:paraId="4365C2CF" w14:textId="77777777" w:rsidR="00086338" w:rsidRDefault="00086338" w:rsidP="00086338">
            <w:pPr>
              <w:pStyle w:val="TableBodyText"/>
            </w:pPr>
            <w:r>
              <w:t>New definition of ‘short term gas transaction information’ in rule 141(2B).</w:t>
            </w:r>
          </w:p>
          <w:p w14:paraId="31EF6A46" w14:textId="77777777" w:rsidR="00086338" w:rsidRDefault="00086338" w:rsidP="00086338">
            <w:pPr>
              <w:pStyle w:val="TableBodyText"/>
            </w:pPr>
            <w:r>
              <w:t>Related definitions are ‘gas seller’, ‘supply period’ and ‘trade date’.</w:t>
            </w:r>
          </w:p>
        </w:tc>
      </w:tr>
      <w:tr w:rsidR="00086338" w:rsidRPr="00977003" w14:paraId="7806977B" w14:textId="77777777" w:rsidTr="007C110B">
        <w:trPr>
          <w:cantSplit/>
        </w:trPr>
        <w:tc>
          <w:tcPr>
            <w:tcW w:w="1422" w:type="pct"/>
            <w:vMerge/>
          </w:tcPr>
          <w:p w14:paraId="7336FA93" w14:textId="77777777" w:rsidR="00086338" w:rsidRDefault="00086338" w:rsidP="00086338">
            <w:pPr>
              <w:pStyle w:val="TableBodyText"/>
            </w:pPr>
          </w:p>
        </w:tc>
        <w:tc>
          <w:tcPr>
            <w:tcW w:w="1929" w:type="pct"/>
          </w:tcPr>
          <w:p w14:paraId="1F37D76F" w14:textId="77777777" w:rsidR="009A1B4A" w:rsidRDefault="00086338" w:rsidP="009A1B4A">
            <w:pPr>
              <w:pStyle w:val="TableBodyText"/>
            </w:pPr>
            <w:r>
              <w:t xml:space="preserve">Identify </w:t>
            </w:r>
            <w:r w:rsidR="00087D42">
              <w:t xml:space="preserve">the party to the transaction </w:t>
            </w:r>
            <w:r>
              <w:t xml:space="preserve">who is responsible for providing the short term gas transaction information to AEMO. </w:t>
            </w:r>
          </w:p>
        </w:tc>
        <w:tc>
          <w:tcPr>
            <w:tcW w:w="1649" w:type="pct"/>
          </w:tcPr>
          <w:p w14:paraId="3C5084E2" w14:textId="77777777" w:rsidR="00086338" w:rsidRDefault="009A1B4A" w:rsidP="00087D42">
            <w:pPr>
              <w:pStyle w:val="TableBodyText"/>
            </w:pPr>
            <w:r>
              <w:t>Definition of ‘gas seller’</w:t>
            </w:r>
            <w:r w:rsidR="003703AA">
              <w:t xml:space="preserve"> and rule </w:t>
            </w:r>
            <w:proofErr w:type="gramStart"/>
            <w:r w:rsidR="00087D42">
              <w:t>190CB(</w:t>
            </w:r>
            <w:proofErr w:type="gramEnd"/>
            <w:r w:rsidR="00087D42">
              <w:t>1).</w:t>
            </w:r>
          </w:p>
        </w:tc>
      </w:tr>
      <w:tr w:rsidR="009A1B4A" w:rsidRPr="00977003" w14:paraId="4E3D007D" w14:textId="77777777" w:rsidTr="007C110B">
        <w:trPr>
          <w:cantSplit/>
        </w:trPr>
        <w:tc>
          <w:tcPr>
            <w:tcW w:w="1422" w:type="pct"/>
            <w:vMerge/>
          </w:tcPr>
          <w:p w14:paraId="2FEE5188" w14:textId="77777777" w:rsidR="009A1B4A" w:rsidRDefault="009A1B4A" w:rsidP="00086338">
            <w:pPr>
              <w:pStyle w:val="TableBodyText"/>
            </w:pPr>
          </w:p>
        </w:tc>
        <w:tc>
          <w:tcPr>
            <w:tcW w:w="1929" w:type="pct"/>
          </w:tcPr>
          <w:p w14:paraId="64BA8E05" w14:textId="77777777" w:rsidR="00B53574" w:rsidRDefault="009A1B4A" w:rsidP="00B53574">
            <w:pPr>
              <w:pStyle w:val="TableBodyText"/>
            </w:pPr>
            <w:r>
              <w:t>Provide for</w:t>
            </w:r>
            <w:r w:rsidR="00B53574">
              <w:t>:</w:t>
            </w:r>
          </w:p>
          <w:p w14:paraId="63E737D2" w14:textId="77777777" w:rsidR="009A1B4A" w:rsidRDefault="009A1B4A" w:rsidP="00B53574">
            <w:pPr>
              <w:pStyle w:val="Newtablebullet"/>
            </w:pPr>
            <w:r>
              <w:t>AEMO to report GSH transactions</w:t>
            </w:r>
            <w:r w:rsidR="00087D42">
              <w:t xml:space="preserve"> and the gas seller to report all others</w:t>
            </w:r>
            <w:r w:rsidR="002F725D">
              <w:t>;</w:t>
            </w:r>
          </w:p>
          <w:p w14:paraId="3855639B" w14:textId="77777777" w:rsidR="002F725D" w:rsidRDefault="002F725D" w:rsidP="00B53574">
            <w:pPr>
              <w:pStyle w:val="Newtablebullet"/>
            </w:pPr>
            <w:r>
              <w:t>the time at which the information must be provided; and</w:t>
            </w:r>
          </w:p>
          <w:p w14:paraId="3EDB15DD" w14:textId="77777777" w:rsidR="00B53574" w:rsidRDefault="00B53574" w:rsidP="002F725D">
            <w:pPr>
              <w:pStyle w:val="Newtablebullet"/>
            </w:pPr>
            <w:proofErr w:type="gramStart"/>
            <w:r>
              <w:t>a</w:t>
            </w:r>
            <w:proofErr w:type="gramEnd"/>
            <w:r>
              <w:t xml:space="preserve"> person with a reporting obligation who is not registered under Part 18 to report using an agent if they wish to do so</w:t>
            </w:r>
            <w:r w:rsidR="002F725D">
              <w:t>.</w:t>
            </w:r>
          </w:p>
        </w:tc>
        <w:tc>
          <w:tcPr>
            <w:tcW w:w="1649" w:type="pct"/>
          </w:tcPr>
          <w:p w14:paraId="75E28FFB" w14:textId="77777777" w:rsidR="00B53574" w:rsidRDefault="00087D42" w:rsidP="00B53574">
            <w:pPr>
              <w:pStyle w:val="TableBodyText"/>
            </w:pPr>
            <w:r>
              <w:t xml:space="preserve">Rule </w:t>
            </w:r>
            <w:r w:rsidR="009A1B4A">
              <w:t>190C</w:t>
            </w:r>
            <w:r>
              <w:t>B</w:t>
            </w:r>
            <w:r w:rsidR="009A1B4A">
              <w:t xml:space="preserve"> and rule 190E.</w:t>
            </w:r>
            <w:r w:rsidR="00B53574">
              <w:t xml:space="preserve"> </w:t>
            </w:r>
          </w:p>
          <w:p w14:paraId="0FBA8214" w14:textId="77777777" w:rsidR="00B53574" w:rsidRDefault="00B53574" w:rsidP="00B53574">
            <w:pPr>
              <w:pStyle w:val="TableBodyText"/>
            </w:pPr>
            <w:r>
              <w:t xml:space="preserve">For use of an agent, extend rule 190D and move it to rule </w:t>
            </w:r>
            <w:r w:rsidR="00601104">
              <w:t xml:space="preserve">162. </w:t>
            </w:r>
            <w:r>
              <w:t>Change the term ‘capacity transaction reporting agent’ to ‘</w:t>
            </w:r>
            <w:r w:rsidR="00F949A9">
              <w:t xml:space="preserve">BB </w:t>
            </w:r>
            <w:r>
              <w:t>reporting agent’</w:t>
            </w:r>
            <w:r w:rsidR="00606FE4">
              <w:t xml:space="preserve"> throughout</w:t>
            </w:r>
            <w:r>
              <w:t>.</w:t>
            </w:r>
          </w:p>
          <w:p w14:paraId="011CF058" w14:textId="77777777" w:rsidR="009A1B4A" w:rsidRDefault="00B53574" w:rsidP="00F949A9">
            <w:pPr>
              <w:pStyle w:val="TableBodyText"/>
            </w:pPr>
            <w:r w:rsidRPr="00192BD0">
              <w:t xml:space="preserve">A transitional rule will provide for the registration of existing </w:t>
            </w:r>
            <w:r w:rsidR="00F949A9" w:rsidRPr="00192BD0">
              <w:t xml:space="preserve">capacity </w:t>
            </w:r>
            <w:r w:rsidRPr="00192BD0">
              <w:t>transaction reporting agents to continue using the new title ‘</w:t>
            </w:r>
            <w:r w:rsidR="00F949A9" w:rsidRPr="00192BD0">
              <w:t>BB</w:t>
            </w:r>
            <w:r w:rsidRPr="00192BD0">
              <w:t xml:space="preserve"> reporting agent’.</w:t>
            </w:r>
          </w:p>
        </w:tc>
      </w:tr>
      <w:tr w:rsidR="00086338" w:rsidRPr="00977003" w14:paraId="5F07C84B" w14:textId="77777777" w:rsidTr="007C110B">
        <w:trPr>
          <w:cantSplit/>
        </w:trPr>
        <w:tc>
          <w:tcPr>
            <w:tcW w:w="1422" w:type="pct"/>
            <w:vMerge/>
          </w:tcPr>
          <w:p w14:paraId="15488ECF" w14:textId="77777777" w:rsidR="00086338" w:rsidRDefault="00086338" w:rsidP="00086338">
            <w:pPr>
              <w:pStyle w:val="TableBodyText"/>
            </w:pPr>
          </w:p>
        </w:tc>
        <w:tc>
          <w:tcPr>
            <w:tcW w:w="1929" w:type="pct"/>
          </w:tcPr>
          <w:p w14:paraId="1B9B6083" w14:textId="77777777" w:rsidR="00B53574" w:rsidRDefault="00B53574" w:rsidP="00086338">
            <w:pPr>
              <w:pStyle w:val="TableBodyText"/>
            </w:pPr>
            <w:r>
              <w:t>Provide for AEMO to publish the information but:</w:t>
            </w:r>
          </w:p>
          <w:p w14:paraId="32D235BE" w14:textId="77777777" w:rsidR="00086338" w:rsidRDefault="00B53574" w:rsidP="00B53574">
            <w:pPr>
              <w:pStyle w:val="Newtablebullet"/>
            </w:pPr>
            <w:r>
              <w:t>p</w:t>
            </w:r>
            <w:r w:rsidR="00086338">
              <w:t>reclude A</w:t>
            </w:r>
            <w:r>
              <w:t xml:space="preserve">EMO from publishing </w:t>
            </w:r>
            <w:r w:rsidR="00742BF6">
              <w:t xml:space="preserve">trading </w:t>
            </w:r>
            <w:r>
              <w:t>party names</w:t>
            </w:r>
            <w:r w:rsidR="005718FE">
              <w:t>;</w:t>
            </w:r>
          </w:p>
          <w:p w14:paraId="45647DAF" w14:textId="77777777" w:rsidR="00B53574" w:rsidRDefault="00B53574" w:rsidP="00B53574">
            <w:pPr>
              <w:pStyle w:val="Newtablebullet"/>
            </w:pPr>
            <w:r>
              <w:t>require AEMO to aggregate information before publication</w:t>
            </w:r>
            <w:r w:rsidR="005718FE">
              <w:t xml:space="preserve">; </w:t>
            </w:r>
          </w:p>
          <w:p w14:paraId="3B367D3D" w14:textId="77777777" w:rsidR="007B3710" w:rsidRDefault="00B53574" w:rsidP="007B3710">
            <w:pPr>
              <w:pStyle w:val="Newtablebullet"/>
            </w:pPr>
            <w:r>
              <w:t>provide for AEMO to determine an aggregation method that results in aggregation by jurisdiction</w:t>
            </w:r>
            <w:r w:rsidR="007B3710">
              <w:t xml:space="preserve">, </w:t>
            </w:r>
            <w:r w:rsidR="00756A01">
              <w:t>trading location at a gas supply hub</w:t>
            </w:r>
            <w:r w:rsidR="007B3710">
              <w:t>, combination of trading locations or other location specified in the BB Procedures</w:t>
            </w:r>
            <w:r w:rsidR="000300AA">
              <w:t>;</w:t>
            </w:r>
          </w:p>
          <w:p w14:paraId="346F5EC2" w14:textId="77777777" w:rsidR="007B3710" w:rsidRDefault="00B53574" w:rsidP="007B3710">
            <w:pPr>
              <w:pStyle w:val="Newtablebullet"/>
            </w:pPr>
            <w:r>
              <w:t>allow for exclusion of outlier transactions</w:t>
            </w:r>
            <w:r w:rsidR="000300AA">
              <w:t xml:space="preserve">; and </w:t>
            </w:r>
          </w:p>
          <w:p w14:paraId="2F930AE6" w14:textId="77777777" w:rsidR="00B53574" w:rsidRDefault="007B3710" w:rsidP="007B3710">
            <w:pPr>
              <w:pStyle w:val="Newtablebullet"/>
            </w:pPr>
            <w:proofErr w:type="gramStart"/>
            <w:r>
              <w:t>require</w:t>
            </w:r>
            <w:proofErr w:type="gramEnd"/>
            <w:r>
              <w:t xml:space="preserve"> AEMO </w:t>
            </w:r>
            <w:r w:rsidR="002F725D">
              <w:t xml:space="preserve">to </w:t>
            </w:r>
            <w:r w:rsidR="00B53574">
              <w:t xml:space="preserve">publish an overview of the </w:t>
            </w:r>
            <w:r>
              <w:t xml:space="preserve">aggregation </w:t>
            </w:r>
            <w:r w:rsidR="00B53574">
              <w:t>method on the Bulletin Board.</w:t>
            </w:r>
          </w:p>
        </w:tc>
        <w:tc>
          <w:tcPr>
            <w:tcW w:w="1649" w:type="pct"/>
          </w:tcPr>
          <w:p w14:paraId="3715EBE7" w14:textId="77777777" w:rsidR="00086338" w:rsidRDefault="00086338" w:rsidP="00086338">
            <w:pPr>
              <w:pStyle w:val="TableBodyText"/>
            </w:pPr>
            <w:r>
              <w:t>R</w:t>
            </w:r>
            <w:r w:rsidR="00B53574">
              <w:t>ule 195C</w:t>
            </w:r>
            <w:r w:rsidR="002F725D">
              <w:t>.</w:t>
            </w:r>
          </w:p>
        </w:tc>
      </w:tr>
    </w:tbl>
    <w:p w14:paraId="489BDB1C" w14:textId="77777777" w:rsidR="007201CF" w:rsidRDefault="007201CF" w:rsidP="008A645C">
      <w:pPr>
        <w:pStyle w:val="Heading2"/>
      </w:pPr>
      <w:bookmarkStart w:id="75" w:name="_Toc45015277"/>
      <w:r>
        <w:t>Short term gas swaps</w:t>
      </w:r>
      <w:bookmarkEnd w:id="75"/>
    </w:p>
    <w:tbl>
      <w:tblPr>
        <w:tblStyle w:val="ACCCTable11"/>
        <w:tblW w:w="5000" w:type="pct"/>
        <w:tblLook w:val="06A0" w:firstRow="1" w:lastRow="0" w:firstColumn="1" w:lastColumn="0" w:noHBand="1" w:noVBand="1"/>
      </w:tblPr>
      <w:tblGrid>
        <w:gridCol w:w="3967"/>
        <w:gridCol w:w="5382"/>
        <w:gridCol w:w="4600"/>
      </w:tblGrid>
      <w:tr w:rsidR="009A1B4A" w:rsidRPr="002F7121" w14:paraId="3E17CDD0"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left w:val="single" w:sz="4" w:space="0" w:color="auto"/>
              <w:bottom w:val="single" w:sz="4" w:space="0" w:color="auto"/>
            </w:tcBorders>
            <w:shd w:val="clear" w:color="auto" w:fill="005595"/>
          </w:tcPr>
          <w:p w14:paraId="1E31904C" w14:textId="77777777" w:rsidR="009A1B4A" w:rsidRDefault="009A1B4A" w:rsidP="00187103">
            <w:pPr>
              <w:spacing w:before="20"/>
              <w:rPr>
                <w:rFonts w:cs="Arial"/>
              </w:rPr>
            </w:pPr>
            <w:r>
              <w:rPr>
                <w:rFonts w:cs="Arial"/>
              </w:rPr>
              <w:t>Recommended measure</w:t>
            </w:r>
          </w:p>
        </w:tc>
        <w:tc>
          <w:tcPr>
            <w:tcW w:w="1929" w:type="pct"/>
            <w:tcBorders>
              <w:bottom w:val="single" w:sz="4" w:space="0" w:color="auto"/>
            </w:tcBorders>
            <w:shd w:val="clear" w:color="auto" w:fill="005595"/>
            <w:hideMark/>
          </w:tcPr>
          <w:p w14:paraId="6E798641" w14:textId="77777777" w:rsidR="009A1B4A" w:rsidRPr="002F7121" w:rsidRDefault="009A1B4A" w:rsidP="00187103">
            <w:pPr>
              <w:spacing w:before="20"/>
              <w:rPr>
                <w:rFonts w:cs="Arial"/>
              </w:rPr>
            </w:pPr>
            <w:r>
              <w:rPr>
                <w:rFonts w:cs="Arial"/>
              </w:rPr>
              <w:t>Proposed approach to implementation</w:t>
            </w:r>
          </w:p>
        </w:tc>
        <w:tc>
          <w:tcPr>
            <w:tcW w:w="1649" w:type="pct"/>
            <w:tcBorders>
              <w:bottom w:val="single" w:sz="4" w:space="0" w:color="auto"/>
              <w:right w:val="single" w:sz="4" w:space="0" w:color="auto"/>
            </w:tcBorders>
            <w:shd w:val="clear" w:color="auto" w:fill="005595"/>
            <w:hideMark/>
          </w:tcPr>
          <w:p w14:paraId="472052DD" w14:textId="77777777" w:rsidR="009A1B4A" w:rsidRPr="002F7121" w:rsidRDefault="0014087B" w:rsidP="00187103">
            <w:pPr>
              <w:spacing w:before="20"/>
              <w:rPr>
                <w:rFonts w:cs="Arial"/>
              </w:rPr>
            </w:pPr>
            <w:r>
              <w:rPr>
                <w:rFonts w:cs="Arial"/>
              </w:rPr>
              <w:t>Proposed amendments</w:t>
            </w:r>
            <w:r w:rsidR="009A1B4A">
              <w:rPr>
                <w:rFonts w:cs="Arial"/>
              </w:rPr>
              <w:t xml:space="preserve"> in </w:t>
            </w:r>
            <w:r w:rsidR="009A1B4A" w:rsidRPr="002F7121">
              <w:rPr>
                <w:rFonts w:cs="Arial"/>
              </w:rPr>
              <w:t>Part 18</w:t>
            </w:r>
          </w:p>
        </w:tc>
      </w:tr>
      <w:tr w:rsidR="007C110B" w:rsidRPr="00977003" w14:paraId="6B3CD71F" w14:textId="77777777" w:rsidTr="007C110B">
        <w:trPr>
          <w:cantSplit/>
        </w:trPr>
        <w:tc>
          <w:tcPr>
            <w:tcW w:w="1422" w:type="pct"/>
            <w:vMerge w:val="restart"/>
          </w:tcPr>
          <w:p w14:paraId="323F8320" w14:textId="77777777" w:rsidR="007C110B" w:rsidRDefault="007C110B" w:rsidP="007C110B">
            <w:pPr>
              <w:pStyle w:val="TableBodyText"/>
            </w:pPr>
            <w:r w:rsidRPr="00086338">
              <w:t xml:space="preserve">Sellers under </w:t>
            </w:r>
            <w:r w:rsidR="005406E1">
              <w:t>short term</w:t>
            </w:r>
            <w:r w:rsidRPr="00086338">
              <w:t xml:space="preserve"> gas supply agreements (contract term of 12 months or less) to </w:t>
            </w:r>
            <w:r>
              <w:t>report the prices and key terms, for publication on the BB.</w:t>
            </w:r>
          </w:p>
          <w:p w14:paraId="49961EF1" w14:textId="77777777" w:rsidR="007C110B" w:rsidRDefault="007C110B" w:rsidP="007C110B">
            <w:pPr>
              <w:pStyle w:val="TableBodyText"/>
            </w:pPr>
            <w:r>
              <w:t xml:space="preserve">This is to exclude </w:t>
            </w:r>
            <w:r w:rsidRPr="007201CF">
              <w:t>agreements involving residential customers and business customers consuming less than 10 TJ p.a.</w:t>
            </w:r>
          </w:p>
          <w:p w14:paraId="1F2DE5DC" w14:textId="77777777" w:rsidR="007C110B" w:rsidRPr="002F725D" w:rsidRDefault="007C110B" w:rsidP="007C110B">
            <w:pPr>
              <w:pStyle w:val="TableBodyText"/>
            </w:pPr>
            <w:r w:rsidRPr="00086338">
              <w:lastRenderedPageBreak/>
              <w:t xml:space="preserve">Sellers under </w:t>
            </w:r>
            <w:r w:rsidR="005406E1">
              <w:t>short term</w:t>
            </w:r>
            <w:r w:rsidRPr="00086338">
              <w:t xml:space="preserve"> gas swaps (contract term of 12 months or less) to report prices and key terms.</w:t>
            </w:r>
          </w:p>
          <w:p w14:paraId="3ED7E863" w14:textId="77777777" w:rsidR="002F725D" w:rsidRDefault="002F725D" w:rsidP="007C110B">
            <w:pPr>
              <w:pStyle w:val="TableBodyText"/>
            </w:pPr>
            <w:r w:rsidRPr="002F725D">
              <w:t>The information is</w:t>
            </w:r>
            <w:r>
              <w:t xml:space="preserve"> to be published on the BB.</w:t>
            </w:r>
          </w:p>
        </w:tc>
        <w:tc>
          <w:tcPr>
            <w:tcW w:w="1929" w:type="pct"/>
          </w:tcPr>
          <w:p w14:paraId="7BFAF208" w14:textId="77777777" w:rsidR="007C110B" w:rsidRDefault="007C110B" w:rsidP="007C110B">
            <w:pPr>
              <w:pStyle w:val="TableBodyText"/>
            </w:pPr>
            <w:r>
              <w:lastRenderedPageBreak/>
              <w:t>Define short term gas swap transactions to include both locational and time based swaps.</w:t>
            </w:r>
            <w:r w:rsidR="00221AAC">
              <w:t xml:space="preserve"> In addition, clarify that:</w:t>
            </w:r>
          </w:p>
          <w:p w14:paraId="65241577" w14:textId="77777777" w:rsidR="00221AAC" w:rsidRDefault="00221AAC" w:rsidP="00221AAC">
            <w:pPr>
              <w:pStyle w:val="Newtablebullet"/>
            </w:pPr>
            <w:r>
              <w:t>where there is a master trading agreement, each transaction under the agreement is a separate transaction for reporting purposes</w:t>
            </w:r>
            <w:r w:rsidR="005718FE">
              <w:t>; and</w:t>
            </w:r>
          </w:p>
          <w:p w14:paraId="34585A1C" w14:textId="258861CF" w:rsidR="00221AAC" w:rsidRPr="00977003" w:rsidRDefault="00F51552" w:rsidP="00F51552">
            <w:pPr>
              <w:pStyle w:val="Newtablebullet"/>
            </w:pPr>
            <w:proofErr w:type="gramStart"/>
            <w:r>
              <w:t>the</w:t>
            </w:r>
            <w:proofErr w:type="gramEnd"/>
            <w:r>
              <w:t xml:space="preserve"> term includes swaps </w:t>
            </w:r>
            <w:r w:rsidR="00221AAC">
              <w:t>deliver</w:t>
            </w:r>
            <w:r>
              <w:t>ed</w:t>
            </w:r>
            <w:r w:rsidR="00221AAC">
              <w:t xml:space="preserve"> at an in-pipe point or by sub-allocation.</w:t>
            </w:r>
          </w:p>
        </w:tc>
        <w:tc>
          <w:tcPr>
            <w:tcW w:w="1649" w:type="pct"/>
          </w:tcPr>
          <w:p w14:paraId="3C85C2E2" w14:textId="77777777" w:rsidR="007C110B" w:rsidRDefault="002F725D" w:rsidP="007C110B">
            <w:pPr>
              <w:pStyle w:val="TableBodyText"/>
            </w:pPr>
            <w:r>
              <w:t>New definitions of ‘gas supply transaction’, ‘master trading agreement’, ‘short term gas supply transaction’ and ‘transaction’.</w:t>
            </w:r>
          </w:p>
          <w:p w14:paraId="7292225A" w14:textId="013A1ACC" w:rsidR="001C1217" w:rsidRPr="00977003" w:rsidRDefault="00F51552" w:rsidP="00F51552">
            <w:pPr>
              <w:pStyle w:val="TableBodyText"/>
            </w:pPr>
            <w:r>
              <w:t xml:space="preserve">New definition of </w:t>
            </w:r>
            <w:r w:rsidR="001C1217">
              <w:t xml:space="preserve">‘supply’ </w:t>
            </w:r>
            <w:r>
              <w:t xml:space="preserve">to have the meaning </w:t>
            </w:r>
            <w:r w:rsidR="001C1217">
              <w:t>in the Law</w:t>
            </w:r>
            <w:r>
              <w:t xml:space="preserve"> and include transactions delivered at an in-pipe point or by sub-allocation</w:t>
            </w:r>
            <w:r w:rsidR="001C1217">
              <w:t>.</w:t>
            </w:r>
          </w:p>
        </w:tc>
      </w:tr>
      <w:tr w:rsidR="007C110B" w14:paraId="32949798" w14:textId="77777777" w:rsidTr="007C110B">
        <w:trPr>
          <w:cantSplit/>
        </w:trPr>
        <w:tc>
          <w:tcPr>
            <w:tcW w:w="1422" w:type="pct"/>
            <w:vMerge/>
          </w:tcPr>
          <w:p w14:paraId="1815A6FE" w14:textId="77777777" w:rsidR="007C110B" w:rsidRDefault="007C110B" w:rsidP="007C110B">
            <w:pPr>
              <w:pStyle w:val="TableBodyText"/>
            </w:pPr>
          </w:p>
        </w:tc>
        <w:tc>
          <w:tcPr>
            <w:tcW w:w="1929" w:type="pct"/>
          </w:tcPr>
          <w:p w14:paraId="11B412F4" w14:textId="77777777" w:rsidR="007C110B" w:rsidRDefault="007C110B" w:rsidP="007C110B">
            <w:pPr>
              <w:pStyle w:val="TableBodyText"/>
            </w:pPr>
            <w:r>
              <w:t>Define the transactions for which information must be reported on the BB and those that are excluded from the reporting requirement.</w:t>
            </w:r>
          </w:p>
        </w:tc>
        <w:tc>
          <w:tcPr>
            <w:tcW w:w="1649" w:type="pct"/>
          </w:tcPr>
          <w:p w14:paraId="4447C25A" w14:textId="77777777" w:rsidR="007C110B" w:rsidRDefault="007C110B" w:rsidP="007C110B">
            <w:pPr>
              <w:pStyle w:val="TableBodyText"/>
            </w:pPr>
            <w:r>
              <w:t>New definitions of ‘BB short term gas transaction’ (which covers both short term gas supply transactions and short term gas swap transactions) and ‘excluded supply transaction’.</w:t>
            </w:r>
          </w:p>
          <w:p w14:paraId="0FF7DAE1" w14:textId="77777777" w:rsidR="00B03736" w:rsidRDefault="002F725D" w:rsidP="002F725D">
            <w:pPr>
              <w:pStyle w:val="TableBodyText"/>
            </w:pPr>
            <w:r>
              <w:t>Amendments to the</w:t>
            </w:r>
            <w:r w:rsidR="00B03736">
              <w:t xml:space="preserve"> term ‘related party transaction’ </w:t>
            </w:r>
            <w:r>
              <w:t xml:space="preserve">extend it to </w:t>
            </w:r>
            <w:r w:rsidR="00B03736">
              <w:t xml:space="preserve">related party gas supply </w:t>
            </w:r>
            <w:r>
              <w:t>and</w:t>
            </w:r>
            <w:r w:rsidR="00B03736">
              <w:t xml:space="preserve"> gas swap transactions</w:t>
            </w:r>
            <w:r w:rsidR="00815725">
              <w:t>, which are excluded supply transactions</w:t>
            </w:r>
            <w:r w:rsidR="00B03736">
              <w:t xml:space="preserve">. </w:t>
            </w:r>
          </w:p>
        </w:tc>
      </w:tr>
      <w:tr w:rsidR="007C110B" w14:paraId="70D24AF0" w14:textId="77777777" w:rsidTr="007C110B">
        <w:trPr>
          <w:cantSplit/>
        </w:trPr>
        <w:tc>
          <w:tcPr>
            <w:tcW w:w="1422" w:type="pct"/>
            <w:vMerge/>
          </w:tcPr>
          <w:p w14:paraId="0988825B" w14:textId="77777777" w:rsidR="007C110B" w:rsidRDefault="007C110B" w:rsidP="007C110B">
            <w:pPr>
              <w:pStyle w:val="TableBodyText"/>
            </w:pPr>
          </w:p>
        </w:tc>
        <w:tc>
          <w:tcPr>
            <w:tcW w:w="1929" w:type="pct"/>
          </w:tcPr>
          <w:p w14:paraId="54FD9242" w14:textId="77777777" w:rsidR="007C110B" w:rsidRDefault="007C110B" w:rsidP="007C110B">
            <w:pPr>
              <w:pStyle w:val="TableBodyText"/>
            </w:pPr>
            <w:r>
              <w:t>Define the information to be reported about BB short term gas transactions. For short term gas swaps, require this to include the type of swap (locational or time based).</w:t>
            </w:r>
          </w:p>
        </w:tc>
        <w:tc>
          <w:tcPr>
            <w:tcW w:w="1649" w:type="pct"/>
          </w:tcPr>
          <w:p w14:paraId="1EE0C678" w14:textId="77777777" w:rsidR="007C110B" w:rsidRDefault="007C110B" w:rsidP="007C110B">
            <w:pPr>
              <w:pStyle w:val="TableBodyText"/>
            </w:pPr>
            <w:r>
              <w:t>New definition of ‘short term gas transaction information’ in rule 141(2B).</w:t>
            </w:r>
          </w:p>
          <w:p w14:paraId="302AB0ED" w14:textId="77777777" w:rsidR="007C110B" w:rsidRDefault="007C110B" w:rsidP="007C110B">
            <w:pPr>
              <w:pStyle w:val="TableBodyText"/>
            </w:pPr>
            <w:r>
              <w:t>Related definitions are ‘gas seller’, ‘supply period’ and ‘trade date’.</w:t>
            </w:r>
          </w:p>
        </w:tc>
      </w:tr>
      <w:tr w:rsidR="007C110B" w14:paraId="62CCACA8" w14:textId="77777777" w:rsidTr="007C110B">
        <w:trPr>
          <w:cantSplit/>
        </w:trPr>
        <w:tc>
          <w:tcPr>
            <w:tcW w:w="1422" w:type="pct"/>
            <w:vMerge/>
          </w:tcPr>
          <w:p w14:paraId="4E91C708" w14:textId="77777777" w:rsidR="007C110B" w:rsidRDefault="007C110B" w:rsidP="007C110B">
            <w:pPr>
              <w:pStyle w:val="TableBodyText"/>
            </w:pPr>
          </w:p>
        </w:tc>
        <w:tc>
          <w:tcPr>
            <w:tcW w:w="1929" w:type="pct"/>
          </w:tcPr>
          <w:p w14:paraId="498D62D6" w14:textId="77777777" w:rsidR="007C110B" w:rsidRDefault="007C110B" w:rsidP="007C110B">
            <w:pPr>
              <w:pStyle w:val="TableBodyText"/>
            </w:pPr>
            <w:r>
              <w:t xml:space="preserve">Identify </w:t>
            </w:r>
            <w:r w:rsidR="00087D42">
              <w:t xml:space="preserve">the party to the transaction </w:t>
            </w:r>
            <w:r>
              <w:t xml:space="preserve">who is responsible for providing the short term gas transaction information to AEMO. In the case of a gas swap, </w:t>
            </w:r>
            <w:r w:rsidR="00815725">
              <w:t xml:space="preserve">there is no ‘seller’, so </w:t>
            </w:r>
            <w:r>
              <w:t>both parties</w:t>
            </w:r>
            <w:r w:rsidR="00815725">
              <w:t xml:space="preserve"> will be required to provide the information to AEMO</w:t>
            </w:r>
            <w:r>
              <w:t>.</w:t>
            </w:r>
          </w:p>
        </w:tc>
        <w:tc>
          <w:tcPr>
            <w:tcW w:w="1649" w:type="pct"/>
          </w:tcPr>
          <w:p w14:paraId="501578EB" w14:textId="77777777" w:rsidR="007C110B" w:rsidRDefault="007C110B" w:rsidP="007C110B">
            <w:pPr>
              <w:pStyle w:val="TableBodyText"/>
            </w:pPr>
            <w:r>
              <w:t>New definition of ‘gas seller’</w:t>
            </w:r>
            <w:r w:rsidR="002F725D">
              <w:t>, paragraph (b)</w:t>
            </w:r>
            <w:r>
              <w:t>.</w:t>
            </w:r>
          </w:p>
        </w:tc>
      </w:tr>
      <w:tr w:rsidR="00B53574" w14:paraId="7DFE0A15" w14:textId="77777777" w:rsidTr="007C110B">
        <w:trPr>
          <w:cantSplit/>
        </w:trPr>
        <w:tc>
          <w:tcPr>
            <w:tcW w:w="1422" w:type="pct"/>
            <w:vMerge/>
          </w:tcPr>
          <w:p w14:paraId="61088857" w14:textId="77777777" w:rsidR="00B53574" w:rsidRDefault="00B53574" w:rsidP="00B53574">
            <w:pPr>
              <w:pStyle w:val="TableBodyText"/>
            </w:pPr>
          </w:p>
        </w:tc>
        <w:tc>
          <w:tcPr>
            <w:tcW w:w="1929" w:type="pct"/>
          </w:tcPr>
          <w:p w14:paraId="1F634D3F" w14:textId="77777777" w:rsidR="00B53574" w:rsidRDefault="00B53574" w:rsidP="00B53574">
            <w:pPr>
              <w:pStyle w:val="TableBodyText"/>
            </w:pPr>
            <w:r>
              <w:t>Provide for:</w:t>
            </w:r>
          </w:p>
          <w:p w14:paraId="3F9722FC" w14:textId="77777777" w:rsidR="00B53574" w:rsidRDefault="00B53574" w:rsidP="00B53574">
            <w:pPr>
              <w:pStyle w:val="Newtablebullet"/>
            </w:pPr>
            <w:r>
              <w:t>AEMO to report GSH transactions and the gas seller to report all others</w:t>
            </w:r>
            <w:r w:rsidR="002F725D">
              <w:t>;</w:t>
            </w:r>
          </w:p>
          <w:p w14:paraId="2425E0C2" w14:textId="77777777" w:rsidR="002F725D" w:rsidRDefault="002F725D" w:rsidP="00B53574">
            <w:pPr>
              <w:pStyle w:val="Newtablebullet"/>
            </w:pPr>
            <w:r>
              <w:t>the time at which the information must be provided; and</w:t>
            </w:r>
          </w:p>
          <w:p w14:paraId="5C2C49B1" w14:textId="77777777" w:rsidR="00B53574" w:rsidRDefault="00B53574" w:rsidP="002F725D">
            <w:pPr>
              <w:pStyle w:val="Newtablebullet"/>
            </w:pPr>
            <w:proofErr w:type="gramStart"/>
            <w:r>
              <w:t>a</w:t>
            </w:r>
            <w:proofErr w:type="gramEnd"/>
            <w:r>
              <w:t xml:space="preserve"> person with a reporting obligation who is not registered under Part 18 to report using an agent if they wish to do so</w:t>
            </w:r>
            <w:r w:rsidR="002F725D">
              <w:t>.</w:t>
            </w:r>
          </w:p>
        </w:tc>
        <w:tc>
          <w:tcPr>
            <w:tcW w:w="1649" w:type="pct"/>
          </w:tcPr>
          <w:p w14:paraId="2A13F5A0" w14:textId="77777777" w:rsidR="00B53574" w:rsidRDefault="00B53574" w:rsidP="00B53574">
            <w:pPr>
              <w:pStyle w:val="TableBodyText"/>
            </w:pPr>
            <w:r>
              <w:t xml:space="preserve">Rule 190CB and rule 190E. </w:t>
            </w:r>
          </w:p>
          <w:p w14:paraId="5AC2CB4C" w14:textId="77777777" w:rsidR="00B53574" w:rsidRDefault="00B53574" w:rsidP="00192BD0">
            <w:pPr>
              <w:pStyle w:val="TableBodyText"/>
            </w:pPr>
            <w:r>
              <w:t xml:space="preserve">For use of an agent, extend rule 190D and move it to rule </w:t>
            </w:r>
            <w:r w:rsidR="00601104">
              <w:t>162</w:t>
            </w:r>
            <w:r>
              <w:t>.  Change the term ‘capacity transaction reporting agent’ to ‘</w:t>
            </w:r>
            <w:r w:rsidR="00991AF9">
              <w:t>BB</w:t>
            </w:r>
            <w:r>
              <w:t xml:space="preserve"> reporting agent’.</w:t>
            </w:r>
          </w:p>
        </w:tc>
      </w:tr>
      <w:tr w:rsidR="00B53574" w14:paraId="497B3F5A" w14:textId="77777777" w:rsidTr="007C110B">
        <w:trPr>
          <w:cantSplit/>
        </w:trPr>
        <w:tc>
          <w:tcPr>
            <w:tcW w:w="1422" w:type="pct"/>
            <w:vMerge/>
          </w:tcPr>
          <w:p w14:paraId="15D5C1EA" w14:textId="77777777" w:rsidR="00B53574" w:rsidRDefault="00B53574" w:rsidP="00B53574">
            <w:pPr>
              <w:pStyle w:val="TableBodyText"/>
            </w:pPr>
          </w:p>
        </w:tc>
        <w:tc>
          <w:tcPr>
            <w:tcW w:w="1929" w:type="pct"/>
          </w:tcPr>
          <w:p w14:paraId="447CF244" w14:textId="77777777" w:rsidR="00B53574" w:rsidRDefault="00B53574" w:rsidP="00B53574">
            <w:pPr>
              <w:pStyle w:val="TableBodyText"/>
            </w:pPr>
            <w:r>
              <w:t>Provide for AEMO to publish the information but:</w:t>
            </w:r>
          </w:p>
          <w:p w14:paraId="086706C1" w14:textId="77777777" w:rsidR="00B53574" w:rsidRDefault="00B53574" w:rsidP="00B53574">
            <w:pPr>
              <w:pStyle w:val="Newtablebullet"/>
            </w:pPr>
            <w:r>
              <w:t xml:space="preserve">preclude AEMO from publishing </w:t>
            </w:r>
            <w:r w:rsidR="00742BF6">
              <w:t xml:space="preserve">trading </w:t>
            </w:r>
            <w:r>
              <w:t>party names</w:t>
            </w:r>
            <w:r w:rsidR="00742BF6">
              <w:t>;</w:t>
            </w:r>
          </w:p>
          <w:p w14:paraId="737ACABD" w14:textId="77777777" w:rsidR="00B53574" w:rsidRDefault="00B53574" w:rsidP="00B53574">
            <w:pPr>
              <w:pStyle w:val="Newtablebullet"/>
            </w:pPr>
            <w:r>
              <w:t>require AEMO to aggregate information before publication</w:t>
            </w:r>
            <w:r w:rsidR="00742BF6">
              <w:t xml:space="preserve">; </w:t>
            </w:r>
          </w:p>
          <w:p w14:paraId="48C0B071" w14:textId="77777777" w:rsidR="007B3710" w:rsidRDefault="007B3710" w:rsidP="007B3710">
            <w:pPr>
              <w:pStyle w:val="Newtablebullet"/>
            </w:pPr>
            <w:r>
              <w:t>provide for AEMO to determine an aggregation method that results in aggregation by jurisdiction, trading location at a gas supply hub, combination of trading locations or other location specified in the BB Procedures</w:t>
            </w:r>
            <w:r w:rsidR="000300AA">
              <w:t>;</w:t>
            </w:r>
          </w:p>
          <w:p w14:paraId="233DBB97" w14:textId="77777777" w:rsidR="007B3710" w:rsidRDefault="007B3710" w:rsidP="007B3710">
            <w:pPr>
              <w:pStyle w:val="Newtablebullet"/>
            </w:pPr>
            <w:r>
              <w:t>allow for exclusion of outlier transactions</w:t>
            </w:r>
            <w:r w:rsidR="000300AA">
              <w:t>; and</w:t>
            </w:r>
          </w:p>
          <w:p w14:paraId="12524FD9" w14:textId="77777777" w:rsidR="00B53574" w:rsidRDefault="007B3710" w:rsidP="007B3710">
            <w:pPr>
              <w:pStyle w:val="Newtablebullet"/>
            </w:pPr>
            <w:proofErr w:type="gramStart"/>
            <w:r>
              <w:t>require</w:t>
            </w:r>
            <w:proofErr w:type="gramEnd"/>
            <w:r>
              <w:t xml:space="preserve"> AEMO to publish an overview of the aggregation method on the Bulletin Board.</w:t>
            </w:r>
          </w:p>
        </w:tc>
        <w:tc>
          <w:tcPr>
            <w:tcW w:w="1649" w:type="pct"/>
          </w:tcPr>
          <w:p w14:paraId="7ACDEFF3" w14:textId="77777777" w:rsidR="00B53574" w:rsidRDefault="00B53574" w:rsidP="00B53574">
            <w:pPr>
              <w:pStyle w:val="TableBodyText"/>
            </w:pPr>
            <w:r>
              <w:t>Rule 195C</w:t>
            </w:r>
          </w:p>
        </w:tc>
      </w:tr>
    </w:tbl>
    <w:p w14:paraId="183A4620" w14:textId="77777777" w:rsidR="00117DFE" w:rsidRDefault="002C4069" w:rsidP="008A645C">
      <w:pPr>
        <w:pStyle w:val="Heading2"/>
      </w:pPr>
      <w:bookmarkStart w:id="76" w:name="_Toc45015278"/>
      <w:r>
        <w:lastRenderedPageBreak/>
        <w:t>AER gas price reporting function</w:t>
      </w:r>
      <w:bookmarkEnd w:id="76"/>
    </w:p>
    <w:p w14:paraId="0EA0F8B8" w14:textId="77777777" w:rsidR="00AC4D6B" w:rsidRPr="00AC4D6B" w:rsidRDefault="00AC4D6B" w:rsidP="00AC4D6B">
      <w:pPr>
        <w:pStyle w:val="BodyText"/>
      </w:pPr>
      <w:r>
        <w:t>Amendments to the Law will confer on the AER a new ‘AER gas price reporting function’ and power to make a ‘price information order’</w:t>
      </w:r>
      <w:r w:rsidR="007B435B">
        <w:t xml:space="preserve">. </w:t>
      </w:r>
      <w:r>
        <w:t xml:space="preserve">Refer to </w:t>
      </w:r>
      <w:r w:rsidR="00742BF6">
        <w:t>section </w:t>
      </w:r>
      <w:r w:rsidR="0014087B">
        <w:fldChar w:fldCharType="begin"/>
      </w:r>
      <w:r w:rsidR="0014087B">
        <w:instrText xml:space="preserve"> REF _Ref36718363 \r \h </w:instrText>
      </w:r>
      <w:r w:rsidR="0014087B">
        <w:fldChar w:fldCharType="separate"/>
      </w:r>
      <w:r w:rsidR="00844010">
        <w:t>4.5</w:t>
      </w:r>
      <w:r w:rsidR="0014087B">
        <w:fldChar w:fldCharType="end"/>
      </w:r>
      <w:r w:rsidR="0014087B">
        <w:t xml:space="preserve"> </w:t>
      </w:r>
      <w:r>
        <w:t>above.</w:t>
      </w:r>
      <w:r w:rsidR="00D411D3">
        <w:t xml:space="preserve"> Note that these price reporting functions will not commence until the ACCC’s Gas Inquiry ceases. </w:t>
      </w:r>
    </w:p>
    <w:tbl>
      <w:tblPr>
        <w:tblStyle w:val="ACCCTable11"/>
        <w:tblW w:w="5000" w:type="pct"/>
        <w:tblLayout w:type="fixed"/>
        <w:tblLook w:val="06A0" w:firstRow="1" w:lastRow="0" w:firstColumn="1" w:lastColumn="0" w:noHBand="1" w:noVBand="1"/>
      </w:tblPr>
      <w:tblGrid>
        <w:gridCol w:w="3967"/>
        <w:gridCol w:w="5382"/>
        <w:gridCol w:w="4600"/>
      </w:tblGrid>
      <w:tr w:rsidR="00086338" w:rsidRPr="002F7121" w14:paraId="74BDBD1E"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left w:val="single" w:sz="4" w:space="0" w:color="auto"/>
              <w:bottom w:val="single" w:sz="4" w:space="0" w:color="auto"/>
            </w:tcBorders>
            <w:shd w:val="clear" w:color="auto" w:fill="005595"/>
          </w:tcPr>
          <w:p w14:paraId="50725C12" w14:textId="77777777" w:rsidR="00086338"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4E430557" w14:textId="77777777" w:rsidR="00086338" w:rsidRPr="002F7121" w:rsidRDefault="00086338" w:rsidP="00187103">
            <w:pPr>
              <w:spacing w:before="20"/>
              <w:rPr>
                <w:rFonts w:cs="Arial"/>
              </w:rPr>
            </w:pPr>
            <w:r>
              <w:rPr>
                <w:rFonts w:cs="Arial"/>
              </w:rPr>
              <w:t>Proposed approach to implementation</w:t>
            </w:r>
          </w:p>
        </w:tc>
        <w:tc>
          <w:tcPr>
            <w:tcW w:w="1649" w:type="pct"/>
            <w:tcBorders>
              <w:bottom w:val="single" w:sz="4" w:space="0" w:color="auto"/>
              <w:right w:val="single" w:sz="4" w:space="0" w:color="auto"/>
            </w:tcBorders>
            <w:shd w:val="clear" w:color="auto" w:fill="005595"/>
            <w:hideMark/>
          </w:tcPr>
          <w:p w14:paraId="7C30BC89" w14:textId="77777777" w:rsidR="00086338" w:rsidRPr="002F7121" w:rsidRDefault="00086338" w:rsidP="00187103">
            <w:pPr>
              <w:spacing w:before="20"/>
              <w:rPr>
                <w:rFonts w:cs="Arial"/>
              </w:rPr>
            </w:pPr>
            <w:r>
              <w:rPr>
                <w:rFonts w:cs="Arial"/>
              </w:rPr>
              <w:t>Pro</w:t>
            </w:r>
            <w:r w:rsidR="00B705EC">
              <w:rPr>
                <w:rFonts w:cs="Arial"/>
              </w:rPr>
              <w:t xml:space="preserve">posed amendments in </w:t>
            </w:r>
            <w:r>
              <w:rPr>
                <w:rFonts w:cs="Arial"/>
              </w:rPr>
              <w:t>Part 17</w:t>
            </w:r>
          </w:p>
        </w:tc>
      </w:tr>
      <w:tr w:rsidR="007557A1" w:rsidRPr="00977003" w14:paraId="0671956F" w14:textId="77777777" w:rsidTr="007C110B">
        <w:trPr>
          <w:cantSplit/>
        </w:trPr>
        <w:tc>
          <w:tcPr>
            <w:tcW w:w="1422" w:type="pct"/>
            <w:vMerge w:val="restart"/>
          </w:tcPr>
          <w:p w14:paraId="2E0D10B9" w14:textId="77777777" w:rsidR="007557A1" w:rsidRDefault="007557A1" w:rsidP="00086338">
            <w:pPr>
              <w:pStyle w:val="TableBodyText"/>
            </w:pPr>
            <w:r>
              <w:t xml:space="preserve">AER to have a new </w:t>
            </w:r>
            <w:r w:rsidR="00742BF6">
              <w:t xml:space="preserve">price </w:t>
            </w:r>
            <w:r>
              <w:t>reporting function, which will allow it to publish:</w:t>
            </w:r>
          </w:p>
          <w:p w14:paraId="4647678B" w14:textId="77777777" w:rsidR="007557A1" w:rsidRDefault="007557A1" w:rsidP="007C110B">
            <w:pPr>
              <w:pStyle w:val="Newtablebullet"/>
            </w:pPr>
            <w:r>
              <w:t>an LNG netback price series;</w:t>
            </w:r>
          </w:p>
          <w:p w14:paraId="3C5C0D46" w14:textId="77777777" w:rsidR="007557A1" w:rsidRDefault="007557A1" w:rsidP="007C110B">
            <w:pPr>
              <w:pStyle w:val="Newtablebullet"/>
            </w:pPr>
            <w:r>
              <w:t xml:space="preserve">information on the prices paid for gas under short and longer-term gas supply agreements (excluding agreements involving residential customers and business customers consuming less than 10 TJ </w:t>
            </w:r>
            <w:proofErr w:type="spellStart"/>
            <w:r>
              <w:t>p.a</w:t>
            </w:r>
            <w:proofErr w:type="spellEnd"/>
            <w:r>
              <w:t>);</w:t>
            </w:r>
          </w:p>
          <w:p w14:paraId="3275FEBD" w14:textId="77777777" w:rsidR="007557A1" w:rsidRDefault="007557A1" w:rsidP="007C110B">
            <w:pPr>
              <w:pStyle w:val="Newtablebullet"/>
            </w:pPr>
            <w:r>
              <w:t>information on gas swaps;</w:t>
            </w:r>
          </w:p>
          <w:p w14:paraId="73BA56FF" w14:textId="77777777" w:rsidR="007557A1" w:rsidRDefault="007557A1" w:rsidP="007C110B">
            <w:pPr>
              <w:pStyle w:val="Newtablebullet"/>
            </w:pPr>
            <w:r>
              <w:t>information on LNG export prices including the prices under short and longer term LNG contracts (excluding the NT facilities that have an exemption under rule 143A); and</w:t>
            </w:r>
          </w:p>
          <w:p w14:paraId="4EA879A2" w14:textId="77777777" w:rsidR="007557A1" w:rsidRDefault="007557A1" w:rsidP="007C110B">
            <w:pPr>
              <w:pStyle w:val="Newtablebullet"/>
            </w:pPr>
            <w:proofErr w:type="gramStart"/>
            <w:r>
              <w:t>if</w:t>
            </w:r>
            <w:proofErr w:type="gramEnd"/>
            <w:r>
              <w:t xml:space="preserve"> </w:t>
            </w:r>
            <w:r w:rsidR="007D75AE">
              <w:t>any LNG import facilities are developed</w:t>
            </w:r>
            <w:r>
              <w:t>, an LNG import parity price series or information on import prices.</w:t>
            </w:r>
          </w:p>
          <w:p w14:paraId="304F2594" w14:textId="77777777" w:rsidR="007557A1" w:rsidRDefault="007557A1" w:rsidP="00D40BD3">
            <w:pPr>
              <w:pStyle w:val="BodyText"/>
            </w:pPr>
            <w:r w:rsidRPr="00D40BD3">
              <w:rPr>
                <w:rStyle w:val="TableBodyTextChar"/>
              </w:rPr>
              <w:t>This information is to be published on the AER’s website</w:t>
            </w:r>
            <w:r>
              <w:t>.</w:t>
            </w:r>
          </w:p>
        </w:tc>
        <w:tc>
          <w:tcPr>
            <w:tcW w:w="1929" w:type="pct"/>
          </w:tcPr>
          <w:p w14:paraId="67615D8E" w14:textId="77777777" w:rsidR="007557A1" w:rsidRDefault="007557A1" w:rsidP="00AC4D6B">
            <w:pPr>
              <w:pStyle w:val="TableBodyText"/>
            </w:pPr>
            <w:r>
              <w:t>Specify that the AER must use the standard consultative procedures when making a price information order.</w:t>
            </w:r>
          </w:p>
          <w:p w14:paraId="1D4EF2AB" w14:textId="77777777" w:rsidR="007557A1" w:rsidRPr="00AC4D6B" w:rsidRDefault="007557A1" w:rsidP="007557A1">
            <w:pPr>
              <w:pStyle w:val="TableBodyText"/>
            </w:pPr>
            <w:r>
              <w:t>As the AER would also be consulting on the information it decides to publish, provide for the AER to undertake the two consultations together if it wishes to do so.</w:t>
            </w:r>
          </w:p>
        </w:tc>
        <w:tc>
          <w:tcPr>
            <w:tcW w:w="1649" w:type="pct"/>
          </w:tcPr>
          <w:p w14:paraId="78C05B0A" w14:textId="77777777" w:rsidR="007557A1" w:rsidRPr="00AC4D6B" w:rsidRDefault="007557A1" w:rsidP="004E1DF0">
            <w:pPr>
              <w:pStyle w:val="TableBodyText"/>
            </w:pPr>
            <w:r>
              <w:t>Rule 139.</w:t>
            </w:r>
          </w:p>
        </w:tc>
      </w:tr>
      <w:tr w:rsidR="007557A1" w:rsidRPr="00977003" w14:paraId="65AE3724" w14:textId="77777777" w:rsidTr="007C110B">
        <w:trPr>
          <w:cantSplit/>
          <w:trHeight w:val="141"/>
        </w:trPr>
        <w:tc>
          <w:tcPr>
            <w:tcW w:w="1422" w:type="pct"/>
            <w:vMerge/>
          </w:tcPr>
          <w:p w14:paraId="4E7E6E1C" w14:textId="77777777" w:rsidR="007557A1" w:rsidRDefault="007557A1" w:rsidP="000C30F3">
            <w:pPr>
              <w:pStyle w:val="TableBodyText"/>
            </w:pPr>
          </w:p>
        </w:tc>
        <w:tc>
          <w:tcPr>
            <w:tcW w:w="1929" w:type="pct"/>
          </w:tcPr>
          <w:p w14:paraId="6352F725" w14:textId="77777777" w:rsidR="007557A1" w:rsidRDefault="007557A1" w:rsidP="001F0D57">
            <w:pPr>
              <w:pStyle w:val="TableBodyText"/>
            </w:pPr>
            <w:r>
              <w:t xml:space="preserve">Include a list of the </w:t>
            </w:r>
            <w:r w:rsidR="00045CF4">
              <w:t xml:space="preserve">categories of </w:t>
            </w:r>
            <w:r>
              <w:t xml:space="preserve">information about prices that the AER </w:t>
            </w:r>
            <w:r w:rsidR="001F0D57">
              <w:t xml:space="preserve">must </w:t>
            </w:r>
            <w:r>
              <w:t>publish. This would be in general terms. For example</w:t>
            </w:r>
            <w:r w:rsidR="00CB1D62">
              <w:t>,</w:t>
            </w:r>
            <w:r>
              <w:t xml:space="preserve"> it would refer to gas supply agreements and gas swap agreements in general terms and the AER could then determine not to collect information relating to short term transactions since the information is already published through the BB.</w:t>
            </w:r>
          </w:p>
          <w:p w14:paraId="00E03185" w14:textId="2D22A3CE" w:rsidR="00045CF4" w:rsidRPr="00AC4D6B" w:rsidRDefault="00340B9B" w:rsidP="00340B9B">
            <w:pPr>
              <w:pStyle w:val="TableBodyText"/>
            </w:pPr>
            <w:r>
              <w:t>The AER</w:t>
            </w:r>
            <w:r w:rsidR="00045CF4">
              <w:t xml:space="preserve"> would also be required to have </w:t>
            </w:r>
            <w:r w:rsidR="0068765F">
              <w:t>regard</w:t>
            </w:r>
            <w:r w:rsidR="00045CF4">
              <w:t xml:space="preserve"> to the information that is already made available on the BB to avoid duplication.</w:t>
            </w:r>
          </w:p>
        </w:tc>
        <w:tc>
          <w:tcPr>
            <w:tcW w:w="1649" w:type="pct"/>
          </w:tcPr>
          <w:p w14:paraId="33D85E16" w14:textId="77777777" w:rsidR="007557A1" w:rsidRDefault="007557A1" w:rsidP="004E1DF0">
            <w:pPr>
              <w:pStyle w:val="TableBodyText"/>
            </w:pPr>
            <w:r>
              <w:t>Rule 140B(1)</w:t>
            </w:r>
            <w:r w:rsidR="00045CF4">
              <w:t xml:space="preserve"> and rule 140B(4)</w:t>
            </w:r>
          </w:p>
          <w:p w14:paraId="0E9E3043" w14:textId="77777777" w:rsidR="007557A1" w:rsidRPr="00192BD0" w:rsidRDefault="007557A1" w:rsidP="001674DE">
            <w:pPr>
              <w:pStyle w:val="TableBodyText"/>
              <w:rPr>
                <w:highlight w:val="yellow"/>
              </w:rPr>
            </w:pPr>
            <w:r w:rsidRPr="00192BD0">
              <w:t xml:space="preserve">A transitional rule </w:t>
            </w:r>
            <w:r w:rsidR="001674DE">
              <w:t>would</w:t>
            </w:r>
            <w:r w:rsidRPr="00192BD0">
              <w:t xml:space="preserve"> prevent the AER from publishing gas price information until after the ACCC gas inquiry ends.</w:t>
            </w:r>
            <w:r w:rsidR="001674DE">
              <w:t xml:space="preserve"> Refer to section </w:t>
            </w:r>
            <w:r w:rsidR="001674DE">
              <w:fldChar w:fldCharType="begin"/>
            </w:r>
            <w:r w:rsidR="001674DE">
              <w:instrText xml:space="preserve"> REF _Ref36545243 \r \h </w:instrText>
            </w:r>
            <w:r w:rsidR="001674DE">
              <w:fldChar w:fldCharType="separate"/>
            </w:r>
            <w:r w:rsidR="00844010">
              <w:t>10</w:t>
            </w:r>
            <w:r w:rsidR="001674DE">
              <w:fldChar w:fldCharType="end"/>
            </w:r>
            <w:r w:rsidR="001674DE">
              <w:t xml:space="preserve"> below.</w:t>
            </w:r>
          </w:p>
        </w:tc>
      </w:tr>
      <w:tr w:rsidR="007557A1" w:rsidRPr="00977003" w14:paraId="62F2BFB6" w14:textId="77777777" w:rsidTr="007C110B">
        <w:trPr>
          <w:cantSplit/>
          <w:trHeight w:val="141"/>
        </w:trPr>
        <w:tc>
          <w:tcPr>
            <w:tcW w:w="1422" w:type="pct"/>
            <w:vMerge/>
          </w:tcPr>
          <w:p w14:paraId="67865C7F" w14:textId="77777777" w:rsidR="007557A1" w:rsidRDefault="007557A1" w:rsidP="000C30F3">
            <w:pPr>
              <w:pStyle w:val="TableBodyText"/>
            </w:pPr>
          </w:p>
        </w:tc>
        <w:tc>
          <w:tcPr>
            <w:tcW w:w="1929" w:type="pct"/>
          </w:tcPr>
          <w:p w14:paraId="28975266" w14:textId="77777777" w:rsidR="007557A1" w:rsidRDefault="001F0D57" w:rsidP="0068765F">
            <w:pPr>
              <w:pStyle w:val="TableBodyText"/>
            </w:pPr>
            <w:r>
              <w:t xml:space="preserve">Exclude information about </w:t>
            </w:r>
            <w:r w:rsidR="007557A1">
              <w:t xml:space="preserve">LNG export prices relating to </w:t>
            </w:r>
            <w:r w:rsidR="0068765F">
              <w:t xml:space="preserve">exports from an </w:t>
            </w:r>
            <w:r w:rsidR="007557A1">
              <w:t xml:space="preserve">exempt </w:t>
            </w:r>
            <w:r w:rsidR="006E3C97">
              <w:t xml:space="preserve">NT </w:t>
            </w:r>
            <w:r w:rsidR="007557A1">
              <w:t>facilit</w:t>
            </w:r>
            <w:r w:rsidR="0068765F">
              <w:t>y</w:t>
            </w:r>
            <w:r>
              <w:t xml:space="preserve"> from the list of information to be published</w:t>
            </w:r>
            <w:r w:rsidR="007557A1">
              <w:t xml:space="preserve">. It is intended that this </w:t>
            </w:r>
            <w:r w:rsidR="006E3C97">
              <w:t>would</w:t>
            </w:r>
            <w:r w:rsidR="007557A1">
              <w:t xml:space="preserve"> in turn prevent the AER from requiring that information to be provided to it under a price information order.</w:t>
            </w:r>
          </w:p>
        </w:tc>
        <w:tc>
          <w:tcPr>
            <w:tcW w:w="1649" w:type="pct"/>
          </w:tcPr>
          <w:p w14:paraId="5040D9DC" w14:textId="77777777" w:rsidR="007557A1" w:rsidRPr="00AC4D6B" w:rsidRDefault="007557A1" w:rsidP="0068765F">
            <w:pPr>
              <w:pStyle w:val="TableBodyText"/>
            </w:pPr>
            <w:r>
              <w:t xml:space="preserve">Rule </w:t>
            </w:r>
            <w:proofErr w:type="gramStart"/>
            <w:r>
              <w:t>140B</w:t>
            </w:r>
            <w:r w:rsidR="001F0D57">
              <w:t>(</w:t>
            </w:r>
            <w:proofErr w:type="gramEnd"/>
            <w:r w:rsidR="001F0D57">
              <w:t>1)</w:t>
            </w:r>
            <w:r w:rsidR="0068765F">
              <w:t>(c)</w:t>
            </w:r>
            <w:r>
              <w:t>.</w:t>
            </w:r>
          </w:p>
        </w:tc>
      </w:tr>
      <w:tr w:rsidR="00045CF4" w:rsidRPr="00977003" w14:paraId="2A9F0EC6" w14:textId="77777777" w:rsidTr="007C110B">
        <w:trPr>
          <w:cantSplit/>
          <w:trHeight w:val="141"/>
        </w:trPr>
        <w:tc>
          <w:tcPr>
            <w:tcW w:w="1422" w:type="pct"/>
            <w:vMerge/>
          </w:tcPr>
          <w:p w14:paraId="15B18D73" w14:textId="77777777" w:rsidR="00045CF4" w:rsidRDefault="00045CF4" w:rsidP="000C30F3">
            <w:pPr>
              <w:pStyle w:val="TableBodyText"/>
            </w:pPr>
          </w:p>
        </w:tc>
        <w:tc>
          <w:tcPr>
            <w:tcW w:w="1929" w:type="pct"/>
          </w:tcPr>
          <w:p w14:paraId="578C3092" w14:textId="77777777" w:rsidR="00045CF4" w:rsidRDefault="00045CF4" w:rsidP="008A6CF2">
            <w:pPr>
              <w:pStyle w:val="TableBodyText"/>
            </w:pPr>
            <w:r>
              <w:t>Provide for the AER to determine which information to publish, the methodologies and inputs used to calculate the information, the frequency of publication</w:t>
            </w:r>
            <w:r w:rsidR="0068765F">
              <w:t>,</w:t>
            </w:r>
            <w:r>
              <w:t xml:space="preserve"> measures for anonymising and aggregating information</w:t>
            </w:r>
            <w:r w:rsidR="0068765F">
              <w:t xml:space="preserve"> and the locations for LNG </w:t>
            </w:r>
            <w:r w:rsidR="003079E1">
              <w:t>netback prices and related matters</w:t>
            </w:r>
            <w:r>
              <w:t>. The AER would be required to publish its determination.</w:t>
            </w:r>
          </w:p>
        </w:tc>
        <w:tc>
          <w:tcPr>
            <w:tcW w:w="1649" w:type="pct"/>
          </w:tcPr>
          <w:p w14:paraId="383028EE" w14:textId="77777777" w:rsidR="00045CF4" w:rsidRDefault="00045CF4" w:rsidP="001F0D57">
            <w:pPr>
              <w:pStyle w:val="TableBodyText"/>
            </w:pPr>
            <w:r>
              <w:t xml:space="preserve">Rules </w:t>
            </w:r>
            <w:proofErr w:type="gramStart"/>
            <w:r>
              <w:t>140B(</w:t>
            </w:r>
            <w:proofErr w:type="gramEnd"/>
            <w:r>
              <w:t>2) and (3).</w:t>
            </w:r>
          </w:p>
        </w:tc>
      </w:tr>
      <w:tr w:rsidR="007557A1" w:rsidRPr="00977003" w14:paraId="2D0790DD" w14:textId="77777777" w:rsidTr="007C110B">
        <w:trPr>
          <w:cantSplit/>
          <w:trHeight w:val="141"/>
        </w:trPr>
        <w:tc>
          <w:tcPr>
            <w:tcW w:w="1422" w:type="pct"/>
            <w:vMerge/>
          </w:tcPr>
          <w:p w14:paraId="33069361" w14:textId="77777777" w:rsidR="007557A1" w:rsidRPr="000C30F3" w:rsidRDefault="007557A1" w:rsidP="000C30F3">
            <w:pPr>
              <w:pStyle w:val="TableBodyText"/>
              <w:rPr>
                <w:highlight w:val="yellow"/>
              </w:rPr>
            </w:pPr>
          </w:p>
        </w:tc>
        <w:tc>
          <w:tcPr>
            <w:tcW w:w="1929" w:type="pct"/>
          </w:tcPr>
          <w:p w14:paraId="1E50B4BA" w14:textId="77777777" w:rsidR="007557A1" w:rsidRDefault="007557A1" w:rsidP="003079E1">
            <w:pPr>
              <w:pStyle w:val="TableBodyText"/>
            </w:pPr>
            <w:r>
              <w:t xml:space="preserve">Provide for the AER to consult before </w:t>
            </w:r>
            <w:r w:rsidR="00045CF4">
              <w:t xml:space="preserve">making </w:t>
            </w:r>
            <w:r w:rsidR="003079E1">
              <w:t xml:space="preserve">or amending </w:t>
            </w:r>
            <w:r w:rsidR="00045CF4">
              <w:t>its determination</w:t>
            </w:r>
            <w:r w:rsidR="003079E1">
              <w:t xml:space="preserve">. For the initial </w:t>
            </w:r>
            <w:r w:rsidR="00502022">
              <w:t>determination,</w:t>
            </w:r>
            <w:r w:rsidR="003079E1">
              <w:t xml:space="preserve"> the AER would be required to consult in accordance with the standard consultative procedure and for amendments, the consultation procedure the AER considers appropriate.</w:t>
            </w:r>
          </w:p>
          <w:p w14:paraId="1931F7CC" w14:textId="77777777" w:rsidR="007557A1" w:rsidRPr="007557A1" w:rsidRDefault="007557A1" w:rsidP="007557A1">
            <w:pPr>
              <w:pStyle w:val="TableBodyText"/>
            </w:pPr>
            <w:r>
              <w:t>Allow the AE</w:t>
            </w:r>
            <w:r w:rsidR="006E3C97">
              <w:t>R</w:t>
            </w:r>
            <w:r>
              <w:t xml:space="preserve"> to undertake this consultation with its consultation about price information orders.</w:t>
            </w:r>
          </w:p>
        </w:tc>
        <w:tc>
          <w:tcPr>
            <w:tcW w:w="1649" w:type="pct"/>
          </w:tcPr>
          <w:p w14:paraId="2CFC17BD" w14:textId="77777777" w:rsidR="007557A1" w:rsidRDefault="007557A1" w:rsidP="00045CF4">
            <w:pPr>
              <w:pStyle w:val="TableBodyText"/>
            </w:pPr>
            <w:r>
              <w:t xml:space="preserve">Rule </w:t>
            </w:r>
            <w:proofErr w:type="gramStart"/>
            <w:r>
              <w:t>140B</w:t>
            </w:r>
            <w:r w:rsidR="00045CF4">
              <w:t>(</w:t>
            </w:r>
            <w:proofErr w:type="gramEnd"/>
            <w:r w:rsidR="00045CF4">
              <w:t>5)</w:t>
            </w:r>
            <w:r>
              <w:t xml:space="preserve"> and </w:t>
            </w:r>
            <w:r w:rsidR="00045CF4">
              <w:t>(6)</w:t>
            </w:r>
            <w:r>
              <w:t>.</w:t>
            </w:r>
          </w:p>
          <w:p w14:paraId="5E278433" w14:textId="77777777" w:rsidR="00F81D27" w:rsidRPr="007557A1" w:rsidRDefault="00F81D27" w:rsidP="00C64B40">
            <w:pPr>
              <w:pStyle w:val="TableBodyText"/>
            </w:pPr>
            <w:r>
              <w:t>Rule 79(</w:t>
            </w:r>
            <w:r w:rsidR="00C64B40">
              <w:t>2</w:t>
            </w:r>
            <w:r>
              <w:t>) of Schedule 1 (in the transitional rules).</w:t>
            </w:r>
          </w:p>
        </w:tc>
      </w:tr>
      <w:tr w:rsidR="007557A1" w:rsidRPr="00977003" w14:paraId="36E2E69F" w14:textId="77777777" w:rsidTr="007C110B">
        <w:trPr>
          <w:cantSplit/>
          <w:trHeight w:val="141"/>
        </w:trPr>
        <w:tc>
          <w:tcPr>
            <w:tcW w:w="1422" w:type="pct"/>
            <w:vMerge/>
          </w:tcPr>
          <w:p w14:paraId="164D3D30" w14:textId="77777777" w:rsidR="007557A1" w:rsidRPr="000C30F3" w:rsidRDefault="007557A1" w:rsidP="000C30F3">
            <w:pPr>
              <w:pStyle w:val="TableBodyText"/>
              <w:rPr>
                <w:highlight w:val="yellow"/>
              </w:rPr>
            </w:pPr>
          </w:p>
        </w:tc>
        <w:tc>
          <w:tcPr>
            <w:tcW w:w="1929" w:type="pct"/>
          </w:tcPr>
          <w:p w14:paraId="2C31182E" w14:textId="77777777" w:rsidR="007557A1" w:rsidRDefault="007557A1" w:rsidP="000C30F3">
            <w:pPr>
              <w:pStyle w:val="TableBodyText"/>
            </w:pPr>
            <w:r>
              <w:t>Require price information published by the AER to be both anonymised and aggregated.</w:t>
            </w:r>
          </w:p>
        </w:tc>
        <w:tc>
          <w:tcPr>
            <w:tcW w:w="1649" w:type="pct"/>
          </w:tcPr>
          <w:p w14:paraId="727969F6" w14:textId="77777777" w:rsidR="007557A1" w:rsidRPr="007557A1" w:rsidRDefault="005718FE" w:rsidP="004E1DF0">
            <w:pPr>
              <w:pStyle w:val="TableBodyText"/>
            </w:pPr>
            <w:r w:rsidRPr="005718FE">
              <w:t xml:space="preserve">Rule </w:t>
            </w:r>
            <w:proofErr w:type="gramStart"/>
            <w:r w:rsidRPr="005718FE">
              <w:t>140B(</w:t>
            </w:r>
            <w:proofErr w:type="gramEnd"/>
            <w:r w:rsidR="001F0D57">
              <w:t>7</w:t>
            </w:r>
            <w:r w:rsidRPr="005718FE">
              <w:t>).</w:t>
            </w:r>
          </w:p>
        </w:tc>
      </w:tr>
    </w:tbl>
    <w:p w14:paraId="39B63D1A" w14:textId="77777777" w:rsidR="00682302" w:rsidRDefault="00117DFE" w:rsidP="00DC4D79">
      <w:pPr>
        <w:pStyle w:val="Heading2"/>
      </w:pPr>
      <w:bookmarkStart w:id="77" w:name="_Toc45015279"/>
      <w:r>
        <w:t>Storage and compression price information</w:t>
      </w:r>
      <w:bookmarkEnd w:id="77"/>
    </w:p>
    <w:tbl>
      <w:tblPr>
        <w:tblStyle w:val="ACCCTable11"/>
        <w:tblW w:w="5000" w:type="pct"/>
        <w:tblLook w:val="06A0" w:firstRow="1" w:lastRow="0" w:firstColumn="1" w:lastColumn="0" w:noHBand="1" w:noVBand="1"/>
      </w:tblPr>
      <w:tblGrid>
        <w:gridCol w:w="3967"/>
        <w:gridCol w:w="5382"/>
        <w:gridCol w:w="4600"/>
      </w:tblGrid>
      <w:tr w:rsidR="00775B80" w:rsidRPr="002F7121" w14:paraId="44E6C0CE"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left w:val="single" w:sz="4" w:space="0" w:color="auto"/>
              <w:bottom w:val="single" w:sz="4" w:space="0" w:color="auto"/>
            </w:tcBorders>
            <w:shd w:val="clear" w:color="auto" w:fill="005595"/>
          </w:tcPr>
          <w:p w14:paraId="1F52D208" w14:textId="77777777" w:rsidR="00775B80"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4750509A" w14:textId="77777777" w:rsidR="00775B80" w:rsidRPr="002F7121" w:rsidRDefault="00775B80" w:rsidP="00187103">
            <w:pPr>
              <w:spacing w:before="20"/>
              <w:rPr>
                <w:rFonts w:cs="Arial"/>
              </w:rPr>
            </w:pPr>
            <w:r>
              <w:rPr>
                <w:rFonts w:cs="Arial"/>
              </w:rPr>
              <w:t>Proposed approach to implementation</w:t>
            </w:r>
          </w:p>
        </w:tc>
        <w:tc>
          <w:tcPr>
            <w:tcW w:w="1649" w:type="pct"/>
            <w:tcBorders>
              <w:bottom w:val="single" w:sz="4" w:space="0" w:color="auto"/>
              <w:right w:val="single" w:sz="4" w:space="0" w:color="auto"/>
            </w:tcBorders>
            <w:shd w:val="clear" w:color="auto" w:fill="005595"/>
            <w:hideMark/>
          </w:tcPr>
          <w:p w14:paraId="6F30F9A9" w14:textId="77777777" w:rsidR="00775B80" w:rsidRPr="002F7121" w:rsidRDefault="00775B80" w:rsidP="00187103">
            <w:pPr>
              <w:spacing w:before="20"/>
              <w:rPr>
                <w:rFonts w:cs="Arial"/>
              </w:rPr>
            </w:pPr>
            <w:r>
              <w:rPr>
                <w:rFonts w:cs="Arial"/>
              </w:rPr>
              <w:t xml:space="preserve">Provisions in </w:t>
            </w:r>
            <w:r w:rsidR="003217DF">
              <w:rPr>
                <w:rFonts w:cs="Arial"/>
              </w:rPr>
              <w:t xml:space="preserve">proposed new </w:t>
            </w:r>
            <w:r>
              <w:rPr>
                <w:rFonts w:cs="Arial"/>
              </w:rPr>
              <w:t>Part 18A</w:t>
            </w:r>
          </w:p>
        </w:tc>
      </w:tr>
      <w:tr w:rsidR="00775B80" w:rsidRPr="00977003" w14:paraId="02FC5943" w14:textId="77777777" w:rsidTr="007C110B">
        <w:trPr>
          <w:cantSplit/>
        </w:trPr>
        <w:tc>
          <w:tcPr>
            <w:tcW w:w="1422" w:type="pct"/>
            <w:vMerge w:val="restart"/>
          </w:tcPr>
          <w:p w14:paraId="637F74C7" w14:textId="77777777" w:rsidR="00775B80" w:rsidRPr="00187E44" w:rsidRDefault="003F18FA" w:rsidP="00187E44">
            <w:pPr>
              <w:pStyle w:val="TableBodyText"/>
            </w:pPr>
            <w:r w:rsidRPr="00187E44">
              <w:t xml:space="preserve">Storage and stand-alone compression facility operators to publish standing terms and standing prices for each service offered and information on the prices actually paid by users for primary capacity </w:t>
            </w:r>
            <w:r w:rsidR="00775B80" w:rsidRPr="00187E44">
              <w:t xml:space="preserve">(in </w:t>
            </w:r>
            <w:r w:rsidR="00CB1D62">
              <w:t xml:space="preserve">a </w:t>
            </w:r>
            <w:r w:rsidR="00775B80" w:rsidRPr="00187E44">
              <w:t>consistent manner with non-scheme pipelines under Part 23 of the NGR).</w:t>
            </w:r>
          </w:p>
          <w:p w14:paraId="2BAFDD3F" w14:textId="77777777" w:rsidR="003217DF" w:rsidRPr="00187E44" w:rsidRDefault="003217DF" w:rsidP="00187E44">
            <w:pPr>
              <w:pStyle w:val="TableBodyText"/>
            </w:pPr>
            <w:r w:rsidRPr="00187E44">
              <w:t>The information is to be published on the website of the reporting party.</w:t>
            </w:r>
          </w:p>
        </w:tc>
        <w:tc>
          <w:tcPr>
            <w:tcW w:w="1929" w:type="pct"/>
          </w:tcPr>
          <w:p w14:paraId="14C78365" w14:textId="77777777" w:rsidR="00775B80" w:rsidRPr="00187E44" w:rsidRDefault="00775B80" w:rsidP="00187E44">
            <w:pPr>
              <w:pStyle w:val="TableBodyText"/>
            </w:pPr>
            <w:r w:rsidRPr="00187E44">
              <w:t>Insert a new Part in the Rules dealing with the publication of stand</w:t>
            </w:r>
            <w:r w:rsidR="00B705EC" w:rsidRPr="00187E44">
              <w:t xml:space="preserve">ing </w:t>
            </w:r>
            <w:r w:rsidR="003F18FA" w:rsidRPr="00187E44">
              <w:t xml:space="preserve">terms, standing prices and prices actually paid by users for primary capacity </w:t>
            </w:r>
            <w:r w:rsidR="00B705EC" w:rsidRPr="00187E44">
              <w:t>that will specify:</w:t>
            </w:r>
          </w:p>
          <w:p w14:paraId="4508746F" w14:textId="77777777" w:rsidR="00775B80" w:rsidRPr="007D35DE" w:rsidRDefault="00775B80" w:rsidP="007D35DE">
            <w:pPr>
              <w:pStyle w:val="Newtablebullet"/>
            </w:pPr>
            <w:r w:rsidRPr="007D35DE">
              <w:t>the facilities and facility operators who ar</w:t>
            </w:r>
            <w:r w:rsidR="00B705EC" w:rsidRPr="007D35DE">
              <w:t>e subject to the obligation; and</w:t>
            </w:r>
          </w:p>
          <w:p w14:paraId="7067AFBF" w14:textId="77777777" w:rsidR="00775B80" w:rsidRPr="007D35DE" w:rsidRDefault="00775B80" w:rsidP="007D35DE">
            <w:pPr>
              <w:pStyle w:val="Newtablebullet"/>
            </w:pPr>
            <w:proofErr w:type="gramStart"/>
            <w:r w:rsidRPr="007D35DE">
              <w:t>the</w:t>
            </w:r>
            <w:proofErr w:type="gramEnd"/>
            <w:r w:rsidRPr="007D35DE">
              <w:t xml:space="preserve"> information to be published.</w:t>
            </w:r>
          </w:p>
        </w:tc>
        <w:tc>
          <w:tcPr>
            <w:tcW w:w="1649" w:type="pct"/>
          </w:tcPr>
          <w:p w14:paraId="54CE2207" w14:textId="77777777" w:rsidR="00775B80" w:rsidRPr="00187E44" w:rsidRDefault="00775B80" w:rsidP="00187E44">
            <w:pPr>
              <w:pStyle w:val="TableBodyText"/>
            </w:pPr>
            <w:r w:rsidRPr="00187E44">
              <w:t>Proposed new Part 18A, Divisions 1 and 2.</w:t>
            </w:r>
          </w:p>
        </w:tc>
      </w:tr>
      <w:tr w:rsidR="00775B80" w:rsidRPr="00977003" w14:paraId="091C5359" w14:textId="77777777" w:rsidTr="00B705EC">
        <w:trPr>
          <w:cantSplit/>
        </w:trPr>
        <w:tc>
          <w:tcPr>
            <w:tcW w:w="1422" w:type="pct"/>
            <w:vMerge/>
            <w:tcBorders>
              <w:bottom w:val="single" w:sz="4" w:space="0" w:color="auto"/>
            </w:tcBorders>
          </w:tcPr>
          <w:p w14:paraId="25F91657" w14:textId="77777777" w:rsidR="00775B80" w:rsidRDefault="00775B80" w:rsidP="00742BF6">
            <w:pPr>
              <w:pStyle w:val="TableBodyText"/>
              <w:spacing w:before="20" w:after="20"/>
            </w:pPr>
          </w:p>
        </w:tc>
        <w:tc>
          <w:tcPr>
            <w:tcW w:w="1929" w:type="pct"/>
            <w:tcBorders>
              <w:bottom w:val="single" w:sz="4" w:space="0" w:color="auto"/>
            </w:tcBorders>
          </w:tcPr>
          <w:p w14:paraId="5FDAC785" w14:textId="77777777" w:rsidR="00775B80" w:rsidRPr="00187E44" w:rsidRDefault="00775B80" w:rsidP="00187E44">
            <w:pPr>
              <w:pStyle w:val="TableBodyText"/>
            </w:pPr>
            <w:r w:rsidRPr="00187E44">
              <w:t>Include an exemption framework modelled on Division 6 of Part 23 and provide for the exemption of facilities that either:</w:t>
            </w:r>
          </w:p>
          <w:p w14:paraId="672527D5" w14:textId="77777777" w:rsidR="00775B80" w:rsidRPr="007D35DE" w:rsidRDefault="00775B80" w:rsidP="007D35DE">
            <w:pPr>
              <w:pStyle w:val="Newtablebullet"/>
            </w:pPr>
            <w:r w:rsidRPr="007D35DE">
              <w:t>do not provide third party access; or</w:t>
            </w:r>
          </w:p>
          <w:p w14:paraId="17761383" w14:textId="77777777" w:rsidR="00775B80" w:rsidRPr="007D35DE" w:rsidRDefault="00775B80" w:rsidP="007D35DE">
            <w:pPr>
              <w:pStyle w:val="Newtablebullet"/>
            </w:pPr>
            <w:proofErr w:type="gramStart"/>
            <w:r w:rsidRPr="007D35DE">
              <w:t>are</w:t>
            </w:r>
            <w:proofErr w:type="gramEnd"/>
            <w:r w:rsidRPr="007D35DE">
              <w:t xml:space="preserve"> single user facilities.</w:t>
            </w:r>
          </w:p>
        </w:tc>
        <w:tc>
          <w:tcPr>
            <w:tcW w:w="1649" w:type="pct"/>
            <w:tcBorders>
              <w:bottom w:val="single" w:sz="4" w:space="0" w:color="auto"/>
            </w:tcBorders>
          </w:tcPr>
          <w:p w14:paraId="27D7491B" w14:textId="77777777" w:rsidR="00775B80" w:rsidRPr="00187E44" w:rsidRDefault="00775B80" w:rsidP="00187E44">
            <w:pPr>
              <w:pStyle w:val="TableBodyText"/>
            </w:pPr>
            <w:r w:rsidRPr="00187E44">
              <w:t>Proposed new Part 18A, Division 3.</w:t>
            </w:r>
          </w:p>
        </w:tc>
      </w:tr>
    </w:tbl>
    <w:p w14:paraId="1EB63C33" w14:textId="77777777" w:rsidR="00F34CBE" w:rsidRDefault="00F34CBE" w:rsidP="00F34CBE">
      <w:pPr>
        <w:pStyle w:val="BodyText"/>
      </w:pPr>
      <w:r>
        <w:br w:type="page"/>
      </w:r>
    </w:p>
    <w:p w14:paraId="50303336" w14:textId="77777777" w:rsidR="00BD1F66" w:rsidRDefault="00BD1F66" w:rsidP="00BD1F66">
      <w:pPr>
        <w:pStyle w:val="Heading2"/>
      </w:pPr>
      <w:bookmarkStart w:id="78" w:name="_Toc45015280"/>
      <w:r>
        <w:lastRenderedPageBreak/>
        <w:t>Short term LNG export transactions</w:t>
      </w:r>
      <w:bookmarkEnd w:id="78"/>
    </w:p>
    <w:tbl>
      <w:tblPr>
        <w:tblStyle w:val="ACCCTable11"/>
        <w:tblW w:w="5000" w:type="pct"/>
        <w:tblLayout w:type="fixed"/>
        <w:tblLook w:val="06A0" w:firstRow="1" w:lastRow="0" w:firstColumn="1" w:lastColumn="0" w:noHBand="1" w:noVBand="1"/>
      </w:tblPr>
      <w:tblGrid>
        <w:gridCol w:w="3967"/>
        <w:gridCol w:w="5382"/>
        <w:gridCol w:w="4600"/>
      </w:tblGrid>
      <w:tr w:rsidR="003217DF" w:rsidRPr="002F7121" w14:paraId="5048E26B"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left w:val="single" w:sz="4" w:space="0" w:color="auto"/>
              <w:bottom w:val="single" w:sz="4" w:space="0" w:color="auto"/>
            </w:tcBorders>
            <w:shd w:val="clear" w:color="auto" w:fill="005595"/>
          </w:tcPr>
          <w:p w14:paraId="642991C8" w14:textId="77777777" w:rsidR="003217DF"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29CA8677" w14:textId="77777777" w:rsidR="003217DF" w:rsidRPr="002F7121" w:rsidRDefault="003217DF" w:rsidP="00187103">
            <w:pPr>
              <w:spacing w:before="20"/>
              <w:rPr>
                <w:rFonts w:cs="Arial"/>
              </w:rPr>
            </w:pPr>
            <w:r>
              <w:rPr>
                <w:rFonts w:cs="Arial"/>
              </w:rPr>
              <w:t>Proposed approach to implementation</w:t>
            </w:r>
          </w:p>
        </w:tc>
        <w:tc>
          <w:tcPr>
            <w:tcW w:w="1649" w:type="pct"/>
            <w:tcBorders>
              <w:bottom w:val="single" w:sz="4" w:space="0" w:color="auto"/>
              <w:right w:val="single" w:sz="4" w:space="0" w:color="auto"/>
            </w:tcBorders>
            <w:shd w:val="clear" w:color="auto" w:fill="005595"/>
            <w:hideMark/>
          </w:tcPr>
          <w:p w14:paraId="599550C8" w14:textId="77777777" w:rsidR="003217DF" w:rsidRPr="002F7121" w:rsidRDefault="0014087B" w:rsidP="00187103">
            <w:pPr>
              <w:spacing w:before="20"/>
              <w:rPr>
                <w:rFonts w:cs="Arial"/>
              </w:rPr>
            </w:pPr>
            <w:r>
              <w:rPr>
                <w:rFonts w:cs="Arial"/>
              </w:rPr>
              <w:t>Proposed amendments</w:t>
            </w:r>
            <w:r w:rsidR="003217DF">
              <w:rPr>
                <w:rFonts w:cs="Arial"/>
              </w:rPr>
              <w:t xml:space="preserve"> in </w:t>
            </w:r>
            <w:r w:rsidR="003217DF" w:rsidRPr="002F7121">
              <w:rPr>
                <w:rFonts w:cs="Arial"/>
              </w:rPr>
              <w:t>Part 18</w:t>
            </w:r>
          </w:p>
        </w:tc>
      </w:tr>
      <w:tr w:rsidR="001817BA" w:rsidRPr="00977003" w14:paraId="66A582CB" w14:textId="77777777" w:rsidTr="007C110B">
        <w:trPr>
          <w:cantSplit/>
        </w:trPr>
        <w:tc>
          <w:tcPr>
            <w:tcW w:w="1422" w:type="pct"/>
            <w:vMerge w:val="restart"/>
          </w:tcPr>
          <w:p w14:paraId="172313F1" w14:textId="77777777" w:rsidR="001817BA" w:rsidRDefault="001817BA" w:rsidP="00BD1F66">
            <w:pPr>
              <w:pStyle w:val="TableBodyText"/>
            </w:pPr>
            <w:r w:rsidRPr="003217DF">
              <w:t>LNG exporters (excluding the NT facilities that have an exemption under rule 143A) to report the average free on board price received under short</w:t>
            </w:r>
            <w:r>
              <w:t xml:space="preserve"> </w:t>
            </w:r>
            <w:r w:rsidRPr="003217DF">
              <w:t>term LNG supply agreements (i.e. LNG contracts with a supply term of less than 1 year).</w:t>
            </w:r>
          </w:p>
          <w:p w14:paraId="37C0BBB3" w14:textId="77777777" w:rsidR="001817BA" w:rsidRDefault="001817BA" w:rsidP="00BD1F66">
            <w:pPr>
              <w:pStyle w:val="TableBodyText"/>
            </w:pPr>
            <w:r>
              <w:t>The information is to be published on the BB.</w:t>
            </w:r>
          </w:p>
          <w:p w14:paraId="77ED8FE0" w14:textId="77777777" w:rsidR="00DC205A" w:rsidRPr="00DC205A" w:rsidRDefault="00DC205A" w:rsidP="00DC205A">
            <w:pPr>
              <w:pStyle w:val="TableBodyText"/>
              <w:rPr>
                <w:i/>
              </w:rPr>
            </w:pPr>
            <w:r w:rsidRPr="00DC205A">
              <w:rPr>
                <w:i/>
              </w:rPr>
              <w:t>Refer to section </w:t>
            </w:r>
            <w:r w:rsidR="00E54CFE">
              <w:rPr>
                <w:i/>
              </w:rPr>
              <w:fldChar w:fldCharType="begin"/>
            </w:r>
            <w:r w:rsidR="00E54CFE">
              <w:rPr>
                <w:i/>
              </w:rPr>
              <w:instrText xml:space="preserve"> REF _Ref42240587 \r \h </w:instrText>
            </w:r>
            <w:r w:rsidR="00E54CFE">
              <w:rPr>
                <w:i/>
              </w:rPr>
            </w:r>
            <w:r w:rsidR="00E54CFE">
              <w:rPr>
                <w:i/>
              </w:rPr>
              <w:fldChar w:fldCharType="separate"/>
            </w:r>
            <w:r w:rsidR="00844010">
              <w:rPr>
                <w:i/>
              </w:rPr>
              <w:t>5.6.1</w:t>
            </w:r>
            <w:r w:rsidR="00E54CFE">
              <w:rPr>
                <w:i/>
              </w:rPr>
              <w:fldChar w:fldCharType="end"/>
            </w:r>
            <w:r w:rsidR="00E54CFE">
              <w:rPr>
                <w:i/>
              </w:rPr>
              <w:t xml:space="preserve"> </w:t>
            </w:r>
            <w:r w:rsidR="008A6CF2">
              <w:rPr>
                <w:i/>
              </w:rPr>
              <w:t xml:space="preserve">of this consultation paper </w:t>
            </w:r>
            <w:r w:rsidRPr="00DC205A">
              <w:rPr>
                <w:i/>
              </w:rPr>
              <w:t>for policy clarification.</w:t>
            </w:r>
          </w:p>
        </w:tc>
        <w:tc>
          <w:tcPr>
            <w:tcW w:w="1929" w:type="pct"/>
          </w:tcPr>
          <w:p w14:paraId="6FB57A03" w14:textId="77777777" w:rsidR="001817BA" w:rsidRDefault="001817BA" w:rsidP="00B705EC">
            <w:pPr>
              <w:pStyle w:val="TableBodyText"/>
            </w:pPr>
            <w:r>
              <w:t>Define LNG export transactions and those that are short term.</w:t>
            </w:r>
          </w:p>
          <w:p w14:paraId="2016A5D3" w14:textId="77777777" w:rsidR="001817BA" w:rsidRPr="00977003" w:rsidRDefault="001817BA" w:rsidP="00B705EC">
            <w:pPr>
              <w:pStyle w:val="TableBodyText"/>
            </w:pPr>
            <w:r>
              <w:t>Clarify that where there is a master trading agreement, each transaction under the agreement is a separate transaction for reporting purposes</w:t>
            </w:r>
          </w:p>
        </w:tc>
        <w:tc>
          <w:tcPr>
            <w:tcW w:w="1649" w:type="pct"/>
          </w:tcPr>
          <w:p w14:paraId="1FE45650" w14:textId="77777777" w:rsidR="001817BA" w:rsidRDefault="001817BA" w:rsidP="00DA35AD">
            <w:pPr>
              <w:pStyle w:val="TableBodyText"/>
            </w:pPr>
            <w:r>
              <w:t>New definitions of ‘LNG export transaction’ and ‘short term LNG export transaction’.</w:t>
            </w:r>
          </w:p>
          <w:p w14:paraId="15CFF98E" w14:textId="77777777" w:rsidR="001817BA" w:rsidRPr="00977003" w:rsidRDefault="001817BA" w:rsidP="00DA35AD">
            <w:pPr>
              <w:pStyle w:val="TableBodyText"/>
            </w:pPr>
            <w:r>
              <w:t>Related new definitions are ‘transaction’ and ‘master trading agreement’.</w:t>
            </w:r>
          </w:p>
        </w:tc>
      </w:tr>
      <w:tr w:rsidR="001817BA" w:rsidRPr="00977003" w14:paraId="3FD43478" w14:textId="77777777" w:rsidTr="007C110B">
        <w:trPr>
          <w:cantSplit/>
        </w:trPr>
        <w:tc>
          <w:tcPr>
            <w:tcW w:w="1422" w:type="pct"/>
            <w:vMerge/>
          </w:tcPr>
          <w:p w14:paraId="76978726" w14:textId="77777777" w:rsidR="001817BA" w:rsidRDefault="001817BA" w:rsidP="00BD1F66">
            <w:pPr>
              <w:pStyle w:val="TableBodyText"/>
            </w:pPr>
          </w:p>
        </w:tc>
        <w:tc>
          <w:tcPr>
            <w:tcW w:w="1929" w:type="pct"/>
          </w:tcPr>
          <w:p w14:paraId="2E28C21B" w14:textId="77777777" w:rsidR="001817BA" w:rsidRDefault="001817BA" w:rsidP="007557A1">
            <w:pPr>
              <w:pStyle w:val="TableBodyText"/>
            </w:pPr>
            <w:r>
              <w:t>Exclude from the reporting framework transactions for export of LNG from an exempt NT facility.</w:t>
            </w:r>
          </w:p>
        </w:tc>
        <w:tc>
          <w:tcPr>
            <w:tcW w:w="1649" w:type="pct"/>
          </w:tcPr>
          <w:p w14:paraId="6CAB3EAD" w14:textId="77777777" w:rsidR="001817BA" w:rsidRDefault="001817BA" w:rsidP="00DA35AD">
            <w:pPr>
              <w:pStyle w:val="TableBodyText"/>
            </w:pPr>
            <w:r>
              <w:t>The defined term ‘LNG export transaction’ would be limited to exports from LNG export facilities registered under Part 18.</w:t>
            </w:r>
          </w:p>
          <w:p w14:paraId="00906DE2" w14:textId="24F2E94F" w:rsidR="001817BA" w:rsidRDefault="001817BA" w:rsidP="00496477">
            <w:pPr>
              <w:pStyle w:val="TableBodyText"/>
            </w:pPr>
            <w:r>
              <w:t xml:space="preserve">Under existing rule </w:t>
            </w:r>
            <w:proofErr w:type="gramStart"/>
            <w:r>
              <w:t>143A(</w:t>
            </w:r>
            <w:proofErr w:type="gramEnd"/>
            <w:r>
              <w:t xml:space="preserve">2), the NT LNG export facilities would be exempt from registration under Part 18 (unless the AER </w:t>
            </w:r>
            <w:r w:rsidR="00496477">
              <w:t xml:space="preserve">issues </w:t>
            </w:r>
            <w:r>
              <w:t>a BB application notice).</w:t>
            </w:r>
          </w:p>
        </w:tc>
      </w:tr>
      <w:tr w:rsidR="001817BA" w:rsidRPr="00977003" w14:paraId="15FA7EB2" w14:textId="77777777" w:rsidTr="007C110B">
        <w:trPr>
          <w:cantSplit/>
        </w:trPr>
        <w:tc>
          <w:tcPr>
            <w:tcW w:w="1422" w:type="pct"/>
            <w:vMerge/>
          </w:tcPr>
          <w:p w14:paraId="4AEDB05E" w14:textId="77777777" w:rsidR="001817BA" w:rsidRDefault="001817BA" w:rsidP="007B435B">
            <w:pPr>
              <w:pStyle w:val="TableBodyText"/>
            </w:pPr>
          </w:p>
        </w:tc>
        <w:tc>
          <w:tcPr>
            <w:tcW w:w="1929" w:type="pct"/>
          </w:tcPr>
          <w:p w14:paraId="1B93E41C" w14:textId="77777777" w:rsidR="001817BA" w:rsidRDefault="001817BA" w:rsidP="007B435B">
            <w:pPr>
              <w:pStyle w:val="TableBodyText"/>
            </w:pPr>
            <w:r>
              <w:t>Define the information to be reported about short term LNG export transactions.</w:t>
            </w:r>
          </w:p>
        </w:tc>
        <w:tc>
          <w:tcPr>
            <w:tcW w:w="1649" w:type="pct"/>
          </w:tcPr>
          <w:p w14:paraId="13A2D779" w14:textId="77777777" w:rsidR="001817BA" w:rsidRDefault="001817BA" w:rsidP="007B435B">
            <w:pPr>
              <w:pStyle w:val="TableBodyText"/>
            </w:pPr>
            <w:r>
              <w:t>New definition of ‘short term LNG export transaction information’ in rule 141(1).</w:t>
            </w:r>
          </w:p>
          <w:p w14:paraId="6930F381" w14:textId="77777777" w:rsidR="001817BA" w:rsidRDefault="001817BA" w:rsidP="007B435B">
            <w:pPr>
              <w:pStyle w:val="TableBodyText"/>
            </w:pPr>
            <w:r>
              <w:t>Related definitions are ‘gas seller’, ‘supply period’ and ‘trade date’.</w:t>
            </w:r>
          </w:p>
        </w:tc>
      </w:tr>
      <w:tr w:rsidR="001817BA" w:rsidRPr="00977003" w14:paraId="630EC6EE" w14:textId="77777777" w:rsidTr="007C110B">
        <w:trPr>
          <w:cantSplit/>
        </w:trPr>
        <w:tc>
          <w:tcPr>
            <w:tcW w:w="1422" w:type="pct"/>
            <w:vMerge/>
          </w:tcPr>
          <w:p w14:paraId="45DB3C8B" w14:textId="77777777" w:rsidR="001817BA" w:rsidRDefault="001817BA" w:rsidP="006E3C97">
            <w:pPr>
              <w:pStyle w:val="TableBodyText"/>
            </w:pPr>
          </w:p>
        </w:tc>
        <w:tc>
          <w:tcPr>
            <w:tcW w:w="1929" w:type="pct"/>
          </w:tcPr>
          <w:p w14:paraId="06AE7E16" w14:textId="15ED4804" w:rsidR="001817BA" w:rsidRDefault="001817BA" w:rsidP="009B16E4">
            <w:pPr>
              <w:pStyle w:val="TableBodyText"/>
            </w:pPr>
            <w:r>
              <w:t xml:space="preserve">Identify the party to the transaction who is responsible for providing the short term </w:t>
            </w:r>
            <w:r w:rsidR="009B16E4">
              <w:t xml:space="preserve">LNG export </w:t>
            </w:r>
            <w:r>
              <w:t xml:space="preserve">transaction information to AEMO. </w:t>
            </w:r>
          </w:p>
        </w:tc>
        <w:tc>
          <w:tcPr>
            <w:tcW w:w="1649" w:type="pct"/>
          </w:tcPr>
          <w:p w14:paraId="6F27C072" w14:textId="77777777" w:rsidR="001817BA" w:rsidRDefault="001817BA" w:rsidP="006E3C97">
            <w:pPr>
              <w:pStyle w:val="TableBodyText"/>
            </w:pPr>
            <w:r>
              <w:t>New definition of ‘gas seller’, paragraph (c).</w:t>
            </w:r>
          </w:p>
        </w:tc>
      </w:tr>
      <w:tr w:rsidR="001817BA" w:rsidRPr="00977003" w14:paraId="487A2957" w14:textId="77777777" w:rsidTr="007C110B">
        <w:trPr>
          <w:cantSplit/>
        </w:trPr>
        <w:tc>
          <w:tcPr>
            <w:tcW w:w="1422" w:type="pct"/>
            <w:vMerge/>
          </w:tcPr>
          <w:p w14:paraId="48F2797E" w14:textId="77777777" w:rsidR="001817BA" w:rsidRDefault="001817BA" w:rsidP="006E3C97">
            <w:pPr>
              <w:pStyle w:val="TableBodyText"/>
            </w:pPr>
          </w:p>
        </w:tc>
        <w:tc>
          <w:tcPr>
            <w:tcW w:w="1929" w:type="pct"/>
          </w:tcPr>
          <w:p w14:paraId="192BB93B" w14:textId="77777777" w:rsidR="001817BA" w:rsidRDefault="001817BA" w:rsidP="006E3C97">
            <w:pPr>
              <w:pStyle w:val="TableBodyText"/>
            </w:pPr>
            <w:r>
              <w:t>Provide for:</w:t>
            </w:r>
          </w:p>
          <w:p w14:paraId="3D6DD9D6" w14:textId="77777777" w:rsidR="00F77FE7" w:rsidRDefault="001817BA" w:rsidP="006E3C97">
            <w:pPr>
              <w:pStyle w:val="Newtablebullet"/>
            </w:pPr>
            <w:r>
              <w:t>the obligation to report</w:t>
            </w:r>
            <w:r w:rsidR="00F77FE7">
              <w:t>;</w:t>
            </w:r>
            <w:r>
              <w:t xml:space="preserve"> </w:t>
            </w:r>
          </w:p>
          <w:p w14:paraId="3A4AB292" w14:textId="191C93CB" w:rsidR="001817BA" w:rsidRDefault="001817BA" w:rsidP="006E3C97">
            <w:pPr>
              <w:pStyle w:val="Newtablebullet"/>
            </w:pPr>
            <w:r>
              <w:t xml:space="preserve">the time at which the information </w:t>
            </w:r>
            <w:r w:rsidR="00F77FE7">
              <w:t xml:space="preserve">to </w:t>
            </w:r>
            <w:r>
              <w:t>be provided</w:t>
            </w:r>
            <w:r w:rsidR="00F77FE7">
              <w:t xml:space="preserve"> to AEMO (in general, 1 business day after the trade date)</w:t>
            </w:r>
            <w:r>
              <w:t xml:space="preserve">; </w:t>
            </w:r>
          </w:p>
          <w:p w14:paraId="2DEA1D48" w14:textId="7AC514DC" w:rsidR="00972965" w:rsidRDefault="00972965" w:rsidP="006E3C97">
            <w:pPr>
              <w:pStyle w:val="Newtablebullet"/>
            </w:pPr>
            <w:r>
              <w:t>a requirement to use the method in the BB Procedures to convert currencies to AUD and from delivery ex ship (or other terms) to free on board; and</w:t>
            </w:r>
          </w:p>
          <w:p w14:paraId="5EB15DFC" w14:textId="77777777" w:rsidR="001817BA" w:rsidRDefault="001817BA" w:rsidP="006E3C97">
            <w:pPr>
              <w:pStyle w:val="Newtablebullet"/>
            </w:pPr>
            <w:proofErr w:type="gramStart"/>
            <w:r>
              <w:t>a</w:t>
            </w:r>
            <w:proofErr w:type="gramEnd"/>
            <w:r>
              <w:t xml:space="preserve"> person with a reporting obligation who is not registered under Part 18 to report using an agent if they wish to do so.</w:t>
            </w:r>
          </w:p>
        </w:tc>
        <w:tc>
          <w:tcPr>
            <w:tcW w:w="1649" w:type="pct"/>
          </w:tcPr>
          <w:p w14:paraId="556F694F" w14:textId="77777777" w:rsidR="001817BA" w:rsidRDefault="001817BA" w:rsidP="006E3C97">
            <w:pPr>
              <w:pStyle w:val="TableBodyText"/>
            </w:pPr>
            <w:r>
              <w:t xml:space="preserve">Rule 190CA. </w:t>
            </w:r>
          </w:p>
          <w:p w14:paraId="2E27D098" w14:textId="77777777" w:rsidR="001817BA" w:rsidRDefault="001817BA" w:rsidP="001674DE">
            <w:pPr>
              <w:pStyle w:val="TableBodyText"/>
            </w:pPr>
            <w:r>
              <w:t>For use of an agent, rule 190D would be extended and moved to rule 162. The term ‘capacity transaction reporting agent’ would be changed to ‘BB reporting agent’.</w:t>
            </w:r>
          </w:p>
        </w:tc>
      </w:tr>
      <w:tr w:rsidR="001817BA" w:rsidRPr="00977003" w14:paraId="5C7CBE03" w14:textId="77777777" w:rsidTr="007C110B">
        <w:trPr>
          <w:cantSplit/>
        </w:trPr>
        <w:tc>
          <w:tcPr>
            <w:tcW w:w="1422" w:type="pct"/>
            <w:vMerge/>
          </w:tcPr>
          <w:p w14:paraId="1190CB72" w14:textId="77777777" w:rsidR="001817BA" w:rsidRDefault="001817BA" w:rsidP="006E3C97">
            <w:pPr>
              <w:pStyle w:val="TableBodyText"/>
            </w:pPr>
          </w:p>
        </w:tc>
        <w:tc>
          <w:tcPr>
            <w:tcW w:w="1929" w:type="pct"/>
          </w:tcPr>
          <w:p w14:paraId="7AD989E9" w14:textId="77777777" w:rsidR="001817BA" w:rsidRDefault="001817BA" w:rsidP="00756A01">
            <w:pPr>
              <w:pStyle w:val="TableBodyText"/>
            </w:pPr>
            <w:r>
              <w:t>Provide for AEMO to publish the information but preclude AEMO from publishing trading party names.</w:t>
            </w:r>
          </w:p>
        </w:tc>
        <w:tc>
          <w:tcPr>
            <w:tcW w:w="1649" w:type="pct"/>
          </w:tcPr>
          <w:p w14:paraId="068CA403" w14:textId="35B54D4D" w:rsidR="001817BA" w:rsidRDefault="001817BA" w:rsidP="00F81D27">
            <w:pPr>
              <w:pStyle w:val="TableBodyText"/>
            </w:pPr>
            <w:r>
              <w:t xml:space="preserve">Rule </w:t>
            </w:r>
            <w:proofErr w:type="gramStart"/>
            <w:r w:rsidR="00F81D27">
              <w:t>195C(</w:t>
            </w:r>
            <w:proofErr w:type="gramEnd"/>
            <w:r w:rsidR="00F81D27">
              <w:t>2)</w:t>
            </w:r>
            <w:r w:rsidR="00EA22EB">
              <w:t>(a)</w:t>
            </w:r>
            <w:r>
              <w:t>.</w:t>
            </w:r>
          </w:p>
        </w:tc>
      </w:tr>
      <w:tr w:rsidR="001817BA" w:rsidRPr="00977003" w14:paraId="34BFA90D" w14:textId="77777777" w:rsidTr="007C110B">
        <w:trPr>
          <w:cantSplit/>
        </w:trPr>
        <w:tc>
          <w:tcPr>
            <w:tcW w:w="1422" w:type="pct"/>
            <w:vMerge/>
          </w:tcPr>
          <w:p w14:paraId="38925866" w14:textId="77777777" w:rsidR="001817BA" w:rsidRDefault="001817BA" w:rsidP="001817BA">
            <w:pPr>
              <w:pStyle w:val="TableBodyText"/>
            </w:pPr>
          </w:p>
        </w:tc>
        <w:tc>
          <w:tcPr>
            <w:tcW w:w="1929" w:type="pct"/>
          </w:tcPr>
          <w:p w14:paraId="61561CB1" w14:textId="77777777" w:rsidR="001817BA" w:rsidRPr="001817BA" w:rsidRDefault="00F77FE7" w:rsidP="001817BA">
            <w:pPr>
              <w:pStyle w:val="TableBodyText"/>
              <w:rPr>
                <w:i/>
                <w:iCs/>
              </w:rPr>
            </w:pPr>
            <w:r>
              <w:t xml:space="preserve">Provide for AEMO to delay publication </w:t>
            </w:r>
            <w:r w:rsidR="009E5597">
              <w:t xml:space="preserve">until </w:t>
            </w:r>
            <w:r w:rsidR="009E5597" w:rsidRPr="001817BA">
              <w:t>20</w:t>
            </w:r>
            <w:r>
              <w:t xml:space="preserve"> </w:t>
            </w:r>
            <w:r w:rsidR="001817BA" w:rsidRPr="001817BA">
              <w:t>business days after the trade date (i</w:t>
            </w:r>
            <w:r w:rsidR="00F34CBE">
              <w:t>.</w:t>
            </w:r>
            <w:r w:rsidR="001817BA" w:rsidRPr="001817BA">
              <w:t>e</w:t>
            </w:r>
            <w:r w:rsidR="00F34CBE">
              <w:t>.</w:t>
            </w:r>
            <w:r w:rsidR="001817BA" w:rsidRPr="001817BA">
              <w:t xml:space="preserve"> the date the transaction is entered into). </w:t>
            </w:r>
          </w:p>
        </w:tc>
        <w:tc>
          <w:tcPr>
            <w:tcW w:w="1649" w:type="pct"/>
          </w:tcPr>
          <w:p w14:paraId="3F9791C3" w14:textId="77777777" w:rsidR="00F81D27" w:rsidRDefault="00F81D27" w:rsidP="00F77FE7">
            <w:pPr>
              <w:pStyle w:val="TableBodyText"/>
            </w:pPr>
            <w:r>
              <w:t xml:space="preserve">Rule </w:t>
            </w:r>
            <w:proofErr w:type="gramStart"/>
            <w:r>
              <w:t>195C(</w:t>
            </w:r>
            <w:proofErr w:type="gramEnd"/>
            <w:r>
              <w:t>2)(b).</w:t>
            </w:r>
          </w:p>
        </w:tc>
      </w:tr>
    </w:tbl>
    <w:p w14:paraId="37C52EF1" w14:textId="77777777" w:rsidR="007F57D4" w:rsidRDefault="007F57D4" w:rsidP="007F57D4">
      <w:pPr>
        <w:pStyle w:val="Heading3"/>
      </w:pPr>
      <w:bookmarkStart w:id="79" w:name="_Ref42240587"/>
      <w:r>
        <w:lastRenderedPageBreak/>
        <w:t xml:space="preserve">Policy Clarification - Reporting times for </w:t>
      </w:r>
      <w:r w:rsidR="007D3F4C">
        <w:t xml:space="preserve">short term </w:t>
      </w:r>
      <w:r>
        <w:t xml:space="preserve">LNG export </w:t>
      </w:r>
      <w:r w:rsidR="007D3F4C">
        <w:t>transactions</w:t>
      </w:r>
      <w:bookmarkEnd w:id="79"/>
    </w:p>
    <w:p w14:paraId="22A69783" w14:textId="77777777" w:rsidR="00B20020" w:rsidRDefault="00B20020" w:rsidP="00B20020">
      <w:pPr>
        <w:rPr>
          <w:rFonts w:eastAsiaTheme="minorHAnsi"/>
        </w:rPr>
      </w:pPr>
      <w:r>
        <w:t xml:space="preserve">The policy position as set out in the DRIS stated that the short term LNG export price information would be reported 20 business days after the end of the month in which the shipment occurs. </w:t>
      </w:r>
    </w:p>
    <w:p w14:paraId="6C0F4CC3" w14:textId="77777777" w:rsidR="00B20020" w:rsidRDefault="00B20020" w:rsidP="00B20020">
      <w:r>
        <w:t xml:space="preserve">The problem with this timing is that could result in price reporting not occurring for months after the trade occurs, reducing the usefulness of this information to the market. The policy has therefore been clarified to require information on short term LNG export transactions to be published within 20 business days of the trade occurring, rather than 20 business days after the end of the month in which the LNG is loaded. This will reduce the gap between the date the price is agreed and the date the price is reported, which will provide the market with more timely information, while also recognising the potential commercial sensitivity surrounding immediate price reporting. </w:t>
      </w:r>
    </w:p>
    <w:p w14:paraId="2200BC51" w14:textId="77777777" w:rsidR="00B20020" w:rsidRDefault="00B20020" w:rsidP="00B20020">
      <w:pPr>
        <w:rPr>
          <w:rFonts w:ascii="Calibri" w:hAnsi="Calibri"/>
        </w:rPr>
      </w:pPr>
      <w:r>
        <w:t xml:space="preserve">To give effect to this reporting requirement: </w:t>
      </w:r>
    </w:p>
    <w:p w14:paraId="1145436C" w14:textId="77777777" w:rsidR="00B20020" w:rsidRDefault="00B20020" w:rsidP="00F34CBE">
      <w:pPr>
        <w:pStyle w:val="ListBullet"/>
      </w:pPr>
      <w:r>
        <w:t>LNG exporters will be required to report the trades to AEMO within 1 business day of the trade date, which is consistent with the time that other market participants have to report short term trades to AEMO; and</w:t>
      </w:r>
    </w:p>
    <w:p w14:paraId="29385177" w14:textId="77777777" w:rsidR="00B20020" w:rsidRDefault="00B20020" w:rsidP="00F34CBE">
      <w:pPr>
        <w:pStyle w:val="ListBullet"/>
      </w:pPr>
      <w:r>
        <w:t xml:space="preserve">AEMO will </w:t>
      </w:r>
      <w:r w:rsidR="000B4A0B">
        <w:t xml:space="preserve">be required to </w:t>
      </w:r>
      <w:r>
        <w:t xml:space="preserve">publish the information </w:t>
      </w:r>
      <w:r w:rsidR="000B4A0B">
        <w:t xml:space="preserve">no earlier than </w:t>
      </w:r>
      <w:r>
        <w:t xml:space="preserve">20 business days after the </w:t>
      </w:r>
      <w:r w:rsidR="000B4A0B">
        <w:t xml:space="preserve">transaction </w:t>
      </w:r>
      <w:r>
        <w:t xml:space="preserve">date. </w:t>
      </w:r>
    </w:p>
    <w:p w14:paraId="709A03CA" w14:textId="77777777" w:rsidR="007F57D4" w:rsidRPr="007D1E71" w:rsidRDefault="007F57D4" w:rsidP="007F57D4">
      <w:r>
        <w:t xml:space="preserve">If you would like to provide feedback on this issue, please </w:t>
      </w:r>
      <w:r w:rsidR="004C5846">
        <w:t xml:space="preserve">do so in the response template </w:t>
      </w:r>
      <w:r>
        <w:t xml:space="preserve">in </w:t>
      </w:r>
      <w:r w:rsidRPr="000B4A0B">
        <w:rPr>
          <w:b/>
          <w:bCs/>
        </w:rPr>
        <w:t xml:space="preserve">Attachment </w:t>
      </w:r>
      <w:r w:rsidR="004C5846" w:rsidRPr="000B4A0B">
        <w:rPr>
          <w:b/>
          <w:bCs/>
        </w:rPr>
        <w:t>B</w:t>
      </w:r>
      <w:r w:rsidRPr="000B4A0B">
        <w:t>.</w:t>
      </w:r>
      <w:r>
        <w:t xml:space="preserve"> </w:t>
      </w:r>
    </w:p>
    <w:p w14:paraId="5F905A1C" w14:textId="77777777" w:rsidR="00BD1F66" w:rsidRDefault="00BD1F66" w:rsidP="00BD1F66">
      <w:pPr>
        <w:pStyle w:val="Heading2"/>
      </w:pPr>
      <w:bookmarkStart w:id="80" w:name="_Toc45015281"/>
      <w:r>
        <w:t>Secondary storage capacity transactions</w:t>
      </w:r>
      <w:bookmarkEnd w:id="80"/>
    </w:p>
    <w:p w14:paraId="3FDDDC95" w14:textId="77777777" w:rsidR="007B435B" w:rsidRPr="007B435B" w:rsidRDefault="007B435B" w:rsidP="007B435B">
      <w:pPr>
        <w:pStyle w:val="BodyText"/>
      </w:pPr>
      <w:r>
        <w:t xml:space="preserve">The </w:t>
      </w:r>
      <w:r w:rsidR="00B705EC">
        <w:t xml:space="preserve">proposed </w:t>
      </w:r>
      <w:r>
        <w:t>changes to the Law in the draft Bill would delete the definitions of ‘primary capacity transaction’</w:t>
      </w:r>
      <w:r w:rsidR="006E3C97">
        <w:t>,</w:t>
      </w:r>
      <w:r>
        <w:t xml:space="preserve"> ‘secondary capacity transaction’ and ‘disposal’. As a result it is</w:t>
      </w:r>
      <w:r w:rsidR="00423397">
        <w:t xml:space="preserve"> proposed to include </w:t>
      </w:r>
      <w:r>
        <w:t>defin</w:t>
      </w:r>
      <w:r w:rsidR="00B705EC">
        <w:t>itions in the Rules to replace th</w:t>
      </w:r>
      <w:r w:rsidR="00423397">
        <w:t>ose</w:t>
      </w:r>
      <w:r>
        <w:t xml:space="preserve"> d</w:t>
      </w:r>
      <w:r w:rsidR="00423397">
        <w:t>efinitions and to make other consequential changes to Part 18</w:t>
      </w:r>
      <w:r>
        <w:t>.</w:t>
      </w:r>
    </w:p>
    <w:tbl>
      <w:tblPr>
        <w:tblStyle w:val="ACCCTable11"/>
        <w:tblW w:w="5000" w:type="pct"/>
        <w:tblLayout w:type="fixed"/>
        <w:tblLook w:val="06A0" w:firstRow="1" w:lastRow="0" w:firstColumn="1" w:lastColumn="0" w:noHBand="1" w:noVBand="1"/>
      </w:tblPr>
      <w:tblGrid>
        <w:gridCol w:w="3967"/>
        <w:gridCol w:w="5331"/>
        <w:gridCol w:w="4651"/>
      </w:tblGrid>
      <w:tr w:rsidR="003217DF" w:rsidRPr="002F7121" w14:paraId="1606E2B3"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left w:val="single" w:sz="4" w:space="0" w:color="auto"/>
              <w:bottom w:val="single" w:sz="4" w:space="0" w:color="auto"/>
            </w:tcBorders>
            <w:shd w:val="clear" w:color="auto" w:fill="005595"/>
          </w:tcPr>
          <w:p w14:paraId="3D6415FF" w14:textId="77777777" w:rsidR="003217DF" w:rsidRDefault="00440252" w:rsidP="00187103">
            <w:pPr>
              <w:spacing w:before="20"/>
              <w:rPr>
                <w:rFonts w:cs="Arial"/>
              </w:rPr>
            </w:pPr>
            <w:r>
              <w:rPr>
                <w:rFonts w:cs="Arial"/>
              </w:rPr>
              <w:t>Endorsed</w:t>
            </w:r>
            <w:r w:rsidR="00AD7935">
              <w:rPr>
                <w:rFonts w:cs="Arial"/>
              </w:rPr>
              <w:t xml:space="preserve"> measure</w:t>
            </w:r>
          </w:p>
        </w:tc>
        <w:tc>
          <w:tcPr>
            <w:tcW w:w="1911" w:type="pct"/>
            <w:tcBorders>
              <w:bottom w:val="single" w:sz="4" w:space="0" w:color="auto"/>
            </w:tcBorders>
            <w:shd w:val="clear" w:color="auto" w:fill="005595"/>
            <w:hideMark/>
          </w:tcPr>
          <w:p w14:paraId="43ACB79F" w14:textId="77777777" w:rsidR="003217DF" w:rsidRPr="002F7121" w:rsidRDefault="003217DF" w:rsidP="00187103">
            <w:pPr>
              <w:spacing w:before="20"/>
              <w:rPr>
                <w:rFonts w:cs="Arial"/>
              </w:rPr>
            </w:pPr>
            <w:r>
              <w:rPr>
                <w:rFonts w:cs="Arial"/>
              </w:rPr>
              <w:t>Proposed approach to implementation</w:t>
            </w:r>
          </w:p>
        </w:tc>
        <w:tc>
          <w:tcPr>
            <w:tcW w:w="1667" w:type="pct"/>
            <w:tcBorders>
              <w:bottom w:val="single" w:sz="4" w:space="0" w:color="auto"/>
              <w:right w:val="single" w:sz="4" w:space="0" w:color="auto"/>
            </w:tcBorders>
            <w:shd w:val="clear" w:color="auto" w:fill="005595"/>
            <w:hideMark/>
          </w:tcPr>
          <w:p w14:paraId="540D1C63" w14:textId="77777777" w:rsidR="003217DF" w:rsidRPr="002F7121" w:rsidRDefault="0014087B" w:rsidP="00187103">
            <w:pPr>
              <w:spacing w:before="20"/>
              <w:rPr>
                <w:rFonts w:cs="Arial"/>
              </w:rPr>
            </w:pPr>
            <w:r>
              <w:rPr>
                <w:rFonts w:cs="Arial"/>
              </w:rPr>
              <w:t>Proposed amendments</w:t>
            </w:r>
            <w:r w:rsidR="003217DF">
              <w:rPr>
                <w:rFonts w:cs="Arial"/>
              </w:rPr>
              <w:t xml:space="preserve"> in </w:t>
            </w:r>
            <w:r w:rsidR="003217DF" w:rsidRPr="002F7121">
              <w:rPr>
                <w:rFonts w:cs="Arial"/>
              </w:rPr>
              <w:t>Part 18</w:t>
            </w:r>
          </w:p>
        </w:tc>
      </w:tr>
      <w:tr w:rsidR="003D378E" w:rsidRPr="00977003" w14:paraId="0C5E3A50" w14:textId="77777777" w:rsidTr="007C110B">
        <w:trPr>
          <w:cantSplit/>
        </w:trPr>
        <w:tc>
          <w:tcPr>
            <w:tcW w:w="1422" w:type="pct"/>
            <w:vMerge w:val="restart"/>
          </w:tcPr>
          <w:p w14:paraId="2133B39D" w14:textId="77777777" w:rsidR="003D378E" w:rsidRPr="00187E44" w:rsidRDefault="003D378E" w:rsidP="00187E44">
            <w:pPr>
              <w:pStyle w:val="TableBodyText"/>
            </w:pPr>
            <w:r w:rsidRPr="00187E44">
              <w:t>Sellers of secondary storage capacity to report on the prices and other key non-price terms and conditions for any capacity trades.</w:t>
            </w:r>
          </w:p>
          <w:p w14:paraId="577E458E" w14:textId="77777777" w:rsidR="003D378E" w:rsidRPr="00187E44" w:rsidRDefault="003D378E" w:rsidP="00187E44">
            <w:pPr>
              <w:pStyle w:val="TableBodyText"/>
            </w:pPr>
            <w:r w:rsidRPr="00187E44">
              <w:t>The information is to be published on the BB.</w:t>
            </w:r>
          </w:p>
        </w:tc>
        <w:tc>
          <w:tcPr>
            <w:tcW w:w="1911" w:type="pct"/>
          </w:tcPr>
          <w:p w14:paraId="223F4948" w14:textId="77777777" w:rsidR="003D378E" w:rsidRPr="00187E44" w:rsidRDefault="003D378E" w:rsidP="00187E44">
            <w:pPr>
              <w:pStyle w:val="TableBodyText"/>
            </w:pPr>
            <w:r w:rsidRPr="00187E44">
              <w:t>Define ‘primary capacity transaction’ and ‘secondary capacity transaction’ as those terms are no longer defined in the Law.</w:t>
            </w:r>
          </w:p>
          <w:p w14:paraId="70EB09D3" w14:textId="77777777" w:rsidR="003D378E" w:rsidRPr="00187E44" w:rsidRDefault="003D378E" w:rsidP="00187E44">
            <w:pPr>
              <w:pStyle w:val="TableBodyText"/>
            </w:pPr>
            <w:r w:rsidRPr="00187E44">
              <w:t>Clarify that where there is a master trading agreement, each transaction under the agreement is a separate transaction for reporting purposes.</w:t>
            </w:r>
            <w:r w:rsidR="006E3C97" w:rsidRPr="00187E44">
              <w:t xml:space="preserve"> This clarification would extend to all transaction types.</w:t>
            </w:r>
          </w:p>
        </w:tc>
        <w:tc>
          <w:tcPr>
            <w:tcW w:w="1667" w:type="pct"/>
          </w:tcPr>
          <w:p w14:paraId="03E4C61D" w14:textId="2685695B" w:rsidR="003D378E" w:rsidRPr="00187E44" w:rsidRDefault="003D378E" w:rsidP="00187E44">
            <w:pPr>
              <w:pStyle w:val="TableBodyText"/>
            </w:pPr>
            <w:r w:rsidRPr="00187E44">
              <w:t xml:space="preserve">New definitions of </w:t>
            </w:r>
            <w:r w:rsidR="006E3C97" w:rsidRPr="00187E44">
              <w:t>‘capacity</w:t>
            </w:r>
            <w:r w:rsidR="00991124">
              <w:t xml:space="preserve"> right</w:t>
            </w:r>
            <w:r w:rsidR="006E3C97" w:rsidRPr="00187E44">
              <w:t xml:space="preserve">’, </w:t>
            </w:r>
            <w:r w:rsidR="00EE4282">
              <w:t xml:space="preserve">‘primary capacity’, </w:t>
            </w:r>
            <w:r w:rsidRPr="00187E44">
              <w:t>‘primary capacity transaction’</w:t>
            </w:r>
            <w:r w:rsidR="006E3C97" w:rsidRPr="00187E44">
              <w:t xml:space="preserve"> and</w:t>
            </w:r>
            <w:r w:rsidRPr="00187E44">
              <w:t xml:space="preserve"> ‘secondary capacity transaction</w:t>
            </w:r>
            <w:r w:rsidR="006E3C97" w:rsidRPr="00187E44">
              <w:t>’</w:t>
            </w:r>
            <w:r w:rsidRPr="00187E44">
              <w:t>.</w:t>
            </w:r>
          </w:p>
          <w:p w14:paraId="7A90EDB8" w14:textId="4AF08826" w:rsidR="00B732D2" w:rsidRPr="00187E44" w:rsidRDefault="003D378E" w:rsidP="00B732D2">
            <w:pPr>
              <w:pStyle w:val="TableBodyText"/>
            </w:pPr>
            <w:r w:rsidRPr="00187E44">
              <w:t>Related new definitions are ‘master trading agreement’</w:t>
            </w:r>
            <w:r w:rsidR="00403736">
              <w:t>,</w:t>
            </w:r>
            <w:r w:rsidRPr="00187E44">
              <w:t xml:space="preserve"> ‘transaction’</w:t>
            </w:r>
            <w:r w:rsidR="00403736">
              <w:t xml:space="preserve"> and ‘transfer’</w:t>
            </w:r>
            <w:r w:rsidRPr="00187E44">
              <w:t>.</w:t>
            </w:r>
            <w:r w:rsidR="00B732D2">
              <w:t xml:space="preserve"> </w:t>
            </w:r>
          </w:p>
          <w:p w14:paraId="24FCABF9" w14:textId="77777777" w:rsidR="003D378E" w:rsidRPr="00187E44" w:rsidRDefault="00B732D2" w:rsidP="00B732D2">
            <w:pPr>
              <w:pStyle w:val="TableBodyText"/>
            </w:pPr>
            <w:r>
              <w:t xml:space="preserve">The term </w:t>
            </w:r>
            <w:r w:rsidR="003D378E" w:rsidRPr="00187E44">
              <w:t xml:space="preserve">‘primary pipeline capacity’ </w:t>
            </w:r>
            <w:r>
              <w:t>would be deleted.</w:t>
            </w:r>
          </w:p>
        </w:tc>
      </w:tr>
      <w:tr w:rsidR="003D378E" w:rsidRPr="00977003" w14:paraId="3B397FB4" w14:textId="77777777" w:rsidTr="007C110B">
        <w:trPr>
          <w:cantSplit/>
        </w:trPr>
        <w:tc>
          <w:tcPr>
            <w:tcW w:w="1422" w:type="pct"/>
            <w:vMerge/>
          </w:tcPr>
          <w:p w14:paraId="15EFD426" w14:textId="77777777" w:rsidR="003D378E" w:rsidRDefault="003D378E" w:rsidP="00742BF6">
            <w:pPr>
              <w:pStyle w:val="TableBodyText"/>
              <w:spacing w:beforeLines="20" w:before="48" w:after="20"/>
            </w:pPr>
          </w:p>
        </w:tc>
        <w:tc>
          <w:tcPr>
            <w:tcW w:w="1911" w:type="pct"/>
          </w:tcPr>
          <w:p w14:paraId="2CAA7B6A" w14:textId="77777777" w:rsidR="003D378E" w:rsidRPr="00187E44" w:rsidRDefault="006E3C97" w:rsidP="00187E44">
            <w:pPr>
              <w:pStyle w:val="TableBodyText"/>
            </w:pPr>
            <w:r w:rsidRPr="00187E44">
              <w:t xml:space="preserve">Bring </w:t>
            </w:r>
            <w:r w:rsidR="003D378E" w:rsidRPr="00187E44">
              <w:t xml:space="preserve">secondary capacity transactions relating to capacity for use of a BB storage service </w:t>
            </w:r>
            <w:r w:rsidRPr="00187E44">
              <w:t xml:space="preserve">within the scope of Part 18. </w:t>
            </w:r>
          </w:p>
          <w:p w14:paraId="234D6189" w14:textId="77777777" w:rsidR="006E3C97" w:rsidRPr="00187E44" w:rsidRDefault="00E81558" w:rsidP="00187E44">
            <w:pPr>
              <w:pStyle w:val="TableBodyText"/>
            </w:pPr>
            <w:r w:rsidRPr="00187E44">
              <w:t xml:space="preserve">Exclude </w:t>
            </w:r>
            <w:proofErr w:type="spellStart"/>
            <w:r w:rsidRPr="00187E44">
              <w:t>novations</w:t>
            </w:r>
            <w:proofErr w:type="spellEnd"/>
            <w:r w:rsidRPr="00187E44">
              <w:t xml:space="preserve"> and related party transactions.</w:t>
            </w:r>
          </w:p>
        </w:tc>
        <w:tc>
          <w:tcPr>
            <w:tcW w:w="1667" w:type="pct"/>
          </w:tcPr>
          <w:p w14:paraId="6AA377F1" w14:textId="77777777" w:rsidR="003D378E" w:rsidRPr="00187E44" w:rsidRDefault="003D378E" w:rsidP="00187E44">
            <w:pPr>
              <w:pStyle w:val="TableBodyText"/>
            </w:pPr>
            <w:r w:rsidRPr="00187E44">
              <w:t>New definition</w:t>
            </w:r>
            <w:r w:rsidR="006E3C97" w:rsidRPr="00187E44">
              <w:t>s</w:t>
            </w:r>
            <w:r w:rsidRPr="00187E44">
              <w:t xml:space="preserve"> of ‘BB storage service’</w:t>
            </w:r>
            <w:r w:rsidR="006E3C97" w:rsidRPr="00187E44">
              <w:t xml:space="preserve"> and</w:t>
            </w:r>
            <w:r w:rsidRPr="00187E44">
              <w:t xml:space="preserve"> ‘BB storage capacity transaction’</w:t>
            </w:r>
            <w:r w:rsidR="006E3C97" w:rsidRPr="00187E44">
              <w:t>.</w:t>
            </w:r>
          </w:p>
          <w:p w14:paraId="1C3D5B14" w14:textId="77777777" w:rsidR="00E81558" w:rsidRPr="00187E44" w:rsidRDefault="00E81558" w:rsidP="00187E44">
            <w:pPr>
              <w:pStyle w:val="TableBodyText"/>
            </w:pPr>
            <w:r w:rsidRPr="00187E44">
              <w:t>Consequential changes would provide for:</w:t>
            </w:r>
          </w:p>
          <w:p w14:paraId="78DBD1C6" w14:textId="77777777" w:rsidR="00E81558" w:rsidRPr="007D35DE" w:rsidRDefault="00E81558" w:rsidP="007D35DE">
            <w:pPr>
              <w:pStyle w:val="Newtablebullet"/>
            </w:pPr>
            <w:r w:rsidRPr="007D35DE">
              <w:t>the term ‘excluded transaction’ to become ‘excluded capacity transaction’;</w:t>
            </w:r>
          </w:p>
          <w:p w14:paraId="240B8C06" w14:textId="77777777" w:rsidR="00E81558" w:rsidRPr="007D35DE" w:rsidRDefault="00E81558" w:rsidP="007D35DE">
            <w:pPr>
              <w:pStyle w:val="Newtablebullet"/>
            </w:pPr>
            <w:r w:rsidRPr="007D35DE">
              <w:t>the term ‘related party transaction’ to cover related party transactions for transportation or storage capacity; and</w:t>
            </w:r>
          </w:p>
          <w:p w14:paraId="6A0775A7" w14:textId="77777777" w:rsidR="00E81558" w:rsidRPr="007D35DE" w:rsidRDefault="00E81558" w:rsidP="007D35DE">
            <w:pPr>
              <w:pStyle w:val="Newtablebullet"/>
            </w:pPr>
            <w:proofErr w:type="gramStart"/>
            <w:r w:rsidRPr="007D35DE">
              <w:t>the</w:t>
            </w:r>
            <w:proofErr w:type="gramEnd"/>
            <w:r w:rsidRPr="007D35DE">
              <w:t xml:space="preserve"> term ‘capacity transaction reporting agent’ to be replaced with ‘BB reporting agent’</w:t>
            </w:r>
            <w:r w:rsidR="00DC205A" w:rsidRPr="007D35DE">
              <w:t>,</w:t>
            </w:r>
            <w:r w:rsidRPr="007D35DE">
              <w:t xml:space="preserve"> since BB reporting agents will be used for a broader range of reporting obligations.</w:t>
            </w:r>
          </w:p>
        </w:tc>
      </w:tr>
      <w:tr w:rsidR="003D378E" w:rsidRPr="00977003" w14:paraId="166E05CE" w14:textId="77777777" w:rsidTr="007C110B">
        <w:trPr>
          <w:cantSplit/>
        </w:trPr>
        <w:tc>
          <w:tcPr>
            <w:tcW w:w="1422" w:type="pct"/>
            <w:vMerge/>
          </w:tcPr>
          <w:p w14:paraId="27E4F5C8" w14:textId="77777777" w:rsidR="003D378E" w:rsidRDefault="003D378E" w:rsidP="00742BF6">
            <w:pPr>
              <w:pStyle w:val="TableBodyText"/>
              <w:spacing w:beforeLines="20" w:before="48" w:after="20"/>
            </w:pPr>
          </w:p>
        </w:tc>
        <w:tc>
          <w:tcPr>
            <w:tcW w:w="1911" w:type="pct"/>
          </w:tcPr>
          <w:p w14:paraId="15B5C7E2" w14:textId="77777777" w:rsidR="003D378E" w:rsidRPr="00187E44" w:rsidRDefault="003D378E" w:rsidP="00187E44">
            <w:pPr>
              <w:pStyle w:val="TableBodyText"/>
            </w:pPr>
            <w:r w:rsidRPr="00187E44">
              <w:t>Provide for a ‘BB storage capacity transaction’ to be a type of BB capacity transaction.</w:t>
            </w:r>
          </w:p>
        </w:tc>
        <w:tc>
          <w:tcPr>
            <w:tcW w:w="1667" w:type="pct"/>
          </w:tcPr>
          <w:p w14:paraId="79C1F4DA" w14:textId="77777777" w:rsidR="003D378E" w:rsidRPr="00187E44" w:rsidRDefault="003D378E" w:rsidP="00187E44">
            <w:pPr>
              <w:pStyle w:val="TableBodyText"/>
            </w:pPr>
            <w:r w:rsidRPr="00187E44">
              <w:t xml:space="preserve">A new definition of ‘BB transportation capacity transaction’ </w:t>
            </w:r>
            <w:r w:rsidR="00E81558" w:rsidRPr="00187E44">
              <w:t xml:space="preserve">would </w:t>
            </w:r>
            <w:r w:rsidRPr="00187E44">
              <w:t>cover what used to be a ‘BB capacity transaction’.</w:t>
            </w:r>
          </w:p>
          <w:p w14:paraId="20DB418A" w14:textId="77777777" w:rsidR="003D378E" w:rsidRPr="00187E44" w:rsidRDefault="003D378E" w:rsidP="00187E44">
            <w:pPr>
              <w:pStyle w:val="TableBodyText"/>
            </w:pPr>
            <w:r w:rsidRPr="00187E44">
              <w:t>The definition of ‘BB capacity transaction’ would be amended to encompass a BB transportation capacity transaction or a BB storage capacity transaction.</w:t>
            </w:r>
          </w:p>
        </w:tc>
      </w:tr>
      <w:tr w:rsidR="003D378E" w:rsidRPr="00977003" w14:paraId="7A43B474" w14:textId="77777777" w:rsidTr="007C110B">
        <w:trPr>
          <w:cantSplit/>
        </w:trPr>
        <w:tc>
          <w:tcPr>
            <w:tcW w:w="1422" w:type="pct"/>
            <w:vMerge/>
          </w:tcPr>
          <w:p w14:paraId="15E16BEE" w14:textId="77777777" w:rsidR="003D378E" w:rsidRDefault="003D378E" w:rsidP="00DA35AD">
            <w:pPr>
              <w:pStyle w:val="TableBodyText"/>
            </w:pPr>
          </w:p>
        </w:tc>
        <w:tc>
          <w:tcPr>
            <w:tcW w:w="1911" w:type="pct"/>
          </w:tcPr>
          <w:p w14:paraId="03F656DE" w14:textId="77777777" w:rsidR="003D378E" w:rsidRPr="00187E44" w:rsidRDefault="003D378E" w:rsidP="00187E44">
            <w:pPr>
              <w:pStyle w:val="TableBodyText"/>
            </w:pPr>
            <w:r w:rsidRPr="00187E44">
              <w:t>Specify the information that must be reported for a BB storage capacity transaction. As much of the information is similar to the information required for a BB transportation capacity transaction, to avoid dupl</w:t>
            </w:r>
            <w:r w:rsidR="00601104" w:rsidRPr="00187E44">
              <w:t xml:space="preserve">ication </w:t>
            </w:r>
            <w:r w:rsidRPr="00187E44">
              <w:t>it is propose</w:t>
            </w:r>
            <w:r w:rsidR="00601104" w:rsidRPr="00187E44">
              <w:t>d</w:t>
            </w:r>
            <w:r w:rsidRPr="00187E44">
              <w:t xml:space="preserve"> to include this within the definition of ‘capacity transaction information’</w:t>
            </w:r>
          </w:p>
        </w:tc>
        <w:tc>
          <w:tcPr>
            <w:tcW w:w="1667" w:type="pct"/>
          </w:tcPr>
          <w:p w14:paraId="1C6F281D" w14:textId="77777777" w:rsidR="003D378E" w:rsidRPr="00187E44" w:rsidRDefault="003D378E" w:rsidP="00187E44">
            <w:pPr>
              <w:pStyle w:val="TableBodyText"/>
            </w:pPr>
            <w:r w:rsidRPr="00187E44">
              <w:t xml:space="preserve">In rule 141(2A), information specific to BB transportation capacity transactions would be in paragraph </w:t>
            </w:r>
            <w:r w:rsidR="00DC205A" w:rsidRPr="00187E44">
              <w:t>(d)</w:t>
            </w:r>
            <w:r w:rsidRPr="00187E44">
              <w:t xml:space="preserve"> and information specific to BB storage capacity transactions would be in paragraph </w:t>
            </w:r>
            <w:r w:rsidR="00DC205A" w:rsidRPr="00187E44">
              <w:t>(e)</w:t>
            </w:r>
            <w:r w:rsidRPr="00187E44">
              <w:t>.</w:t>
            </w:r>
          </w:p>
          <w:p w14:paraId="6F62B37A" w14:textId="77777777" w:rsidR="003D378E" w:rsidRDefault="003D378E" w:rsidP="00187E44">
            <w:pPr>
              <w:pStyle w:val="TableBodyText"/>
            </w:pPr>
            <w:r w:rsidRPr="00187E44">
              <w:t>What is now paragraph (f) would allow for prices expressed in $/GJ (rather than $/GJ/day).</w:t>
            </w:r>
          </w:p>
          <w:p w14:paraId="388C5272" w14:textId="77777777" w:rsidR="00B732D2" w:rsidRPr="00187E44" w:rsidRDefault="00B732D2" w:rsidP="00B732D2">
            <w:pPr>
              <w:pStyle w:val="TableBodyText"/>
            </w:pPr>
            <w:r>
              <w:t>A consequential change would be made to the definition of term ‘service term’.</w:t>
            </w:r>
          </w:p>
        </w:tc>
      </w:tr>
      <w:tr w:rsidR="003D378E" w:rsidRPr="00977003" w14:paraId="461EAFEE" w14:textId="77777777" w:rsidTr="007C110B">
        <w:trPr>
          <w:cantSplit/>
        </w:trPr>
        <w:tc>
          <w:tcPr>
            <w:tcW w:w="1422" w:type="pct"/>
            <w:vMerge/>
          </w:tcPr>
          <w:p w14:paraId="126ECC91" w14:textId="77777777" w:rsidR="003D378E" w:rsidRDefault="003D378E" w:rsidP="00F949A9">
            <w:pPr>
              <w:pStyle w:val="TableBodyText"/>
            </w:pPr>
          </w:p>
        </w:tc>
        <w:tc>
          <w:tcPr>
            <w:tcW w:w="1911" w:type="pct"/>
          </w:tcPr>
          <w:p w14:paraId="3FAA850F" w14:textId="77777777" w:rsidR="003D378E" w:rsidRPr="00187E44" w:rsidRDefault="003D378E" w:rsidP="00187E44">
            <w:pPr>
              <w:pStyle w:val="TableBodyText"/>
            </w:pPr>
            <w:r w:rsidRPr="00187E44">
              <w:t xml:space="preserve">Identify the party to the transaction who is responsible for providing the short term gas transaction information to AEMO. </w:t>
            </w:r>
          </w:p>
        </w:tc>
        <w:tc>
          <w:tcPr>
            <w:tcW w:w="1667" w:type="pct"/>
          </w:tcPr>
          <w:p w14:paraId="0BBF54A3" w14:textId="77777777" w:rsidR="003D378E" w:rsidRPr="00187E44" w:rsidRDefault="001674DE" w:rsidP="00187E44">
            <w:pPr>
              <w:pStyle w:val="TableBodyText"/>
            </w:pPr>
            <w:r w:rsidRPr="00187E44">
              <w:t>T</w:t>
            </w:r>
            <w:r w:rsidR="003D378E" w:rsidRPr="00187E44">
              <w:t xml:space="preserve">he term ‘capacity seller’ </w:t>
            </w:r>
            <w:r w:rsidRPr="00187E44">
              <w:t xml:space="preserve">would be amended </w:t>
            </w:r>
            <w:r w:rsidR="003D378E" w:rsidRPr="00187E44">
              <w:t>to cover transactions for transportation or storage capacity.</w:t>
            </w:r>
          </w:p>
        </w:tc>
      </w:tr>
      <w:tr w:rsidR="003D378E" w:rsidRPr="00977003" w14:paraId="667F0427" w14:textId="77777777" w:rsidTr="007C110B">
        <w:trPr>
          <w:cantSplit/>
        </w:trPr>
        <w:tc>
          <w:tcPr>
            <w:tcW w:w="1422" w:type="pct"/>
            <w:vMerge/>
          </w:tcPr>
          <w:p w14:paraId="22501893" w14:textId="77777777" w:rsidR="003D378E" w:rsidRDefault="003D378E" w:rsidP="00F949A9">
            <w:pPr>
              <w:pStyle w:val="TableBodyText"/>
            </w:pPr>
          </w:p>
        </w:tc>
        <w:tc>
          <w:tcPr>
            <w:tcW w:w="1911" w:type="pct"/>
          </w:tcPr>
          <w:p w14:paraId="75CB9471" w14:textId="77777777" w:rsidR="003D378E" w:rsidRPr="00187E44" w:rsidRDefault="003D378E" w:rsidP="00187E44">
            <w:pPr>
              <w:pStyle w:val="TableBodyText"/>
            </w:pPr>
            <w:r w:rsidRPr="00187E44">
              <w:t>Provide for:</w:t>
            </w:r>
          </w:p>
          <w:p w14:paraId="1E0AB979" w14:textId="77777777" w:rsidR="003D378E" w:rsidRPr="007D35DE" w:rsidRDefault="003D378E" w:rsidP="007D35DE">
            <w:pPr>
              <w:pStyle w:val="Newtablebullet"/>
            </w:pPr>
            <w:r w:rsidRPr="007D35DE">
              <w:t>AEMO to report GSH transactions and the capacity seller to report all others</w:t>
            </w:r>
            <w:r w:rsidR="00E81558" w:rsidRPr="007D35DE">
              <w:t>;</w:t>
            </w:r>
          </w:p>
          <w:p w14:paraId="1C7A2BB4" w14:textId="77777777" w:rsidR="00E81558" w:rsidRPr="007D35DE" w:rsidRDefault="00E81558" w:rsidP="007D35DE">
            <w:pPr>
              <w:pStyle w:val="Newtablebullet"/>
            </w:pPr>
            <w:r w:rsidRPr="007D35DE">
              <w:t>the time at which the information must be provided; and</w:t>
            </w:r>
          </w:p>
          <w:p w14:paraId="15EB5C94" w14:textId="77777777" w:rsidR="003D378E" w:rsidRPr="007D35DE" w:rsidRDefault="003D378E" w:rsidP="007D35DE">
            <w:pPr>
              <w:pStyle w:val="Newtablebullet"/>
            </w:pPr>
            <w:r w:rsidRPr="007D35DE">
              <w:t>a person with a reporting obligation who is not registered under Part 18 to report using a BB reporting agent if they wish to do so</w:t>
            </w:r>
            <w:r w:rsidR="00E81558" w:rsidRPr="007D35DE">
              <w:t>.</w:t>
            </w:r>
          </w:p>
        </w:tc>
        <w:tc>
          <w:tcPr>
            <w:tcW w:w="1667" w:type="pct"/>
          </w:tcPr>
          <w:p w14:paraId="014B587C" w14:textId="77777777" w:rsidR="003D378E" w:rsidRPr="00187E44" w:rsidRDefault="003D378E" w:rsidP="00187E44">
            <w:pPr>
              <w:pStyle w:val="TableBodyText"/>
            </w:pPr>
            <w:r w:rsidRPr="00187E44">
              <w:t>Rule 190C</w:t>
            </w:r>
            <w:r w:rsidR="00DC205A" w:rsidRPr="00187E44">
              <w:t xml:space="preserve"> (capacity seller) and rule 190E (AEMO)</w:t>
            </w:r>
            <w:r w:rsidRPr="00187E44">
              <w:t>.</w:t>
            </w:r>
          </w:p>
          <w:p w14:paraId="428E41CC" w14:textId="77777777" w:rsidR="003D378E" w:rsidRPr="00187E44" w:rsidRDefault="001674DE" w:rsidP="00187E44">
            <w:pPr>
              <w:pStyle w:val="TableBodyText"/>
            </w:pPr>
            <w:r w:rsidRPr="00187E44">
              <w:t>T</w:t>
            </w:r>
            <w:r w:rsidR="003D378E" w:rsidRPr="00187E44">
              <w:t xml:space="preserve">he reporting agent provision </w:t>
            </w:r>
            <w:r w:rsidRPr="00187E44">
              <w:t xml:space="preserve">would be moved </w:t>
            </w:r>
            <w:r w:rsidR="003D378E" w:rsidRPr="00187E44">
              <w:t xml:space="preserve">from rule 190D to rule </w:t>
            </w:r>
            <w:r w:rsidR="00601104" w:rsidRPr="00187E44">
              <w:t>162</w:t>
            </w:r>
            <w:r w:rsidR="003D378E" w:rsidRPr="00187E44">
              <w:t>.</w:t>
            </w:r>
          </w:p>
        </w:tc>
      </w:tr>
      <w:tr w:rsidR="003D378E" w:rsidRPr="00977003" w14:paraId="1AEA7992" w14:textId="77777777" w:rsidTr="007C110B">
        <w:trPr>
          <w:cantSplit/>
        </w:trPr>
        <w:tc>
          <w:tcPr>
            <w:tcW w:w="1422" w:type="pct"/>
            <w:vMerge/>
          </w:tcPr>
          <w:p w14:paraId="31CF37B1" w14:textId="77777777" w:rsidR="003D378E" w:rsidRDefault="003D378E" w:rsidP="00F949A9">
            <w:pPr>
              <w:pStyle w:val="TableBodyText"/>
            </w:pPr>
          </w:p>
        </w:tc>
        <w:tc>
          <w:tcPr>
            <w:tcW w:w="1911" w:type="pct"/>
          </w:tcPr>
          <w:p w14:paraId="75984DE0" w14:textId="77777777" w:rsidR="003D378E" w:rsidRPr="00187E44" w:rsidRDefault="003D378E" w:rsidP="00187E44">
            <w:pPr>
              <w:pStyle w:val="TableBodyText"/>
            </w:pPr>
            <w:r w:rsidRPr="00187E44">
              <w:t>Provide for AEMO to publish the information but preclude AEMO from publishing party names.</w:t>
            </w:r>
          </w:p>
        </w:tc>
        <w:tc>
          <w:tcPr>
            <w:tcW w:w="1667" w:type="pct"/>
          </w:tcPr>
          <w:p w14:paraId="6EF07CA3" w14:textId="77777777" w:rsidR="003D378E" w:rsidRPr="00187E44" w:rsidRDefault="003D378E" w:rsidP="00187E44">
            <w:pPr>
              <w:pStyle w:val="TableBodyText"/>
            </w:pPr>
            <w:r w:rsidRPr="00187E44">
              <w:t>Rule 195A.</w:t>
            </w:r>
          </w:p>
        </w:tc>
      </w:tr>
    </w:tbl>
    <w:p w14:paraId="30468F5C" w14:textId="77777777" w:rsidR="00682302" w:rsidRPr="00E51706" w:rsidRDefault="00735283" w:rsidP="00E51706">
      <w:pPr>
        <w:pStyle w:val="Heading1"/>
      </w:pPr>
      <w:bookmarkStart w:id="81" w:name="_Toc45015282"/>
      <w:r>
        <w:lastRenderedPageBreak/>
        <w:t>Supply and availability of gas</w:t>
      </w:r>
      <w:bookmarkEnd w:id="81"/>
    </w:p>
    <w:p w14:paraId="1DF6948A" w14:textId="77777777" w:rsidR="008030EE" w:rsidRDefault="008030EE" w:rsidP="008030EE">
      <w:pPr>
        <w:pStyle w:val="BodyText"/>
      </w:pPr>
      <w:r>
        <w:t xml:space="preserve">This section describes the proposed approach in the Rules to </w:t>
      </w:r>
      <w:r w:rsidR="007D1E71">
        <w:t xml:space="preserve">the </w:t>
      </w:r>
      <w:r>
        <w:t xml:space="preserve">implementation of the measures </w:t>
      </w:r>
      <w:r w:rsidR="008214E7">
        <w:t xml:space="preserve">relating to the supply </w:t>
      </w:r>
      <w:r>
        <w:t>and availability of gas.</w:t>
      </w:r>
    </w:p>
    <w:p w14:paraId="17AD3CFD" w14:textId="77777777" w:rsidR="00C52FF2" w:rsidRPr="00E81558" w:rsidRDefault="00C52FF2" w:rsidP="00E81558">
      <w:pPr>
        <w:pStyle w:val="BodyText"/>
      </w:pPr>
      <w:r w:rsidRPr="00E81558">
        <w:t xml:space="preserve">The BB Procedures </w:t>
      </w:r>
      <w:r w:rsidR="004874A1" w:rsidRPr="00E81558">
        <w:t xml:space="preserve">would </w:t>
      </w:r>
      <w:r w:rsidRPr="00E81558">
        <w:t>also need to be amended to provide for matters such as the information to be provided to AEMO for registration of a field owner and BB field</w:t>
      </w:r>
      <w:r w:rsidR="001F284A">
        <w:t>. They would also</w:t>
      </w:r>
      <w:r w:rsidRPr="00E81558">
        <w:t xml:space="preserve"> provide more information </w:t>
      </w:r>
      <w:r w:rsidR="001F284A">
        <w:t xml:space="preserve">on </w:t>
      </w:r>
      <w:r w:rsidRPr="00E81558">
        <w:t xml:space="preserve">the sub-classifications to be used when reporting </w:t>
      </w:r>
      <w:r w:rsidR="00807324">
        <w:t xml:space="preserve">on the </w:t>
      </w:r>
      <w:r w:rsidR="0003286C">
        <w:t>type and nature of the gas field</w:t>
      </w:r>
      <w:r w:rsidR="00FE4CB4">
        <w:t xml:space="preserve"> and other classifications where SPE-PRMS does not provide for a classification</w:t>
      </w:r>
      <w:r w:rsidRPr="00E81558">
        <w:t xml:space="preserve">. AEMO </w:t>
      </w:r>
      <w:r w:rsidR="004874A1" w:rsidRPr="00E81558">
        <w:t xml:space="preserve">would </w:t>
      </w:r>
      <w:r w:rsidRPr="00E81558">
        <w:t xml:space="preserve">make these changes using the Procedures amendment process in the </w:t>
      </w:r>
      <w:r w:rsidR="00E81558">
        <w:t>Rule</w:t>
      </w:r>
      <w:r w:rsidRPr="00E81558">
        <w:t xml:space="preserve">. Consequential changes are needed to Part 15B as shown in </w:t>
      </w:r>
      <w:r w:rsidR="003C7D52" w:rsidRPr="00E81558">
        <w:t>Attachment A3</w:t>
      </w:r>
      <w:r w:rsidRPr="00E81558">
        <w:t>.</w:t>
      </w:r>
    </w:p>
    <w:p w14:paraId="6C097AFE" w14:textId="77777777" w:rsidR="00682302" w:rsidRDefault="00682302" w:rsidP="00DC4D79">
      <w:pPr>
        <w:pStyle w:val="Heading2"/>
      </w:pPr>
      <w:bookmarkStart w:id="82" w:name="_Toc45015283"/>
      <w:r>
        <w:t>Reserves and resources</w:t>
      </w:r>
      <w:r w:rsidR="00117DFE">
        <w:t xml:space="preserve"> information</w:t>
      </w:r>
      <w:bookmarkEnd w:id="82"/>
    </w:p>
    <w:tbl>
      <w:tblPr>
        <w:tblStyle w:val="ACCCTable11"/>
        <w:tblW w:w="5000" w:type="pct"/>
        <w:tblLook w:val="06A0" w:firstRow="1" w:lastRow="0" w:firstColumn="1" w:lastColumn="0" w:noHBand="1" w:noVBand="1"/>
      </w:tblPr>
      <w:tblGrid>
        <w:gridCol w:w="3967"/>
        <w:gridCol w:w="5382"/>
        <w:gridCol w:w="4600"/>
      </w:tblGrid>
      <w:tr w:rsidR="003217DF" w:rsidRPr="008B66B4" w14:paraId="47364B20"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left w:val="single" w:sz="4" w:space="0" w:color="auto"/>
              <w:bottom w:val="single" w:sz="4" w:space="0" w:color="auto"/>
            </w:tcBorders>
            <w:shd w:val="clear" w:color="auto" w:fill="005595"/>
          </w:tcPr>
          <w:p w14:paraId="42C04E3F" w14:textId="77777777" w:rsidR="003217DF"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668696FC" w14:textId="77777777" w:rsidR="003217DF" w:rsidRPr="002F7121" w:rsidRDefault="003217DF" w:rsidP="00187103">
            <w:pPr>
              <w:spacing w:before="20"/>
              <w:rPr>
                <w:rFonts w:cs="Arial"/>
              </w:rPr>
            </w:pPr>
            <w:r>
              <w:rPr>
                <w:rFonts w:cs="Arial"/>
              </w:rPr>
              <w:t>Proposed approach to implementation</w:t>
            </w:r>
          </w:p>
        </w:tc>
        <w:tc>
          <w:tcPr>
            <w:tcW w:w="1649" w:type="pct"/>
            <w:tcBorders>
              <w:bottom w:val="single" w:sz="4" w:space="0" w:color="auto"/>
              <w:right w:val="single" w:sz="4" w:space="0" w:color="auto"/>
            </w:tcBorders>
            <w:shd w:val="clear" w:color="auto" w:fill="005595"/>
            <w:hideMark/>
          </w:tcPr>
          <w:p w14:paraId="545B220E" w14:textId="77777777" w:rsidR="003217DF" w:rsidRPr="002F7121" w:rsidRDefault="0014087B" w:rsidP="00187103">
            <w:pPr>
              <w:spacing w:before="20"/>
              <w:rPr>
                <w:rFonts w:cs="Arial"/>
              </w:rPr>
            </w:pPr>
            <w:r>
              <w:rPr>
                <w:rFonts w:cs="Arial"/>
              </w:rPr>
              <w:t>Proposed amendments</w:t>
            </w:r>
            <w:r w:rsidR="003217DF">
              <w:rPr>
                <w:rFonts w:cs="Arial"/>
              </w:rPr>
              <w:t xml:space="preserve"> in </w:t>
            </w:r>
            <w:r w:rsidR="003217DF" w:rsidRPr="002F7121">
              <w:rPr>
                <w:rFonts w:cs="Arial"/>
              </w:rPr>
              <w:t>Part 18</w:t>
            </w:r>
          </w:p>
        </w:tc>
      </w:tr>
      <w:tr w:rsidR="00A568BD" w:rsidRPr="008B66B4" w14:paraId="07D576E6" w14:textId="77777777" w:rsidTr="007C110B">
        <w:trPr>
          <w:cantSplit/>
        </w:trPr>
        <w:tc>
          <w:tcPr>
            <w:tcW w:w="1422" w:type="pct"/>
            <w:vMerge w:val="restart"/>
          </w:tcPr>
          <w:p w14:paraId="08ECF4E1" w14:textId="77777777" w:rsidR="00A568BD" w:rsidRPr="00795556" w:rsidRDefault="00A568BD" w:rsidP="003217DF">
            <w:pPr>
              <w:pStyle w:val="TableBodyText"/>
            </w:pPr>
            <w:r w:rsidRPr="00795556">
              <w:t>Producers to report the following on the BB, in accordance with the ACCC’s proposed reporting framework, but allowing for joint venture parties to jointly report if jointly marketing gas:</w:t>
            </w:r>
          </w:p>
          <w:p w14:paraId="057AFE95" w14:textId="77777777" w:rsidR="00A568BD" w:rsidRPr="00795556" w:rsidRDefault="00A568BD" w:rsidP="00735283">
            <w:pPr>
              <w:pStyle w:val="Newtablebullet"/>
            </w:pPr>
            <w:r w:rsidRPr="00795556">
              <w:t>1P, 2P, 3P reserves and 2C resources (by field and, in the case of reserves, broken down into developed and undeveloped reserves);</w:t>
            </w:r>
          </w:p>
          <w:p w14:paraId="5A855F5D" w14:textId="77777777" w:rsidR="00A568BD" w:rsidRPr="00795556" w:rsidRDefault="00A568BD" w:rsidP="00735283">
            <w:pPr>
              <w:pStyle w:val="Newtablebullet"/>
            </w:pPr>
            <w:r w:rsidRPr="00795556">
              <w:t>12 month movements in 2P reserves (by field and broken down into production, extensions, net acquisitions, reserves upgrades, reserves downgrades and other revisions);</w:t>
            </w:r>
          </w:p>
          <w:p w14:paraId="49A84654" w14:textId="77777777" w:rsidR="00A568BD" w:rsidRPr="00795556" w:rsidRDefault="00A568BD" w:rsidP="00735283">
            <w:pPr>
              <w:pStyle w:val="Newtablebullet"/>
            </w:pPr>
            <w:r w:rsidRPr="00795556">
              <w:t>gas field information (e.g. the location of the field, the producer’s net revenue interest in the field, the type of gas in the field and the nature of the gas field);</w:t>
            </w:r>
          </w:p>
          <w:p w14:paraId="579EF2A9" w14:textId="77777777" w:rsidR="00A568BD" w:rsidRPr="00795556" w:rsidRDefault="00A568BD" w:rsidP="00735283">
            <w:pPr>
              <w:pStyle w:val="Newtablebullet"/>
            </w:pPr>
            <w:r w:rsidRPr="00795556">
              <w:t xml:space="preserve">the development status and likely timing of production from material fields (i.e. fields </w:t>
            </w:r>
            <w:r w:rsidRPr="00795556">
              <w:lastRenderedPageBreak/>
              <w:t>with more than 50 PJ of reserves or contingent resources) and a list of any barriers to the commercial recovery of 2C resources in these fields; and</w:t>
            </w:r>
          </w:p>
          <w:p w14:paraId="07D017B0" w14:textId="77777777" w:rsidR="00DC205A" w:rsidRDefault="00A568BD" w:rsidP="00DC205A">
            <w:pPr>
              <w:pStyle w:val="Newtablebullet"/>
            </w:pPr>
            <w:proofErr w:type="gramStart"/>
            <w:r w:rsidRPr="00795556">
              <w:t>the</w:t>
            </w:r>
            <w:proofErr w:type="gramEnd"/>
            <w:r w:rsidRPr="00795556">
              <w:t xml:space="preserve"> sensitivity of 2P estimates to a +/-10% change in gas price assumptions to be reported to AEMO for publication on the BB in an anonymised and aggregated manner.</w:t>
            </w:r>
          </w:p>
          <w:p w14:paraId="552969B1" w14:textId="77777777" w:rsidR="00DC205A" w:rsidRPr="00795556" w:rsidRDefault="00DC205A" w:rsidP="00942FD0">
            <w:pPr>
              <w:pStyle w:val="TableBodyText"/>
            </w:pPr>
            <w:r w:rsidRPr="00DC205A">
              <w:rPr>
                <w:i/>
              </w:rPr>
              <w:t xml:space="preserve">Refer </w:t>
            </w:r>
            <w:r w:rsidRPr="00DC205A">
              <w:t>to</w:t>
            </w:r>
            <w:r w:rsidRPr="00DC205A">
              <w:rPr>
                <w:i/>
              </w:rPr>
              <w:t xml:space="preserve"> section </w:t>
            </w:r>
            <w:r w:rsidR="00E54CFE">
              <w:rPr>
                <w:i/>
              </w:rPr>
              <w:fldChar w:fldCharType="begin"/>
            </w:r>
            <w:r w:rsidR="00E54CFE">
              <w:rPr>
                <w:i/>
              </w:rPr>
              <w:instrText xml:space="preserve"> REF _Ref42240428 \r \h </w:instrText>
            </w:r>
            <w:r w:rsidR="00E54CFE">
              <w:rPr>
                <w:i/>
              </w:rPr>
            </w:r>
            <w:r w:rsidR="00E54CFE">
              <w:rPr>
                <w:i/>
              </w:rPr>
              <w:fldChar w:fldCharType="separate"/>
            </w:r>
            <w:r w:rsidR="00844010">
              <w:rPr>
                <w:i/>
              </w:rPr>
              <w:t>6.1.1</w:t>
            </w:r>
            <w:r w:rsidR="00E54CFE">
              <w:rPr>
                <w:i/>
              </w:rPr>
              <w:fldChar w:fldCharType="end"/>
            </w:r>
            <w:r w:rsidRPr="00DC205A">
              <w:rPr>
                <w:i/>
              </w:rPr>
              <w:t xml:space="preserve"> </w:t>
            </w:r>
            <w:r w:rsidR="008A6CF2">
              <w:rPr>
                <w:i/>
              </w:rPr>
              <w:t xml:space="preserve">of this consultation paper </w:t>
            </w:r>
            <w:r w:rsidRPr="00DC205A">
              <w:rPr>
                <w:i/>
              </w:rPr>
              <w:t>for policy clarification.</w:t>
            </w:r>
          </w:p>
        </w:tc>
        <w:tc>
          <w:tcPr>
            <w:tcW w:w="1929" w:type="pct"/>
          </w:tcPr>
          <w:p w14:paraId="30C89254" w14:textId="77777777" w:rsidR="00A568BD" w:rsidRPr="00795556" w:rsidRDefault="00A568BD" w:rsidP="004E1DF0">
            <w:pPr>
              <w:pStyle w:val="TableBodyText"/>
            </w:pPr>
            <w:r w:rsidRPr="00795556">
              <w:lastRenderedPageBreak/>
              <w:t>Bring interests in a natural gas field for which a petroleum tenement has been granted within the scope of Part 18.</w:t>
            </w:r>
          </w:p>
        </w:tc>
        <w:tc>
          <w:tcPr>
            <w:tcW w:w="1649" w:type="pct"/>
          </w:tcPr>
          <w:p w14:paraId="19A270FE" w14:textId="77777777" w:rsidR="00A568BD" w:rsidRPr="00977003" w:rsidRDefault="00A568BD" w:rsidP="00097D93">
            <w:pPr>
              <w:pStyle w:val="TableBodyText"/>
            </w:pPr>
            <w:r w:rsidRPr="00977003">
              <w:t xml:space="preserve">New definitions of </w:t>
            </w:r>
            <w:r>
              <w:t>‘BB field’, ‘field’, ‘petroleum’ and ‘petroleum tenement’.</w:t>
            </w:r>
          </w:p>
        </w:tc>
      </w:tr>
      <w:tr w:rsidR="00E81558" w:rsidRPr="008B66B4" w14:paraId="31DEDC7C" w14:textId="77777777" w:rsidTr="007C110B">
        <w:trPr>
          <w:cantSplit/>
        </w:trPr>
        <w:tc>
          <w:tcPr>
            <w:tcW w:w="1422" w:type="pct"/>
            <w:vMerge/>
          </w:tcPr>
          <w:p w14:paraId="233F18FE" w14:textId="77777777" w:rsidR="00E81558" w:rsidRPr="00795556" w:rsidRDefault="00E81558" w:rsidP="003217DF">
            <w:pPr>
              <w:pStyle w:val="TableBodyText"/>
            </w:pPr>
          </w:p>
        </w:tc>
        <w:tc>
          <w:tcPr>
            <w:tcW w:w="1929" w:type="pct"/>
          </w:tcPr>
          <w:p w14:paraId="46AE8E08" w14:textId="77777777" w:rsidR="00E81558" w:rsidRDefault="00E81558" w:rsidP="001674DE">
            <w:pPr>
              <w:pStyle w:val="TableBodyText"/>
            </w:pPr>
            <w:r w:rsidRPr="00795556">
              <w:t xml:space="preserve">Exempt offshore fields supplying </w:t>
            </w:r>
            <w:r w:rsidR="001674DE" w:rsidRPr="00795556">
              <w:t>exclusively to</w:t>
            </w:r>
            <w:r w:rsidRPr="00795556">
              <w:t xml:space="preserve"> </w:t>
            </w:r>
            <w:r w:rsidR="001674DE" w:rsidRPr="00795556">
              <w:t xml:space="preserve">an </w:t>
            </w:r>
            <w:r w:rsidR="00A4670D" w:rsidRPr="00795556">
              <w:t>exempt N</w:t>
            </w:r>
            <w:r w:rsidR="001674DE" w:rsidRPr="00795556">
              <w:t>T facility</w:t>
            </w:r>
            <w:r w:rsidR="00A4670D" w:rsidRPr="00795556">
              <w:t>.</w:t>
            </w:r>
          </w:p>
          <w:p w14:paraId="124DA161" w14:textId="2B24B43B" w:rsidR="00DE78CD" w:rsidRPr="00795556" w:rsidRDefault="00DE78CD" w:rsidP="00DE78CD">
            <w:pPr>
              <w:pStyle w:val="TableBodyText"/>
            </w:pPr>
            <w:r>
              <w:t xml:space="preserve">Provide for these exemptions to come to an end if either the exempt NT facility ceases to be exempt, or if the field ceases to satisfy the condition that it must be supplying </w:t>
            </w:r>
            <w:r w:rsidRPr="00795556">
              <w:t>exclusively to an exempt NT facility</w:t>
            </w:r>
            <w:r>
              <w:t xml:space="preserve"> if it</w:t>
            </w:r>
            <w:r w:rsidR="00F54095">
              <w:t xml:space="preserve"> i</w:t>
            </w:r>
            <w:r>
              <w:t>s to be exempt.</w:t>
            </w:r>
          </w:p>
          <w:p w14:paraId="318BA6DE" w14:textId="77777777" w:rsidR="005E0B56" w:rsidRPr="00795556" w:rsidRDefault="005E0B56" w:rsidP="007D1E71">
            <w:pPr>
              <w:pStyle w:val="TableBodyText"/>
              <w:rPr>
                <w:i/>
                <w:iCs/>
              </w:rPr>
            </w:pPr>
            <w:r w:rsidRPr="00795556">
              <w:rPr>
                <w:i/>
                <w:iCs/>
              </w:rPr>
              <w:t>[</w:t>
            </w:r>
            <w:r w:rsidR="007D1E71" w:rsidRPr="00795556">
              <w:rPr>
                <w:i/>
                <w:iCs/>
              </w:rPr>
              <w:t>See section 6.1.1 Policy Clarification]</w:t>
            </w:r>
          </w:p>
        </w:tc>
        <w:tc>
          <w:tcPr>
            <w:tcW w:w="1649" w:type="pct"/>
          </w:tcPr>
          <w:p w14:paraId="558D63F2" w14:textId="77777777" w:rsidR="001674DE" w:rsidRDefault="001674DE" w:rsidP="001674DE">
            <w:pPr>
              <w:pStyle w:val="TableBodyText"/>
            </w:pPr>
            <w:r>
              <w:t>New definitions of ‘exempt NT field’ and ‘exempt NT field owner’ in r</w:t>
            </w:r>
            <w:r w:rsidR="00A4670D">
              <w:t xml:space="preserve">ule </w:t>
            </w:r>
            <w:proofErr w:type="gramStart"/>
            <w:r w:rsidR="00A4670D">
              <w:t>143A(</w:t>
            </w:r>
            <w:proofErr w:type="gramEnd"/>
            <w:r w:rsidR="00A4670D">
              <w:t>1)</w:t>
            </w:r>
            <w:r>
              <w:t>.</w:t>
            </w:r>
          </w:p>
          <w:p w14:paraId="21235C65" w14:textId="5D777131" w:rsidR="00E81558" w:rsidRDefault="001674DE" w:rsidP="001674DE">
            <w:pPr>
              <w:pStyle w:val="TableBodyText"/>
            </w:pPr>
            <w:r>
              <w:t xml:space="preserve">Rule </w:t>
            </w:r>
            <w:proofErr w:type="gramStart"/>
            <w:r>
              <w:t>143</w:t>
            </w:r>
            <w:r w:rsidR="00DE78CD">
              <w:t>A</w:t>
            </w:r>
            <w:r w:rsidR="00A4670D">
              <w:t>(</w:t>
            </w:r>
            <w:proofErr w:type="gramEnd"/>
            <w:r w:rsidR="00A4670D">
              <w:t>2A)</w:t>
            </w:r>
            <w:r w:rsidR="00DE78CD">
              <w:t xml:space="preserve"> specifies the exemption</w:t>
            </w:r>
            <w:r w:rsidR="00A4670D">
              <w:t>.</w:t>
            </w:r>
          </w:p>
          <w:p w14:paraId="2C4017D4" w14:textId="35D5C287" w:rsidR="00DE78CD" w:rsidRPr="00977003" w:rsidRDefault="00DE78CD" w:rsidP="00DE78CD">
            <w:pPr>
              <w:pStyle w:val="TableBodyText"/>
            </w:pPr>
            <w:r>
              <w:t xml:space="preserve">Rules </w:t>
            </w:r>
            <w:proofErr w:type="gramStart"/>
            <w:r>
              <w:t>143A(</w:t>
            </w:r>
            <w:proofErr w:type="gramEnd"/>
            <w:r>
              <w:t>3) and (3A) specify when the exemption ceases and Part 18 starts to apply.</w:t>
            </w:r>
          </w:p>
        </w:tc>
      </w:tr>
      <w:tr w:rsidR="00A568BD" w:rsidRPr="008B66B4" w14:paraId="58AA5C41" w14:textId="77777777" w:rsidTr="007C110B">
        <w:trPr>
          <w:cantSplit/>
        </w:trPr>
        <w:tc>
          <w:tcPr>
            <w:tcW w:w="1422" w:type="pct"/>
            <w:vMerge/>
          </w:tcPr>
          <w:p w14:paraId="4DBD4AED" w14:textId="4734C926" w:rsidR="00A568BD" w:rsidRDefault="00A568BD" w:rsidP="004E1DF0">
            <w:pPr>
              <w:pStyle w:val="TableBodyText"/>
            </w:pPr>
          </w:p>
        </w:tc>
        <w:tc>
          <w:tcPr>
            <w:tcW w:w="1929" w:type="pct"/>
          </w:tcPr>
          <w:p w14:paraId="71F043AE" w14:textId="77777777" w:rsidR="00601104" w:rsidRDefault="00A568BD" w:rsidP="00601104">
            <w:pPr>
              <w:pStyle w:val="TableBodyText"/>
            </w:pPr>
            <w:r>
              <w:t xml:space="preserve">Require each person with a net revenue interest in a petroleum tenement to register with AEMO under Part 18 in respect of its interest. </w:t>
            </w:r>
          </w:p>
          <w:p w14:paraId="29616565" w14:textId="77777777" w:rsidR="00E81558" w:rsidRDefault="00E81558" w:rsidP="00601104">
            <w:pPr>
              <w:pStyle w:val="TableBodyText"/>
            </w:pPr>
            <w:r>
              <w:t>Require AEMO to include details in the BB register.</w:t>
            </w:r>
          </w:p>
          <w:p w14:paraId="187B9ED9" w14:textId="77777777" w:rsidR="00601104" w:rsidRDefault="00A568BD" w:rsidP="00E81558">
            <w:pPr>
              <w:pStyle w:val="TableBodyText"/>
            </w:pPr>
            <w:r>
              <w:t xml:space="preserve">The term ‘BB field interest’ </w:t>
            </w:r>
            <w:r w:rsidR="00E81558">
              <w:t>would</w:t>
            </w:r>
            <w:r>
              <w:t xml:space="preserve"> be used to refer to the percentage inte</w:t>
            </w:r>
            <w:r w:rsidR="00E81558">
              <w:t>rest of a person in a BB field.</w:t>
            </w:r>
          </w:p>
        </w:tc>
        <w:tc>
          <w:tcPr>
            <w:tcW w:w="1649" w:type="pct"/>
          </w:tcPr>
          <w:p w14:paraId="5989A56D" w14:textId="77777777" w:rsidR="00A568BD" w:rsidRDefault="00A568BD" w:rsidP="004E1DF0">
            <w:pPr>
              <w:pStyle w:val="TableBodyText"/>
            </w:pPr>
            <w:r>
              <w:t>Ne</w:t>
            </w:r>
            <w:r w:rsidR="00601104">
              <w:t xml:space="preserve">w definitions of </w:t>
            </w:r>
            <w:r w:rsidR="00E81558">
              <w:t xml:space="preserve">‘BB field interest’, </w:t>
            </w:r>
            <w:r w:rsidR="00601104">
              <w:t>‘field owner’</w:t>
            </w:r>
            <w:r w:rsidR="00E81558">
              <w:t xml:space="preserve"> and ‘net revenue interest’.</w:t>
            </w:r>
          </w:p>
          <w:p w14:paraId="109C2217" w14:textId="77777777" w:rsidR="00A568BD" w:rsidRDefault="00A568BD" w:rsidP="004E1DF0">
            <w:pPr>
              <w:pStyle w:val="TableBodyText"/>
            </w:pPr>
            <w:r>
              <w:t xml:space="preserve">The entity </w:t>
            </w:r>
            <w:r w:rsidR="001674DE">
              <w:t>would</w:t>
            </w:r>
            <w:r>
              <w:t xml:space="preserve"> also be a ‘BB reporting entity’.</w:t>
            </w:r>
          </w:p>
          <w:p w14:paraId="50D47783" w14:textId="77777777" w:rsidR="00A568BD" w:rsidRDefault="00601104" w:rsidP="004E1DF0">
            <w:pPr>
              <w:pStyle w:val="TableBodyText"/>
            </w:pPr>
            <w:r>
              <w:t xml:space="preserve">Rule 151 in new </w:t>
            </w:r>
            <w:r w:rsidR="00A568BD">
              <w:t>Subdivision 3.</w:t>
            </w:r>
            <w:r>
              <w:t xml:space="preserve">1 </w:t>
            </w:r>
            <w:r w:rsidR="001674DE">
              <w:t xml:space="preserve">would </w:t>
            </w:r>
            <w:r>
              <w:t xml:space="preserve">provide for </w:t>
            </w:r>
            <w:r w:rsidR="00A568BD">
              <w:t>registration of field owners and BB field interests.</w:t>
            </w:r>
          </w:p>
          <w:p w14:paraId="01F9CE69" w14:textId="77777777" w:rsidR="00A568BD" w:rsidRDefault="00601104" w:rsidP="004E1DF0">
            <w:pPr>
              <w:pStyle w:val="TableBodyText"/>
            </w:pPr>
            <w:r>
              <w:t>New S</w:t>
            </w:r>
            <w:r w:rsidR="00A568BD">
              <w:t>ubdivision</w:t>
            </w:r>
            <w:r>
              <w:t xml:space="preserve"> 3.2 </w:t>
            </w:r>
            <w:r w:rsidR="00A568BD">
              <w:t>provide</w:t>
            </w:r>
            <w:r>
              <w:t>s</w:t>
            </w:r>
            <w:r w:rsidR="00A568BD">
              <w:t xml:space="preserve"> for </w:t>
            </w:r>
            <w:r>
              <w:t xml:space="preserve">the registration process, </w:t>
            </w:r>
            <w:r w:rsidR="00A568BD">
              <w:t xml:space="preserve">early registration and </w:t>
            </w:r>
            <w:r>
              <w:t>revocation of r</w:t>
            </w:r>
            <w:r w:rsidR="00A568BD">
              <w:t>egistration.</w:t>
            </w:r>
          </w:p>
          <w:p w14:paraId="6770423F" w14:textId="77777777" w:rsidR="00A568BD" w:rsidRPr="008B66B4" w:rsidRDefault="00A4670D" w:rsidP="00A4670D">
            <w:pPr>
              <w:pStyle w:val="TableBodyText"/>
            </w:pPr>
            <w:r>
              <w:t>The list of matters to be included in the BB register in rule 147(1) would be amended.</w:t>
            </w:r>
          </w:p>
        </w:tc>
      </w:tr>
      <w:tr w:rsidR="00A568BD" w:rsidRPr="008B66B4" w14:paraId="7D3C9FCE" w14:textId="77777777" w:rsidTr="007C110B">
        <w:trPr>
          <w:cantSplit/>
        </w:trPr>
        <w:tc>
          <w:tcPr>
            <w:tcW w:w="1422" w:type="pct"/>
            <w:vMerge/>
          </w:tcPr>
          <w:p w14:paraId="1AA213A4" w14:textId="77777777" w:rsidR="00A568BD" w:rsidRDefault="00A568BD" w:rsidP="003217DF">
            <w:pPr>
              <w:pStyle w:val="TableBodyText"/>
            </w:pPr>
          </w:p>
        </w:tc>
        <w:tc>
          <w:tcPr>
            <w:tcW w:w="1929" w:type="pct"/>
          </w:tcPr>
          <w:p w14:paraId="56D82EE1" w14:textId="77777777" w:rsidR="00A568BD" w:rsidRDefault="00A568BD" w:rsidP="003217DF">
            <w:pPr>
              <w:pStyle w:val="TableBodyText"/>
            </w:pPr>
            <w:r>
              <w:t xml:space="preserve">Allow a corporate group to nominate one entity to report on behalf of all group entities.  </w:t>
            </w:r>
          </w:p>
          <w:p w14:paraId="3E8B3F56" w14:textId="77777777" w:rsidR="00A568BD" w:rsidRDefault="00A568BD" w:rsidP="00A4670D">
            <w:pPr>
              <w:pStyle w:val="TableBodyText"/>
            </w:pPr>
            <w:r>
              <w:t xml:space="preserve">Unless engaged in joint marketing, each person or corporate group with an interest in a tenement would need to register separately, so that gas price assumptions used to estimate </w:t>
            </w:r>
            <w:r w:rsidR="00A4670D">
              <w:t>reserves and resources are not shared.</w:t>
            </w:r>
          </w:p>
        </w:tc>
        <w:tc>
          <w:tcPr>
            <w:tcW w:w="1649" w:type="pct"/>
          </w:tcPr>
          <w:p w14:paraId="7F0998A9" w14:textId="77777777" w:rsidR="00A568BD" w:rsidRDefault="00A568BD" w:rsidP="003217DF">
            <w:pPr>
              <w:pStyle w:val="TableBodyText"/>
            </w:pPr>
            <w:r>
              <w:t>New definition</w:t>
            </w:r>
            <w:r w:rsidR="00601104">
              <w:t>s</w:t>
            </w:r>
            <w:r>
              <w:t xml:space="preserve"> </w:t>
            </w:r>
            <w:r w:rsidR="00601104">
              <w:t>of</w:t>
            </w:r>
            <w:r w:rsidR="00A4670D">
              <w:t xml:space="preserve"> ‘field owner group’ and ‘responsible field owner’.</w:t>
            </w:r>
          </w:p>
          <w:p w14:paraId="2E32841B" w14:textId="77777777" w:rsidR="00601104" w:rsidRDefault="00601104" w:rsidP="00601104">
            <w:pPr>
              <w:pStyle w:val="TableBodyText"/>
            </w:pPr>
            <w:r>
              <w:t xml:space="preserve">New </w:t>
            </w:r>
            <w:proofErr w:type="spellStart"/>
            <w:r>
              <w:t>subrules</w:t>
            </w:r>
            <w:proofErr w:type="spellEnd"/>
            <w:r>
              <w:t xml:space="preserve"> 151</w:t>
            </w:r>
            <w:r w:rsidR="00A568BD">
              <w:t>(</w:t>
            </w:r>
            <w:r>
              <w:t>2</w:t>
            </w:r>
            <w:r w:rsidR="00A568BD">
              <w:t>)</w:t>
            </w:r>
            <w:r>
              <w:t xml:space="preserve"> to (6) and rule 155 deal with </w:t>
            </w:r>
            <w:r w:rsidR="00A568BD">
              <w:t>registration as part of a field owner group.</w:t>
            </w:r>
          </w:p>
          <w:p w14:paraId="6302CB42" w14:textId="77777777" w:rsidR="00A568BD" w:rsidRDefault="00601104" w:rsidP="00601104">
            <w:pPr>
              <w:pStyle w:val="TableBodyText"/>
            </w:pPr>
            <w:r>
              <w:t xml:space="preserve">New rule 158 deals with changes to group registrations. </w:t>
            </w:r>
          </w:p>
        </w:tc>
      </w:tr>
      <w:tr w:rsidR="00A568BD" w:rsidRPr="008B66B4" w14:paraId="5A9A8F9B" w14:textId="77777777" w:rsidTr="007C110B">
        <w:trPr>
          <w:cantSplit/>
        </w:trPr>
        <w:tc>
          <w:tcPr>
            <w:tcW w:w="1422" w:type="pct"/>
            <w:vMerge/>
          </w:tcPr>
          <w:p w14:paraId="19CB9335" w14:textId="77777777" w:rsidR="00A568BD" w:rsidRDefault="00A568BD" w:rsidP="003217DF">
            <w:pPr>
              <w:pStyle w:val="TableBodyText"/>
            </w:pPr>
          </w:p>
        </w:tc>
        <w:tc>
          <w:tcPr>
            <w:tcW w:w="1929" w:type="pct"/>
          </w:tcPr>
          <w:p w14:paraId="31DB04FD" w14:textId="77777777" w:rsidR="00A568BD" w:rsidRDefault="00A568BD" w:rsidP="003217DF">
            <w:pPr>
              <w:pStyle w:val="TableBodyText"/>
            </w:pPr>
            <w:r>
              <w:t>Allow persons who are engaged in joint marketing of natural gas from a field in which they have a net revenue interest to nominate one entity to report on behalf of the joint marketing participants.</w:t>
            </w:r>
          </w:p>
          <w:p w14:paraId="3A5B223F" w14:textId="77777777" w:rsidR="00A568BD" w:rsidRDefault="00A568BD" w:rsidP="003217DF">
            <w:pPr>
              <w:pStyle w:val="TableBodyText"/>
            </w:pPr>
            <w:r>
              <w:t>To provide transparency, require the BB register to note that registration as a group is on the basis of joint marketing</w:t>
            </w:r>
            <w:r w:rsidR="00795556">
              <w:t xml:space="preserve"> and the names of the participants</w:t>
            </w:r>
            <w:r>
              <w:t>.</w:t>
            </w:r>
          </w:p>
        </w:tc>
        <w:tc>
          <w:tcPr>
            <w:tcW w:w="1649" w:type="pct"/>
          </w:tcPr>
          <w:p w14:paraId="553D978A" w14:textId="77777777" w:rsidR="00A4670D" w:rsidRDefault="00A4670D" w:rsidP="00A4670D">
            <w:pPr>
              <w:pStyle w:val="TableBodyText"/>
            </w:pPr>
            <w:r>
              <w:t>New definitions of ‘field owner group’ and ‘responsible field owner’.</w:t>
            </w:r>
          </w:p>
          <w:p w14:paraId="36EB5C01" w14:textId="77777777" w:rsidR="00601104" w:rsidRDefault="00601104" w:rsidP="00601104">
            <w:pPr>
              <w:pStyle w:val="TableBodyText"/>
            </w:pPr>
            <w:r>
              <w:t xml:space="preserve">New </w:t>
            </w:r>
            <w:proofErr w:type="spellStart"/>
            <w:r>
              <w:t>subrules</w:t>
            </w:r>
            <w:proofErr w:type="spellEnd"/>
            <w:r>
              <w:t xml:space="preserve"> 151(2) to (6) and rule 155 </w:t>
            </w:r>
            <w:r w:rsidR="00942FD0">
              <w:t xml:space="preserve">would </w:t>
            </w:r>
            <w:r>
              <w:t>deal with registration as part of a field owner group.</w:t>
            </w:r>
          </w:p>
          <w:p w14:paraId="7E356827" w14:textId="77777777" w:rsidR="00601104" w:rsidRDefault="00601104" w:rsidP="00601104">
            <w:pPr>
              <w:pStyle w:val="TableBodyText"/>
            </w:pPr>
            <w:r>
              <w:t xml:space="preserve">New rule 158 </w:t>
            </w:r>
            <w:r w:rsidR="00942FD0">
              <w:t xml:space="preserve">would </w:t>
            </w:r>
            <w:r>
              <w:t xml:space="preserve">deals with changes to group registrations. </w:t>
            </w:r>
          </w:p>
          <w:p w14:paraId="61E99F8B" w14:textId="77777777" w:rsidR="00A568BD" w:rsidRDefault="00A568BD" w:rsidP="003217DF">
            <w:pPr>
              <w:pStyle w:val="TableBodyText"/>
            </w:pPr>
            <w:r>
              <w:t>New paragraph (d) in rule 147(1) requires the register to include particulars of the registration of the group on the basis of joint marketing.</w:t>
            </w:r>
          </w:p>
        </w:tc>
      </w:tr>
      <w:tr w:rsidR="00A568BD" w:rsidRPr="008B66B4" w14:paraId="37AE09B7" w14:textId="77777777" w:rsidTr="007C110B">
        <w:trPr>
          <w:cantSplit/>
        </w:trPr>
        <w:tc>
          <w:tcPr>
            <w:tcW w:w="1422" w:type="pct"/>
            <w:vMerge/>
          </w:tcPr>
          <w:p w14:paraId="76840DAA" w14:textId="77777777" w:rsidR="00A568BD" w:rsidRDefault="00A568BD" w:rsidP="003217DF">
            <w:pPr>
              <w:pStyle w:val="TableBodyText"/>
            </w:pPr>
          </w:p>
        </w:tc>
        <w:tc>
          <w:tcPr>
            <w:tcW w:w="1929" w:type="pct"/>
          </w:tcPr>
          <w:p w14:paraId="0A5344DB" w14:textId="77777777" w:rsidR="00A568BD" w:rsidRDefault="00A568BD" w:rsidP="00A4670D">
            <w:pPr>
              <w:pStyle w:val="TableBodyText"/>
            </w:pPr>
            <w:r>
              <w:t>Allow the tenement holder to determine the 12 month period over which it will report</w:t>
            </w:r>
            <w:r w:rsidR="00A4670D">
              <w:t>. This is</w:t>
            </w:r>
            <w:r>
              <w:t xml:space="preserve"> to allow the tenement holder to choose timing that aligns with other reporting obligations.</w:t>
            </w:r>
          </w:p>
          <w:p w14:paraId="430D233A" w14:textId="0BEE0C1D" w:rsidR="00A32A34" w:rsidRDefault="00A32A34" w:rsidP="00A32A34">
            <w:pPr>
              <w:pStyle w:val="TableBodyText"/>
            </w:pPr>
            <w:r>
              <w:t>Allow the BB Procedures to provide for changes to the reporting period if agreed with AEMO.</w:t>
            </w:r>
          </w:p>
        </w:tc>
        <w:tc>
          <w:tcPr>
            <w:tcW w:w="1649" w:type="pct"/>
          </w:tcPr>
          <w:p w14:paraId="6A0D3445" w14:textId="3E5B4032" w:rsidR="00A568BD" w:rsidRDefault="00A4670D" w:rsidP="003217DF">
            <w:pPr>
              <w:pStyle w:val="TableBodyText"/>
            </w:pPr>
            <w:r>
              <w:t>New d</w:t>
            </w:r>
            <w:r w:rsidR="00A568BD">
              <w:t>efinition of ‘</w:t>
            </w:r>
            <w:r w:rsidR="00942FD0">
              <w:t>reserves</w:t>
            </w:r>
            <w:r w:rsidR="00A568BD">
              <w:t xml:space="preserve"> reporting </w:t>
            </w:r>
            <w:r w:rsidR="00A32A34">
              <w:t>year</w:t>
            </w:r>
            <w:r w:rsidR="00A568BD">
              <w:t>’</w:t>
            </w:r>
            <w:r w:rsidR="00A32A34">
              <w:t xml:space="preserve"> in rule 171(7) and provision for change in rule 171(8)</w:t>
            </w:r>
            <w:r w:rsidR="00A568BD">
              <w:t>.</w:t>
            </w:r>
            <w:r w:rsidR="00A32A34">
              <w:t xml:space="preserve"> </w:t>
            </w:r>
          </w:p>
          <w:p w14:paraId="179B30DB" w14:textId="77777777" w:rsidR="00A568BD" w:rsidRDefault="001674DE" w:rsidP="003217DF">
            <w:pPr>
              <w:pStyle w:val="TableBodyText"/>
            </w:pPr>
            <w:r>
              <w:t>T</w:t>
            </w:r>
            <w:r w:rsidR="00A568BD">
              <w:t xml:space="preserve">he term </w:t>
            </w:r>
            <w:r>
              <w:t xml:space="preserve">would be used </w:t>
            </w:r>
            <w:r w:rsidR="00A568BD">
              <w:t>where relevant in Subdivision 5.2.</w:t>
            </w:r>
          </w:p>
        </w:tc>
      </w:tr>
      <w:tr w:rsidR="00A568BD" w:rsidRPr="008B66B4" w14:paraId="0CB88C85" w14:textId="77777777" w:rsidTr="007C110B">
        <w:trPr>
          <w:cantSplit/>
        </w:trPr>
        <w:tc>
          <w:tcPr>
            <w:tcW w:w="1422" w:type="pct"/>
            <w:vMerge/>
          </w:tcPr>
          <w:p w14:paraId="2AB78840" w14:textId="77777777" w:rsidR="00A568BD" w:rsidRDefault="00A568BD" w:rsidP="003217DF">
            <w:pPr>
              <w:pStyle w:val="TableBodyText"/>
            </w:pPr>
          </w:p>
        </w:tc>
        <w:tc>
          <w:tcPr>
            <w:tcW w:w="1929" w:type="pct"/>
          </w:tcPr>
          <w:p w14:paraId="5DF2BFC3" w14:textId="77777777" w:rsidR="00A568BD" w:rsidRDefault="00A568BD" w:rsidP="00A4670D">
            <w:pPr>
              <w:pStyle w:val="TableBodyText"/>
            </w:pPr>
            <w:r>
              <w:t xml:space="preserve">Identify who the BB reporting entity for a BB field interest </w:t>
            </w:r>
            <w:r w:rsidR="001F284A">
              <w:t xml:space="preserve">is </w:t>
            </w:r>
            <w:r>
              <w:t xml:space="preserve">and what is meant by ‘its’ field interests </w:t>
            </w:r>
            <w:r w:rsidR="00A4670D">
              <w:t xml:space="preserve">to clarify that this denotes registration as the </w:t>
            </w:r>
            <w:r>
              <w:t>BB reporting entity</w:t>
            </w:r>
            <w:r w:rsidR="00A4670D">
              <w:t>, not ownership</w:t>
            </w:r>
            <w:r>
              <w:t>.</w:t>
            </w:r>
          </w:p>
        </w:tc>
        <w:tc>
          <w:tcPr>
            <w:tcW w:w="1649" w:type="pct"/>
          </w:tcPr>
          <w:p w14:paraId="44B384BD" w14:textId="77777777" w:rsidR="00A568BD" w:rsidRDefault="00A568BD" w:rsidP="003217DF">
            <w:pPr>
              <w:pStyle w:val="TableBodyText"/>
            </w:pPr>
            <w:r>
              <w:t>Paragraph (d) of the definition of ‘BB reporting entity’ in rule 141.</w:t>
            </w:r>
          </w:p>
          <w:p w14:paraId="35F82BE4" w14:textId="77777777" w:rsidR="00A568BD" w:rsidRDefault="001674DE" w:rsidP="001674DE">
            <w:pPr>
              <w:pStyle w:val="TableBodyText"/>
            </w:pPr>
            <w:r>
              <w:t xml:space="preserve">The </w:t>
            </w:r>
            <w:r w:rsidR="00A4670D">
              <w:t>i</w:t>
            </w:r>
            <w:r>
              <w:t>nterpretation provision</w:t>
            </w:r>
            <w:r w:rsidR="00A568BD">
              <w:t xml:space="preserve"> </w:t>
            </w:r>
            <w:r>
              <w:t xml:space="preserve">would be included in </w:t>
            </w:r>
            <w:r w:rsidR="00A568BD">
              <w:t>rule 141(4).</w:t>
            </w:r>
          </w:p>
        </w:tc>
      </w:tr>
      <w:tr w:rsidR="00A568BD" w:rsidRPr="008B66B4" w14:paraId="28AE672F" w14:textId="77777777" w:rsidTr="007C110B">
        <w:trPr>
          <w:cantSplit/>
        </w:trPr>
        <w:tc>
          <w:tcPr>
            <w:tcW w:w="1422" w:type="pct"/>
            <w:vMerge/>
          </w:tcPr>
          <w:p w14:paraId="1EF370C2" w14:textId="77777777" w:rsidR="00A568BD" w:rsidRDefault="00A568BD" w:rsidP="003217DF">
            <w:pPr>
              <w:pStyle w:val="TableBodyText"/>
            </w:pPr>
          </w:p>
        </w:tc>
        <w:tc>
          <w:tcPr>
            <w:tcW w:w="1929" w:type="pct"/>
          </w:tcPr>
          <w:p w14:paraId="7C397CEB" w14:textId="77777777" w:rsidR="00A568BD" w:rsidRDefault="00A568BD" w:rsidP="003217DF">
            <w:pPr>
              <w:pStyle w:val="TableBodyText"/>
            </w:pPr>
            <w:r>
              <w:t>Require the BB reporting entity to give AEMO information about its BB field interests, covering:</w:t>
            </w:r>
          </w:p>
          <w:p w14:paraId="447A3749" w14:textId="77777777" w:rsidR="00A568BD" w:rsidRDefault="00A568BD" w:rsidP="00826843">
            <w:pPr>
              <w:pStyle w:val="Newtablebullet"/>
            </w:pPr>
            <w:r>
              <w:t>the location of the field</w:t>
            </w:r>
            <w:r w:rsidR="001674DE">
              <w:t>;</w:t>
            </w:r>
          </w:p>
          <w:p w14:paraId="1FA7C55C" w14:textId="73B375D2" w:rsidR="00A568BD" w:rsidRDefault="00A568BD" w:rsidP="00826843">
            <w:pPr>
              <w:pStyle w:val="Newtablebullet"/>
            </w:pPr>
            <w:r>
              <w:t>the basin in which it is located</w:t>
            </w:r>
            <w:r w:rsidR="00991124">
              <w:t>, using a basin name in the BB Procedures</w:t>
            </w:r>
            <w:r w:rsidR="001674DE">
              <w:t>;</w:t>
            </w:r>
          </w:p>
          <w:p w14:paraId="024B2C19" w14:textId="77777777" w:rsidR="00A568BD" w:rsidRDefault="00A568BD" w:rsidP="00826843">
            <w:pPr>
              <w:pStyle w:val="Newtablebullet"/>
            </w:pPr>
            <w:r>
              <w:t>the processing facility used to process gas from the field</w:t>
            </w:r>
            <w:r w:rsidR="001674DE">
              <w:t>;</w:t>
            </w:r>
          </w:p>
          <w:p w14:paraId="18E76E1C" w14:textId="77777777" w:rsidR="00A568BD" w:rsidRDefault="00A568BD" w:rsidP="00826843">
            <w:pPr>
              <w:pStyle w:val="Newtablebullet"/>
            </w:pPr>
            <w:r>
              <w:t>the net revenue interest</w:t>
            </w:r>
            <w:r w:rsidR="00601104">
              <w:t xml:space="preserve"> (as a percentage)</w:t>
            </w:r>
            <w:r w:rsidR="001674DE">
              <w:t>;</w:t>
            </w:r>
          </w:p>
          <w:p w14:paraId="0177F667" w14:textId="77777777" w:rsidR="00601104" w:rsidRDefault="00601104" w:rsidP="00826843">
            <w:pPr>
              <w:pStyle w:val="Newtablebullet"/>
            </w:pPr>
            <w:r>
              <w:t>where reporting for a field owner group, the net revenue interest of each member of the group (as a percentage)</w:t>
            </w:r>
            <w:r w:rsidR="001674DE">
              <w:t>;</w:t>
            </w:r>
          </w:p>
          <w:p w14:paraId="723489CF" w14:textId="77777777" w:rsidR="00A568BD" w:rsidRDefault="00601104" w:rsidP="00826843">
            <w:pPr>
              <w:pStyle w:val="Newtablebullet"/>
            </w:pPr>
            <w:r>
              <w:t>the nature of the gas field</w:t>
            </w:r>
            <w:r w:rsidR="001674DE">
              <w:t>; and</w:t>
            </w:r>
          </w:p>
          <w:p w14:paraId="6497B379" w14:textId="77777777" w:rsidR="00A568BD" w:rsidRDefault="00A568BD" w:rsidP="00826843">
            <w:pPr>
              <w:pStyle w:val="Newtablebullet"/>
            </w:pPr>
            <w:proofErr w:type="gramStart"/>
            <w:r>
              <w:t>the</w:t>
            </w:r>
            <w:proofErr w:type="gramEnd"/>
            <w:r>
              <w:t xml:space="preserve"> type of gas in the field.</w:t>
            </w:r>
          </w:p>
          <w:p w14:paraId="2ACD1647" w14:textId="77777777" w:rsidR="00A568BD" w:rsidRDefault="00A568BD" w:rsidP="003217DF">
            <w:pPr>
              <w:pStyle w:val="TableBodyText"/>
            </w:pPr>
            <w:r>
              <w:t xml:space="preserve">The information is to be provided on registration and </w:t>
            </w:r>
            <w:r w:rsidR="008A6CF2">
              <w:t xml:space="preserve">annually </w:t>
            </w:r>
            <w:r>
              <w:t>after that by the annual reporting date for the BB field interest.</w:t>
            </w:r>
          </w:p>
          <w:p w14:paraId="18DC7C29" w14:textId="77777777" w:rsidR="00601104" w:rsidRDefault="00601104" w:rsidP="00601104">
            <w:pPr>
              <w:pStyle w:val="TableBodyText"/>
            </w:pPr>
            <w:r>
              <w:t>AEMO would include a list of basins in the BB Procedures.</w:t>
            </w:r>
          </w:p>
        </w:tc>
        <w:tc>
          <w:tcPr>
            <w:tcW w:w="1649" w:type="pct"/>
          </w:tcPr>
          <w:p w14:paraId="5D93E69E" w14:textId="4DBA8618" w:rsidR="00A568BD" w:rsidRDefault="00A568BD" w:rsidP="003217DF">
            <w:pPr>
              <w:pStyle w:val="TableBodyText"/>
            </w:pPr>
            <w:r>
              <w:t xml:space="preserve">Rule </w:t>
            </w:r>
            <w:proofErr w:type="gramStart"/>
            <w:r>
              <w:t>171A(</w:t>
            </w:r>
            <w:proofErr w:type="gramEnd"/>
            <w:r>
              <w:t>1) in subdivision 5.2.</w:t>
            </w:r>
          </w:p>
          <w:p w14:paraId="0E031E4F" w14:textId="07B72EF3" w:rsidR="00A568BD" w:rsidRPr="005B6E3D" w:rsidRDefault="00A568BD" w:rsidP="003217DF">
            <w:pPr>
              <w:pStyle w:val="TableBodyText"/>
            </w:pPr>
          </w:p>
        </w:tc>
      </w:tr>
      <w:tr w:rsidR="00A568BD" w:rsidRPr="008B66B4" w14:paraId="4EB68E76" w14:textId="77777777" w:rsidTr="007C110B">
        <w:trPr>
          <w:cantSplit/>
        </w:trPr>
        <w:tc>
          <w:tcPr>
            <w:tcW w:w="1422" w:type="pct"/>
            <w:vMerge/>
          </w:tcPr>
          <w:p w14:paraId="45B94F8A" w14:textId="77777777" w:rsidR="00A568BD" w:rsidRDefault="00A568BD" w:rsidP="003217DF">
            <w:pPr>
              <w:pStyle w:val="TableBodyText"/>
            </w:pPr>
          </w:p>
        </w:tc>
        <w:tc>
          <w:tcPr>
            <w:tcW w:w="1929" w:type="pct"/>
          </w:tcPr>
          <w:p w14:paraId="712D3653" w14:textId="77777777" w:rsidR="00A568BD" w:rsidRDefault="00A568BD" w:rsidP="003217DF">
            <w:pPr>
              <w:pStyle w:val="TableBodyText"/>
            </w:pPr>
            <w:r>
              <w:t>Require the BB reporting entity to give AEMO reserves and resourc</w:t>
            </w:r>
            <w:r w:rsidR="001674DE">
              <w:t>es information for its BB field interests</w:t>
            </w:r>
            <w:r>
              <w:t>, covering:</w:t>
            </w:r>
          </w:p>
          <w:p w14:paraId="6E89FC25" w14:textId="31CF433B" w:rsidR="00A568BD" w:rsidRDefault="00A568BD" w:rsidP="00826843">
            <w:pPr>
              <w:pStyle w:val="Newtablebullet"/>
            </w:pPr>
            <w:r>
              <w:t>1P, 2P and 3P reserves</w:t>
            </w:r>
            <w:r w:rsidR="008D09C2">
              <w:t xml:space="preserve"> of </w:t>
            </w:r>
            <w:proofErr w:type="spellStart"/>
            <w:r w:rsidR="00195842">
              <w:t>processable</w:t>
            </w:r>
            <w:proofErr w:type="spellEnd"/>
            <w:r w:rsidR="00195842">
              <w:t xml:space="preserve"> </w:t>
            </w:r>
            <w:r w:rsidR="008D09C2">
              <w:t>gas</w:t>
            </w:r>
            <w:r w:rsidR="00C90BBE">
              <w:t xml:space="preserve"> </w:t>
            </w:r>
            <w:r w:rsidR="00A32A34">
              <w:t xml:space="preserve">as at the end of the reserves reporting year </w:t>
            </w:r>
            <w:r w:rsidR="00C90BBE">
              <w:t>(based on sales quantities)</w:t>
            </w:r>
            <w:r>
              <w:t>, broken down into developed and undeveloped reserves, and 2C resources</w:t>
            </w:r>
            <w:r w:rsidR="001674DE">
              <w:t>;</w:t>
            </w:r>
          </w:p>
          <w:p w14:paraId="3E9B0A28" w14:textId="62271B28" w:rsidR="00A568BD" w:rsidRDefault="00A568BD" w:rsidP="00826843">
            <w:pPr>
              <w:pStyle w:val="Newtablebullet"/>
            </w:pPr>
            <w:r>
              <w:t xml:space="preserve">movements in 2P reserves </w:t>
            </w:r>
            <w:r w:rsidR="008D09C2">
              <w:t xml:space="preserve">of </w:t>
            </w:r>
            <w:proofErr w:type="spellStart"/>
            <w:r w:rsidR="00195842">
              <w:t>processable</w:t>
            </w:r>
            <w:proofErr w:type="spellEnd"/>
            <w:r w:rsidR="00195842">
              <w:t xml:space="preserve"> </w:t>
            </w:r>
            <w:r w:rsidR="008D09C2">
              <w:t xml:space="preserve">gas </w:t>
            </w:r>
            <w:r>
              <w:t xml:space="preserve">over the </w:t>
            </w:r>
            <w:r w:rsidR="0094257F">
              <w:t xml:space="preserve">reserves reporting year </w:t>
            </w:r>
            <w:r>
              <w:t>down into the relevant categories</w:t>
            </w:r>
            <w:r w:rsidR="001674DE">
              <w:t>;</w:t>
            </w:r>
          </w:p>
          <w:p w14:paraId="5CE17DF7" w14:textId="77777777" w:rsidR="00A568BD" w:rsidRDefault="00A568BD" w:rsidP="00826843">
            <w:pPr>
              <w:pStyle w:val="Newtablebullet"/>
            </w:pPr>
            <w:r>
              <w:t>information on the development status of 2P reserves and 2C resources in fields that meet</w:t>
            </w:r>
            <w:r w:rsidR="001674DE">
              <w:t xml:space="preserve"> the materiality threshold; and</w:t>
            </w:r>
          </w:p>
          <w:p w14:paraId="51AA59FA" w14:textId="77777777" w:rsidR="00A568BD" w:rsidRDefault="00A568BD" w:rsidP="00826843">
            <w:pPr>
              <w:pStyle w:val="Newtablebullet"/>
            </w:pPr>
            <w:proofErr w:type="gramStart"/>
            <w:r>
              <w:t>a</w:t>
            </w:r>
            <w:proofErr w:type="gramEnd"/>
            <w:r>
              <w:t xml:space="preserve"> list of barriers to recovery of the 2C resources.</w:t>
            </w:r>
          </w:p>
          <w:p w14:paraId="0F4A9F38" w14:textId="1149BD54" w:rsidR="00A568BD" w:rsidRDefault="00A568BD" w:rsidP="00991124">
            <w:pPr>
              <w:pStyle w:val="TableBodyText"/>
            </w:pPr>
            <w:r>
              <w:t xml:space="preserve">The information is to be provided </w:t>
            </w:r>
            <w:r w:rsidR="0094257F">
              <w:t>4</w:t>
            </w:r>
            <w:r w:rsidR="00991124">
              <w:t>0 business days after the end o</w:t>
            </w:r>
            <w:r w:rsidR="0094257F">
              <w:t xml:space="preserve">f the reserves reporting year </w:t>
            </w:r>
            <w:r>
              <w:t>for the BB field interest.</w:t>
            </w:r>
            <w:r w:rsidR="0094257F">
              <w:t xml:space="preserve"> The 40 day period </w:t>
            </w:r>
            <w:r w:rsidR="00991124">
              <w:t xml:space="preserve">is proposed on the basis that it is </w:t>
            </w:r>
            <w:r w:rsidR="0094257F">
              <w:t xml:space="preserve">consistent with the period allowed for reserves reporting under other </w:t>
            </w:r>
            <w:r w:rsidR="00991124">
              <w:t xml:space="preserve">some other </w:t>
            </w:r>
            <w:r w:rsidR="0094257F">
              <w:t xml:space="preserve">reporting schemes. </w:t>
            </w:r>
          </w:p>
        </w:tc>
        <w:tc>
          <w:tcPr>
            <w:tcW w:w="1649" w:type="pct"/>
          </w:tcPr>
          <w:p w14:paraId="3CCAE130" w14:textId="54F0F34A" w:rsidR="00A568BD" w:rsidRDefault="001674DE" w:rsidP="003217DF">
            <w:pPr>
              <w:pStyle w:val="TableBodyText"/>
            </w:pPr>
            <w:r>
              <w:t xml:space="preserve">New definitions of </w:t>
            </w:r>
            <w:r w:rsidR="00A568BD">
              <w:t>‘2C</w:t>
            </w:r>
            <w:r w:rsidR="00A32A34">
              <w:t xml:space="preserve"> resources’ and</w:t>
            </w:r>
            <w:r w:rsidR="00A568BD">
              <w:t xml:space="preserve"> </w:t>
            </w:r>
            <w:r w:rsidR="00A32A34">
              <w:t>‘</w:t>
            </w:r>
            <w:r w:rsidR="00A568BD">
              <w:t>1P</w:t>
            </w:r>
            <w:r w:rsidR="00A32A34">
              <w:t xml:space="preserve"> reserves’</w:t>
            </w:r>
            <w:r w:rsidR="00A568BD">
              <w:t xml:space="preserve">, </w:t>
            </w:r>
            <w:r w:rsidR="00A32A34">
              <w:t>‘</w:t>
            </w:r>
            <w:r w:rsidR="00A568BD">
              <w:t xml:space="preserve">2P </w:t>
            </w:r>
            <w:r w:rsidR="00A32A34">
              <w:t xml:space="preserve">reserves’ </w:t>
            </w:r>
            <w:r w:rsidR="00A568BD">
              <w:t xml:space="preserve">and </w:t>
            </w:r>
            <w:r w:rsidR="00A32A34">
              <w:t>‘</w:t>
            </w:r>
            <w:r w:rsidR="00A568BD">
              <w:t>3P</w:t>
            </w:r>
            <w:r w:rsidR="00A32A34">
              <w:t xml:space="preserve"> reserves</w:t>
            </w:r>
            <w:r w:rsidR="00A568BD">
              <w:t>’ and ‘proved and probable reserves’</w:t>
            </w:r>
            <w:r w:rsidR="00A32A34">
              <w:t xml:space="preserve"> in rule 171(1)</w:t>
            </w:r>
            <w:r w:rsidR="00A568BD">
              <w:t>.</w:t>
            </w:r>
          </w:p>
          <w:p w14:paraId="4E2DD0F8" w14:textId="3AB24B6E" w:rsidR="00A568BD" w:rsidRPr="008B66B4" w:rsidRDefault="00A568BD" w:rsidP="00036B44">
            <w:pPr>
              <w:pStyle w:val="TableBodyText"/>
            </w:pPr>
            <w:r>
              <w:t xml:space="preserve">Rule </w:t>
            </w:r>
            <w:proofErr w:type="gramStart"/>
            <w:r>
              <w:t>171B(</w:t>
            </w:r>
            <w:proofErr w:type="gramEnd"/>
            <w:r>
              <w:t>1)</w:t>
            </w:r>
            <w:r w:rsidR="00036B44">
              <w:t>, (2) and (5)</w:t>
            </w:r>
            <w:r>
              <w:t>.</w:t>
            </w:r>
          </w:p>
        </w:tc>
      </w:tr>
      <w:tr w:rsidR="00A568BD" w:rsidRPr="008B66B4" w14:paraId="6A19DF4F" w14:textId="77777777" w:rsidTr="007C110B">
        <w:trPr>
          <w:cantSplit/>
        </w:trPr>
        <w:tc>
          <w:tcPr>
            <w:tcW w:w="1422" w:type="pct"/>
            <w:vMerge/>
          </w:tcPr>
          <w:p w14:paraId="4C8432F0" w14:textId="77777777" w:rsidR="00A568BD" w:rsidRDefault="00A568BD" w:rsidP="003217DF">
            <w:pPr>
              <w:pStyle w:val="TableBodyText"/>
            </w:pPr>
          </w:p>
        </w:tc>
        <w:tc>
          <w:tcPr>
            <w:tcW w:w="1929" w:type="pct"/>
          </w:tcPr>
          <w:p w14:paraId="06A2F483" w14:textId="77777777" w:rsidR="00A568BD" w:rsidRDefault="00A568BD" w:rsidP="003217DF">
            <w:pPr>
              <w:pStyle w:val="TableBodyText"/>
            </w:pPr>
            <w:r>
              <w:t>Require a BB reporting entity to update reserves and resources information for a BB field interest if:</w:t>
            </w:r>
          </w:p>
          <w:p w14:paraId="348AF878" w14:textId="77777777" w:rsidR="00A568BD" w:rsidRDefault="00A568BD" w:rsidP="00826843">
            <w:pPr>
              <w:pStyle w:val="Newtablebullet"/>
            </w:pPr>
            <w:r>
              <w:t>the total reserves estimate across all its BB field interests changes by 50 PJ or more as a result of changes in its BB field interests, re-evaluation of reserves or resources or discoveries; or</w:t>
            </w:r>
          </w:p>
          <w:p w14:paraId="526AD3E2" w14:textId="67855D1D" w:rsidR="00A568BD" w:rsidRDefault="00A568BD" w:rsidP="00826843">
            <w:pPr>
              <w:pStyle w:val="Newtablebullet"/>
            </w:pPr>
            <w:proofErr w:type="gramStart"/>
            <w:r>
              <w:t>it</w:t>
            </w:r>
            <w:proofErr w:type="gramEnd"/>
            <w:r>
              <w:t xml:space="preserve"> provides a new estimate to a </w:t>
            </w:r>
            <w:r w:rsidR="00036B44">
              <w:t xml:space="preserve">government, </w:t>
            </w:r>
            <w:r>
              <w:t>government agency</w:t>
            </w:r>
            <w:r w:rsidR="00036B44">
              <w:t xml:space="preserve"> or a securities exchange</w:t>
            </w:r>
            <w:r>
              <w:t>.</w:t>
            </w:r>
          </w:p>
        </w:tc>
        <w:tc>
          <w:tcPr>
            <w:tcW w:w="1649" w:type="pct"/>
          </w:tcPr>
          <w:p w14:paraId="674F5918" w14:textId="77777777" w:rsidR="00A568BD" w:rsidRDefault="00A568BD" w:rsidP="003217DF">
            <w:pPr>
              <w:pStyle w:val="TableBodyText"/>
            </w:pPr>
            <w:r>
              <w:t xml:space="preserve">Rule </w:t>
            </w:r>
            <w:proofErr w:type="gramStart"/>
            <w:r>
              <w:t>171B(</w:t>
            </w:r>
            <w:proofErr w:type="gramEnd"/>
            <w:r>
              <w:t>6)</w:t>
            </w:r>
            <w:r w:rsidR="00942FD0">
              <w:t>.</w:t>
            </w:r>
          </w:p>
        </w:tc>
      </w:tr>
      <w:tr w:rsidR="00A568BD" w:rsidRPr="008B66B4" w14:paraId="7B266583" w14:textId="77777777" w:rsidTr="007C110B">
        <w:trPr>
          <w:cantSplit/>
        </w:trPr>
        <w:tc>
          <w:tcPr>
            <w:tcW w:w="1422" w:type="pct"/>
            <w:vMerge/>
          </w:tcPr>
          <w:p w14:paraId="7D98C19F" w14:textId="77777777" w:rsidR="00A568BD" w:rsidRDefault="00A568BD" w:rsidP="003217DF">
            <w:pPr>
              <w:pStyle w:val="TableBodyText"/>
            </w:pPr>
          </w:p>
        </w:tc>
        <w:tc>
          <w:tcPr>
            <w:tcW w:w="1929" w:type="pct"/>
          </w:tcPr>
          <w:p w14:paraId="6848EE7D" w14:textId="77777777" w:rsidR="00A568BD" w:rsidRDefault="00A568BD" w:rsidP="00826843">
            <w:pPr>
              <w:pStyle w:val="TableBodyText"/>
            </w:pPr>
            <w:r>
              <w:t xml:space="preserve">Require a BB reporting entity to give AEMO information about the </w:t>
            </w:r>
            <w:r w:rsidRPr="00F5067C">
              <w:t xml:space="preserve">sensitivity of </w:t>
            </w:r>
            <w:r w:rsidR="001674DE">
              <w:t>its</w:t>
            </w:r>
            <w:r w:rsidRPr="00F5067C">
              <w:t xml:space="preserve"> 2P reserves estimates to a +/-10% change in the </w:t>
            </w:r>
            <w:r>
              <w:t xml:space="preserve">relevant </w:t>
            </w:r>
            <w:r w:rsidRPr="00F5067C">
              <w:t xml:space="preserve">gas price </w:t>
            </w:r>
            <w:r>
              <w:t>assumption.</w:t>
            </w:r>
          </w:p>
          <w:p w14:paraId="50F229D2" w14:textId="77777777" w:rsidR="00A568BD" w:rsidRDefault="00A568BD" w:rsidP="00826843">
            <w:pPr>
              <w:pStyle w:val="TableBodyText"/>
            </w:pPr>
            <w:r>
              <w:t>Require AEMO to publish the information in an aggregated form.</w:t>
            </w:r>
          </w:p>
        </w:tc>
        <w:tc>
          <w:tcPr>
            <w:tcW w:w="1649" w:type="pct"/>
          </w:tcPr>
          <w:p w14:paraId="753B3327" w14:textId="77777777" w:rsidR="00A568BD" w:rsidRDefault="00A568BD" w:rsidP="003217DF">
            <w:pPr>
              <w:pStyle w:val="TableBodyText"/>
            </w:pPr>
            <w:r>
              <w:t xml:space="preserve">Rules </w:t>
            </w:r>
            <w:proofErr w:type="gramStart"/>
            <w:r>
              <w:t>171B(</w:t>
            </w:r>
            <w:proofErr w:type="gramEnd"/>
            <w:r>
              <w:t>3) and 194(2)(c).</w:t>
            </w:r>
          </w:p>
        </w:tc>
      </w:tr>
      <w:tr w:rsidR="00A568BD" w:rsidRPr="008B66B4" w14:paraId="2F7F1A9C" w14:textId="77777777" w:rsidTr="007C110B">
        <w:trPr>
          <w:cantSplit/>
        </w:trPr>
        <w:tc>
          <w:tcPr>
            <w:tcW w:w="1422" w:type="pct"/>
            <w:vMerge/>
          </w:tcPr>
          <w:p w14:paraId="0B1146A8" w14:textId="77777777" w:rsidR="00A568BD" w:rsidRDefault="00A568BD" w:rsidP="003217DF">
            <w:pPr>
              <w:pStyle w:val="TableBodyText"/>
            </w:pPr>
          </w:p>
        </w:tc>
        <w:tc>
          <w:tcPr>
            <w:tcW w:w="1929" w:type="pct"/>
          </w:tcPr>
          <w:p w14:paraId="30D05C72" w14:textId="77777777" w:rsidR="00A568BD" w:rsidRDefault="00A568BD" w:rsidP="003217DF">
            <w:pPr>
              <w:pStyle w:val="TableBodyText"/>
            </w:pPr>
            <w:r>
              <w:t xml:space="preserve">Require a BB reporting entity to give AEMO a statement of the </w:t>
            </w:r>
            <w:r w:rsidRPr="00F358A6">
              <w:t>basis of preparation of the reserves and resources estimates</w:t>
            </w:r>
            <w:r>
              <w:t>.</w:t>
            </w:r>
          </w:p>
        </w:tc>
        <w:tc>
          <w:tcPr>
            <w:tcW w:w="1649" w:type="pct"/>
          </w:tcPr>
          <w:p w14:paraId="44774AD8" w14:textId="77777777" w:rsidR="00A568BD" w:rsidRDefault="00A568BD" w:rsidP="003217DF">
            <w:pPr>
              <w:pStyle w:val="TableBodyText"/>
            </w:pPr>
            <w:r>
              <w:t xml:space="preserve">Rule </w:t>
            </w:r>
            <w:proofErr w:type="gramStart"/>
            <w:r>
              <w:t>171B(</w:t>
            </w:r>
            <w:proofErr w:type="gramEnd"/>
            <w:r>
              <w:t>4)</w:t>
            </w:r>
            <w:r w:rsidR="001674DE">
              <w:t>.</w:t>
            </w:r>
          </w:p>
        </w:tc>
      </w:tr>
      <w:tr w:rsidR="00A568BD" w:rsidRPr="008B66B4" w14:paraId="7E91EFAB" w14:textId="77777777" w:rsidTr="007C110B">
        <w:trPr>
          <w:cantSplit/>
        </w:trPr>
        <w:tc>
          <w:tcPr>
            <w:tcW w:w="1422" w:type="pct"/>
            <w:vMerge/>
          </w:tcPr>
          <w:p w14:paraId="3A2C99DB" w14:textId="77777777" w:rsidR="00A568BD" w:rsidRDefault="00A568BD" w:rsidP="003217DF">
            <w:pPr>
              <w:pStyle w:val="TableBodyText"/>
            </w:pPr>
          </w:p>
        </w:tc>
        <w:tc>
          <w:tcPr>
            <w:tcW w:w="1929" w:type="pct"/>
          </w:tcPr>
          <w:p w14:paraId="5C172F76" w14:textId="77777777" w:rsidR="00A568BD" w:rsidRDefault="00A568BD" w:rsidP="003217DF">
            <w:pPr>
              <w:pStyle w:val="TableBodyText"/>
            </w:pPr>
            <w:r>
              <w:t>Amend the BB information standard to make it relevant to reserves and resources reporting and set the standard by reference to relevant industry standards.</w:t>
            </w:r>
          </w:p>
        </w:tc>
        <w:tc>
          <w:tcPr>
            <w:tcW w:w="1649" w:type="pct"/>
          </w:tcPr>
          <w:p w14:paraId="0084B7F5" w14:textId="77777777" w:rsidR="00A568BD" w:rsidRDefault="001674DE" w:rsidP="001674DE">
            <w:pPr>
              <w:pStyle w:val="TableBodyText"/>
            </w:pPr>
            <w:r>
              <w:t xml:space="preserve">New </w:t>
            </w:r>
            <w:r w:rsidR="00A568BD">
              <w:t xml:space="preserve">paragraph (b) </w:t>
            </w:r>
            <w:r>
              <w:t>in rule 165(2)</w:t>
            </w:r>
            <w:r w:rsidR="00A568BD">
              <w:t>.</w:t>
            </w:r>
          </w:p>
        </w:tc>
      </w:tr>
      <w:tr w:rsidR="00A568BD" w:rsidRPr="008B66B4" w14:paraId="79734275" w14:textId="77777777" w:rsidTr="007C110B">
        <w:trPr>
          <w:cantSplit/>
        </w:trPr>
        <w:tc>
          <w:tcPr>
            <w:tcW w:w="1422" w:type="pct"/>
            <w:vMerge/>
          </w:tcPr>
          <w:p w14:paraId="3FA45FC5" w14:textId="77777777" w:rsidR="00A568BD" w:rsidRDefault="00A568BD" w:rsidP="003217DF">
            <w:pPr>
              <w:pStyle w:val="TableBodyText"/>
            </w:pPr>
          </w:p>
        </w:tc>
        <w:tc>
          <w:tcPr>
            <w:tcW w:w="1929" w:type="pct"/>
          </w:tcPr>
          <w:p w14:paraId="1FFAD61F" w14:textId="77777777" w:rsidR="00A568BD" w:rsidRDefault="00A568BD" w:rsidP="003217DF">
            <w:pPr>
              <w:pStyle w:val="TableBodyText"/>
            </w:pPr>
            <w:r>
              <w:t>Specify that SPE-PRMS must be used for the classification of reserves and resources and (where it applies) any other classification required.</w:t>
            </w:r>
          </w:p>
        </w:tc>
        <w:tc>
          <w:tcPr>
            <w:tcW w:w="1649" w:type="pct"/>
          </w:tcPr>
          <w:p w14:paraId="74F516A9" w14:textId="77777777" w:rsidR="00A568BD" w:rsidRPr="008B66B4" w:rsidRDefault="00A568BD" w:rsidP="00942FD0">
            <w:pPr>
              <w:pStyle w:val="TableBodyText"/>
            </w:pPr>
            <w:r>
              <w:t xml:space="preserve">New definition of </w:t>
            </w:r>
            <w:r w:rsidR="001674DE">
              <w:t>‘</w:t>
            </w:r>
            <w:r>
              <w:t>SPE-PRMS</w:t>
            </w:r>
            <w:r w:rsidR="001674DE">
              <w:t>’</w:t>
            </w:r>
            <w:r>
              <w:t xml:space="preserve"> and rules 171(1) and (2).</w:t>
            </w:r>
          </w:p>
        </w:tc>
      </w:tr>
      <w:tr w:rsidR="00A568BD" w:rsidRPr="008B66B4" w14:paraId="3B97452A" w14:textId="77777777" w:rsidTr="007C110B">
        <w:trPr>
          <w:cantSplit/>
        </w:trPr>
        <w:tc>
          <w:tcPr>
            <w:tcW w:w="1422" w:type="pct"/>
            <w:vMerge/>
          </w:tcPr>
          <w:p w14:paraId="55C98674" w14:textId="77777777" w:rsidR="00A568BD" w:rsidRDefault="00A568BD" w:rsidP="003217DF">
            <w:pPr>
              <w:pStyle w:val="TableBodyText"/>
            </w:pPr>
          </w:p>
        </w:tc>
        <w:tc>
          <w:tcPr>
            <w:tcW w:w="1929" w:type="pct"/>
          </w:tcPr>
          <w:p w14:paraId="2F37E509" w14:textId="77777777" w:rsidR="00A568BD" w:rsidRDefault="00A568BD" w:rsidP="003217DF">
            <w:pPr>
              <w:pStyle w:val="TableBodyText"/>
            </w:pPr>
            <w:r>
              <w:t xml:space="preserve">Specify that all </w:t>
            </w:r>
            <w:r w:rsidRPr="00836297">
              <w:t>reserves and resources information</w:t>
            </w:r>
            <w:r>
              <w:t xml:space="preserve"> must be prepared by, or under the supervision of, a qualified petroleum reserves and resources evaluator.</w:t>
            </w:r>
          </w:p>
        </w:tc>
        <w:tc>
          <w:tcPr>
            <w:tcW w:w="1649" w:type="pct"/>
          </w:tcPr>
          <w:p w14:paraId="0E5A5C65" w14:textId="77777777" w:rsidR="00A568BD" w:rsidRDefault="00A568BD" w:rsidP="003217DF">
            <w:pPr>
              <w:pStyle w:val="TableBodyText"/>
            </w:pPr>
            <w:r>
              <w:t xml:space="preserve">Rule 171(5) and the </w:t>
            </w:r>
            <w:r w:rsidR="001674DE">
              <w:t xml:space="preserve">new </w:t>
            </w:r>
            <w:r>
              <w:t>definition of ‘qualified gas industry professional’.</w:t>
            </w:r>
          </w:p>
        </w:tc>
      </w:tr>
      <w:tr w:rsidR="00A568BD" w:rsidRPr="008B66B4" w14:paraId="0E724791" w14:textId="77777777" w:rsidTr="007C110B">
        <w:trPr>
          <w:cantSplit/>
        </w:trPr>
        <w:tc>
          <w:tcPr>
            <w:tcW w:w="1422" w:type="pct"/>
            <w:vMerge/>
          </w:tcPr>
          <w:p w14:paraId="3545381F" w14:textId="77777777" w:rsidR="00A568BD" w:rsidRDefault="00A568BD" w:rsidP="003217DF">
            <w:pPr>
              <w:pStyle w:val="TableBodyText"/>
            </w:pPr>
          </w:p>
        </w:tc>
        <w:tc>
          <w:tcPr>
            <w:tcW w:w="1929" w:type="pct"/>
          </w:tcPr>
          <w:p w14:paraId="3B86CB43" w14:textId="77777777" w:rsidR="00A568BD" w:rsidRDefault="00A568BD" w:rsidP="003217DF">
            <w:pPr>
              <w:pStyle w:val="TableBodyText"/>
            </w:pPr>
            <w:r>
              <w:t>Specify that forecast economic conditions must be used when estimating reserves and resources.</w:t>
            </w:r>
          </w:p>
        </w:tc>
        <w:tc>
          <w:tcPr>
            <w:tcW w:w="1649" w:type="pct"/>
          </w:tcPr>
          <w:p w14:paraId="3D30A68D" w14:textId="77777777" w:rsidR="00A568BD" w:rsidRDefault="00A568BD" w:rsidP="003217DF">
            <w:pPr>
              <w:pStyle w:val="TableBodyText"/>
            </w:pPr>
            <w:r>
              <w:t>Rule 171(4).</w:t>
            </w:r>
          </w:p>
        </w:tc>
      </w:tr>
      <w:tr w:rsidR="00A568BD" w:rsidRPr="008B66B4" w14:paraId="3BB41EB0" w14:textId="77777777" w:rsidTr="007C110B">
        <w:trPr>
          <w:cantSplit/>
        </w:trPr>
        <w:tc>
          <w:tcPr>
            <w:tcW w:w="1422" w:type="pct"/>
            <w:vMerge/>
          </w:tcPr>
          <w:p w14:paraId="51303F12" w14:textId="77777777" w:rsidR="00A568BD" w:rsidRDefault="00A568BD" w:rsidP="003217DF">
            <w:pPr>
              <w:pStyle w:val="TableBodyText"/>
            </w:pPr>
          </w:p>
        </w:tc>
        <w:tc>
          <w:tcPr>
            <w:tcW w:w="1929" w:type="pct"/>
          </w:tcPr>
          <w:p w14:paraId="42F074A0" w14:textId="77777777" w:rsidR="00A568BD" w:rsidRDefault="00A568BD" w:rsidP="003217DF">
            <w:pPr>
              <w:pStyle w:val="TableBodyText"/>
            </w:pPr>
            <w:r>
              <w:t>Specify how gas price assumptions used when estimating contracted and uncontracted reserves and resources are to be derived.</w:t>
            </w:r>
            <w:r w:rsidR="00B652EE">
              <w:t xml:space="preserve"> </w:t>
            </w:r>
          </w:p>
          <w:p w14:paraId="1DB6E4DC" w14:textId="77777777" w:rsidR="00A568BD" w:rsidRDefault="00A568BD" w:rsidP="001674DE">
            <w:pPr>
              <w:pStyle w:val="TableBodyText"/>
            </w:pPr>
            <w:r>
              <w:t>Require the gas price assumptions used for uncontracted reserves to be verified by an independent qualified petroleum reserves and resources evaluator, in a verification statement.</w:t>
            </w:r>
          </w:p>
        </w:tc>
        <w:tc>
          <w:tcPr>
            <w:tcW w:w="1649" w:type="pct"/>
          </w:tcPr>
          <w:p w14:paraId="0C769162" w14:textId="77777777" w:rsidR="00A568BD" w:rsidRDefault="00A568BD" w:rsidP="001674DE">
            <w:pPr>
              <w:pStyle w:val="TableBodyText"/>
            </w:pPr>
            <w:r>
              <w:t>Rule 171(6).</w:t>
            </w:r>
          </w:p>
        </w:tc>
      </w:tr>
      <w:tr w:rsidR="00A568BD" w:rsidRPr="008B66B4" w14:paraId="49D187FB" w14:textId="77777777" w:rsidTr="007C110B">
        <w:trPr>
          <w:cantSplit/>
        </w:trPr>
        <w:tc>
          <w:tcPr>
            <w:tcW w:w="1422" w:type="pct"/>
            <w:vMerge/>
          </w:tcPr>
          <w:p w14:paraId="080A27B9" w14:textId="77777777" w:rsidR="00A568BD" w:rsidRDefault="00A568BD" w:rsidP="003217DF">
            <w:pPr>
              <w:pStyle w:val="TableBodyText"/>
            </w:pPr>
          </w:p>
        </w:tc>
        <w:tc>
          <w:tcPr>
            <w:tcW w:w="1929" w:type="pct"/>
          </w:tcPr>
          <w:p w14:paraId="08A29943" w14:textId="77777777" w:rsidR="00A568BD" w:rsidRDefault="00A568BD" w:rsidP="003217DF">
            <w:pPr>
              <w:pStyle w:val="TableBodyText"/>
            </w:pPr>
            <w:r>
              <w:t>Allow the AER to require the BB reporting entity to appoint an independent qualified gas industry professional to undertake an audit of the information provided to AEMO relating to BB field interests.</w:t>
            </w:r>
          </w:p>
        </w:tc>
        <w:tc>
          <w:tcPr>
            <w:tcW w:w="1649" w:type="pct"/>
          </w:tcPr>
          <w:p w14:paraId="60DE4387" w14:textId="77777777" w:rsidR="00A568BD" w:rsidRDefault="00A568BD" w:rsidP="003217DF">
            <w:pPr>
              <w:pStyle w:val="TableBodyText"/>
            </w:pPr>
            <w:r>
              <w:t xml:space="preserve">Rule </w:t>
            </w:r>
            <w:proofErr w:type="gramStart"/>
            <w:r>
              <w:t>171C(</w:t>
            </w:r>
            <w:proofErr w:type="gramEnd"/>
            <w:r>
              <w:t>1).</w:t>
            </w:r>
          </w:p>
        </w:tc>
      </w:tr>
    </w:tbl>
    <w:p w14:paraId="065A7E48" w14:textId="77777777" w:rsidR="007D1E71" w:rsidRDefault="007D1E71" w:rsidP="007D1E71">
      <w:pPr>
        <w:pStyle w:val="Heading3"/>
      </w:pPr>
      <w:bookmarkStart w:id="83" w:name="_Ref42240428"/>
      <w:r>
        <w:t xml:space="preserve">Policy Clarification </w:t>
      </w:r>
      <w:r w:rsidR="00B36A35">
        <w:t xml:space="preserve">for NT </w:t>
      </w:r>
      <w:r>
        <w:t>offshore reserves and resources</w:t>
      </w:r>
      <w:bookmarkEnd w:id="83"/>
    </w:p>
    <w:p w14:paraId="58AB3851" w14:textId="77777777" w:rsidR="007D1E71" w:rsidRDefault="007D1E71" w:rsidP="00187103">
      <w:r>
        <w:t xml:space="preserve">The policy position set out in the DRIS stated that reserves and resources reporting in the </w:t>
      </w:r>
      <w:r w:rsidR="007D6C01">
        <w:t xml:space="preserve">NT </w:t>
      </w:r>
      <w:r>
        <w:t xml:space="preserve">(both onshore and offshore) would not be eligible for an exemption in the same way that NT LNG facilities are eligible for exemptions. </w:t>
      </w:r>
    </w:p>
    <w:p w14:paraId="3B9C630D" w14:textId="6EBDB710" w:rsidR="00B652EE" w:rsidRDefault="007D1E71" w:rsidP="00187103">
      <w:pPr>
        <w:rPr>
          <w:color w:val="000000" w:themeColor="text1"/>
        </w:rPr>
      </w:pPr>
      <w:r>
        <w:rPr>
          <w:color w:val="000000" w:themeColor="text1"/>
        </w:rPr>
        <w:t>V</w:t>
      </w:r>
      <w:r w:rsidRPr="003C5B1C">
        <w:rPr>
          <w:color w:val="000000" w:themeColor="text1"/>
        </w:rPr>
        <w:t xml:space="preserve">isibility over reserves and reserves </w:t>
      </w:r>
      <w:r>
        <w:rPr>
          <w:color w:val="000000" w:themeColor="text1"/>
        </w:rPr>
        <w:t xml:space="preserve">that </w:t>
      </w:r>
      <w:r w:rsidRPr="003C5B1C">
        <w:rPr>
          <w:b/>
          <w:bCs/>
          <w:color w:val="000000" w:themeColor="text1"/>
        </w:rPr>
        <w:t>exclusively</w:t>
      </w:r>
      <w:r w:rsidRPr="003C5B1C">
        <w:rPr>
          <w:color w:val="000000" w:themeColor="text1"/>
        </w:rPr>
        <w:t xml:space="preserve"> supply gas to exempt NT LNG facilities is not expected to provide any insight into gas supply to the domestic gas market. </w:t>
      </w:r>
      <w:r w:rsidR="00B652EE">
        <w:rPr>
          <w:color w:val="000000" w:themeColor="text1"/>
        </w:rPr>
        <w:t>T</w:t>
      </w:r>
      <w:r>
        <w:t xml:space="preserve">he policy </w:t>
      </w:r>
      <w:r w:rsidR="00B652EE">
        <w:t xml:space="preserve">has therefore been clarified </w:t>
      </w:r>
      <w:r>
        <w:t xml:space="preserve">to enable NT field </w:t>
      </w:r>
      <w:r w:rsidR="000D4DF1">
        <w:t>owners</w:t>
      </w:r>
      <w:r>
        <w:t xml:space="preserve"> </w:t>
      </w:r>
      <w:r w:rsidR="0020674A">
        <w:t xml:space="preserve">to obtain </w:t>
      </w:r>
      <w:r>
        <w:t xml:space="preserve">an exemption from reporting reserves and resources information and participating in the GSOO if they supply gas exclusively to NT LNG facility that is eligible for an exemption. </w:t>
      </w:r>
      <w:r w:rsidR="0020674A">
        <w:rPr>
          <w:color w:val="000000" w:themeColor="text1"/>
        </w:rPr>
        <w:t>I</w:t>
      </w:r>
      <w:r w:rsidR="00B652EE" w:rsidRPr="003C5B1C">
        <w:rPr>
          <w:color w:val="000000" w:themeColor="text1"/>
        </w:rPr>
        <w:t xml:space="preserve">f these field </w:t>
      </w:r>
      <w:r w:rsidR="000D4DF1">
        <w:rPr>
          <w:color w:val="000000" w:themeColor="text1"/>
        </w:rPr>
        <w:t>owners</w:t>
      </w:r>
      <w:r w:rsidR="00B652EE">
        <w:rPr>
          <w:color w:val="000000" w:themeColor="text1"/>
        </w:rPr>
        <w:t xml:space="preserve"> commence</w:t>
      </w:r>
      <w:r w:rsidR="00B652EE" w:rsidRPr="003C5B1C">
        <w:rPr>
          <w:color w:val="000000" w:themeColor="text1"/>
        </w:rPr>
        <w:t xml:space="preserve"> supply</w:t>
      </w:r>
      <w:r w:rsidR="00B652EE">
        <w:rPr>
          <w:color w:val="000000" w:themeColor="text1"/>
        </w:rPr>
        <w:t>ing</w:t>
      </w:r>
      <w:r w:rsidR="00B652EE" w:rsidRPr="003C5B1C">
        <w:rPr>
          <w:color w:val="000000" w:themeColor="text1"/>
        </w:rPr>
        <w:t xml:space="preserve"> </w:t>
      </w:r>
      <w:r w:rsidR="00B652EE" w:rsidRPr="000D4DF1">
        <w:rPr>
          <w:color w:val="000000" w:themeColor="text1"/>
          <w:u w:val="single"/>
        </w:rPr>
        <w:t>any</w:t>
      </w:r>
      <w:r w:rsidR="00B652EE" w:rsidRPr="003C5B1C">
        <w:rPr>
          <w:color w:val="000000" w:themeColor="text1"/>
        </w:rPr>
        <w:t xml:space="preserve"> gas to the domestic market,</w:t>
      </w:r>
      <w:r w:rsidR="00B652EE">
        <w:rPr>
          <w:color w:val="000000" w:themeColor="text1"/>
        </w:rPr>
        <w:t xml:space="preserve"> this exemption </w:t>
      </w:r>
      <w:r w:rsidR="0020674A">
        <w:rPr>
          <w:color w:val="000000" w:themeColor="text1"/>
        </w:rPr>
        <w:t xml:space="preserve">will no longer </w:t>
      </w:r>
      <w:r w:rsidR="00502022">
        <w:rPr>
          <w:color w:val="000000" w:themeColor="text1"/>
        </w:rPr>
        <w:t>apply,</w:t>
      </w:r>
      <w:r w:rsidR="00B652EE">
        <w:rPr>
          <w:color w:val="000000" w:themeColor="text1"/>
        </w:rPr>
        <w:t xml:space="preserve"> and they </w:t>
      </w:r>
      <w:r w:rsidR="00081206">
        <w:rPr>
          <w:color w:val="000000" w:themeColor="text1"/>
        </w:rPr>
        <w:t xml:space="preserve">will </w:t>
      </w:r>
      <w:r w:rsidR="00B652EE">
        <w:rPr>
          <w:color w:val="000000" w:themeColor="text1"/>
        </w:rPr>
        <w:t>need to commence</w:t>
      </w:r>
      <w:r w:rsidR="00B652EE" w:rsidRPr="003C5B1C">
        <w:rPr>
          <w:color w:val="000000" w:themeColor="text1"/>
        </w:rPr>
        <w:t xml:space="preserve"> reporting.</w:t>
      </w:r>
    </w:p>
    <w:p w14:paraId="2C04B1F0" w14:textId="362BE664" w:rsidR="001F7133" w:rsidRDefault="001F7133" w:rsidP="00187103">
      <w:r>
        <w:rPr>
          <w:color w:val="000000" w:themeColor="text1"/>
        </w:rPr>
        <w:t>In determining whether the field is supplying the exempt LNG facility exclusively, on-supply from the exempt NT facility will be disregarded. However, if as a result of on-supply the exempt NT facility loses its exemption, the field will also cease to be exempt.</w:t>
      </w:r>
    </w:p>
    <w:p w14:paraId="7990CB93" w14:textId="77777777" w:rsidR="007D1E71" w:rsidRPr="007D1E71" w:rsidRDefault="007D1E71" w:rsidP="00187103">
      <w:r>
        <w:t xml:space="preserve">If you would like to provide feedback on this issue, please respond in the template provided in </w:t>
      </w:r>
      <w:r w:rsidRPr="000B4A0B">
        <w:rPr>
          <w:b/>
          <w:bCs/>
        </w:rPr>
        <w:t xml:space="preserve">Attachment </w:t>
      </w:r>
      <w:r w:rsidR="000B4A0B" w:rsidRPr="000B4A0B">
        <w:rPr>
          <w:b/>
          <w:bCs/>
        </w:rPr>
        <w:t>B</w:t>
      </w:r>
      <w:r>
        <w:t xml:space="preserve">. </w:t>
      </w:r>
    </w:p>
    <w:p w14:paraId="42DECF26" w14:textId="77777777" w:rsidR="00E045BF" w:rsidRDefault="00E045BF" w:rsidP="00DC4D79">
      <w:pPr>
        <w:pStyle w:val="Heading2"/>
      </w:pPr>
      <w:bookmarkStart w:id="84" w:name="_Toc45015284"/>
      <w:r>
        <w:t>Gas price assumptions</w:t>
      </w:r>
      <w:bookmarkEnd w:id="84"/>
    </w:p>
    <w:tbl>
      <w:tblPr>
        <w:tblStyle w:val="ACCCTable11"/>
        <w:tblW w:w="5000" w:type="pct"/>
        <w:tblLayout w:type="fixed"/>
        <w:tblLook w:val="06A0" w:firstRow="1" w:lastRow="0" w:firstColumn="1" w:lastColumn="0" w:noHBand="1" w:noVBand="1"/>
      </w:tblPr>
      <w:tblGrid>
        <w:gridCol w:w="3967"/>
        <w:gridCol w:w="5382"/>
        <w:gridCol w:w="4600"/>
      </w:tblGrid>
      <w:tr w:rsidR="003217DF" w:rsidRPr="002F7121" w14:paraId="79E90881" w14:textId="77777777" w:rsidTr="00C57CF8">
        <w:trPr>
          <w:cnfStyle w:val="100000000000" w:firstRow="1" w:lastRow="0" w:firstColumn="0" w:lastColumn="0" w:oddVBand="0" w:evenVBand="0" w:oddHBand="0" w:evenHBand="0" w:firstRowFirstColumn="0" w:firstRowLastColumn="0" w:lastRowFirstColumn="0" w:lastRowLastColumn="0"/>
          <w:cantSplit/>
          <w:trHeight w:val="54"/>
          <w:tblHeader/>
        </w:trPr>
        <w:tc>
          <w:tcPr>
            <w:tcW w:w="1422" w:type="pct"/>
            <w:tcBorders>
              <w:left w:val="single" w:sz="4" w:space="0" w:color="auto"/>
              <w:bottom w:val="single" w:sz="4" w:space="0" w:color="auto"/>
            </w:tcBorders>
            <w:shd w:val="clear" w:color="auto" w:fill="005595"/>
          </w:tcPr>
          <w:p w14:paraId="78BDAB4F" w14:textId="77777777" w:rsidR="003217DF" w:rsidRDefault="00440252" w:rsidP="00187103">
            <w:pPr>
              <w:spacing w:before="20"/>
              <w:rPr>
                <w:rFonts w:cs="Arial"/>
              </w:rPr>
            </w:pPr>
            <w:r>
              <w:rPr>
                <w:rFonts w:cs="Arial"/>
              </w:rPr>
              <w:t xml:space="preserve">Endorsed </w:t>
            </w:r>
            <w:r w:rsidR="00AD7935">
              <w:rPr>
                <w:rFonts w:cs="Arial"/>
              </w:rPr>
              <w:t>measure</w:t>
            </w:r>
          </w:p>
        </w:tc>
        <w:tc>
          <w:tcPr>
            <w:tcW w:w="1929" w:type="pct"/>
            <w:tcBorders>
              <w:bottom w:val="single" w:sz="4" w:space="0" w:color="auto"/>
            </w:tcBorders>
            <w:shd w:val="clear" w:color="auto" w:fill="005595"/>
            <w:hideMark/>
          </w:tcPr>
          <w:p w14:paraId="1F61F2FB" w14:textId="77777777" w:rsidR="003217DF" w:rsidRPr="002F7121" w:rsidRDefault="003217DF" w:rsidP="00187103">
            <w:pPr>
              <w:spacing w:before="20"/>
              <w:rPr>
                <w:rFonts w:cs="Arial"/>
              </w:rPr>
            </w:pPr>
            <w:r>
              <w:rPr>
                <w:rFonts w:cs="Arial"/>
              </w:rPr>
              <w:t>Proposed approach to implementation</w:t>
            </w:r>
          </w:p>
        </w:tc>
        <w:tc>
          <w:tcPr>
            <w:tcW w:w="1649" w:type="pct"/>
            <w:tcBorders>
              <w:bottom w:val="single" w:sz="4" w:space="0" w:color="auto"/>
              <w:right w:val="single" w:sz="4" w:space="0" w:color="auto"/>
            </w:tcBorders>
            <w:shd w:val="clear" w:color="auto" w:fill="005595"/>
            <w:hideMark/>
          </w:tcPr>
          <w:p w14:paraId="0BB355A3" w14:textId="77777777" w:rsidR="003217DF" w:rsidRPr="002F7121" w:rsidRDefault="0014087B" w:rsidP="00187103">
            <w:pPr>
              <w:spacing w:before="20"/>
              <w:rPr>
                <w:rFonts w:cs="Arial"/>
              </w:rPr>
            </w:pPr>
            <w:r>
              <w:rPr>
                <w:rFonts w:cs="Arial"/>
              </w:rPr>
              <w:t>Proposed amendments</w:t>
            </w:r>
            <w:r w:rsidR="003217DF">
              <w:rPr>
                <w:rFonts w:cs="Arial"/>
              </w:rPr>
              <w:t xml:space="preserve"> in </w:t>
            </w:r>
            <w:r w:rsidR="003217DF" w:rsidRPr="002F7121">
              <w:rPr>
                <w:rFonts w:cs="Arial"/>
              </w:rPr>
              <w:t xml:space="preserve">Part </w:t>
            </w:r>
            <w:r w:rsidR="003217DF">
              <w:rPr>
                <w:rFonts w:cs="Arial"/>
              </w:rPr>
              <w:t xml:space="preserve">17 </w:t>
            </w:r>
            <w:r w:rsidR="001674DE">
              <w:rPr>
                <w:rFonts w:cs="Arial"/>
              </w:rPr>
              <w:t>or</w:t>
            </w:r>
            <w:r w:rsidR="003217DF">
              <w:rPr>
                <w:rFonts w:cs="Arial"/>
              </w:rPr>
              <w:t xml:space="preserve"> 18</w:t>
            </w:r>
          </w:p>
        </w:tc>
      </w:tr>
      <w:tr w:rsidR="003217DF" w14:paraId="1C8DE452" w14:textId="77777777" w:rsidTr="007C110B">
        <w:trPr>
          <w:cantSplit/>
        </w:trPr>
        <w:tc>
          <w:tcPr>
            <w:tcW w:w="1422" w:type="pct"/>
            <w:vMerge w:val="restart"/>
          </w:tcPr>
          <w:p w14:paraId="7BF84933" w14:textId="77777777" w:rsidR="003217DF" w:rsidRDefault="003217DF" w:rsidP="00E045BF">
            <w:pPr>
              <w:pStyle w:val="TableBodyText"/>
            </w:pPr>
            <w:r w:rsidRPr="003217DF">
              <w:t>Producers to report on the gas price assumptions underpinning the reserves and resources estimates.</w:t>
            </w:r>
          </w:p>
          <w:p w14:paraId="7F1D31F8" w14:textId="77777777" w:rsidR="005C49F7" w:rsidRDefault="003217DF" w:rsidP="005C49F7">
            <w:pPr>
              <w:pStyle w:val="TableBodyText"/>
            </w:pPr>
            <w:r>
              <w:t>The informati</w:t>
            </w:r>
            <w:r w:rsidR="005C49F7">
              <w:t xml:space="preserve">on is to be provided to the AER, </w:t>
            </w:r>
            <w:r w:rsidR="005C49F7" w:rsidRPr="003F06EA">
              <w:t>for publication on an anonymised and aggregated basis.</w:t>
            </w:r>
          </w:p>
        </w:tc>
        <w:tc>
          <w:tcPr>
            <w:tcW w:w="1929" w:type="pct"/>
          </w:tcPr>
          <w:p w14:paraId="1E12EE75" w14:textId="77777777" w:rsidR="003217DF" w:rsidRDefault="001674DE" w:rsidP="001674DE">
            <w:pPr>
              <w:pStyle w:val="TableBodyText"/>
            </w:pPr>
            <w:r>
              <w:t>R</w:t>
            </w:r>
            <w:r w:rsidRPr="001674DE">
              <w:t xml:space="preserve">equire the </w:t>
            </w:r>
            <w:r>
              <w:t xml:space="preserve">BB reporting entity for a BB field interest to provide to the AER its </w:t>
            </w:r>
            <w:r w:rsidRPr="001674DE">
              <w:t>gas price assumptions and the</w:t>
            </w:r>
            <w:r>
              <w:t xml:space="preserve"> verification statement</w:t>
            </w:r>
            <w:r w:rsidRPr="001674DE">
              <w:t>.</w:t>
            </w:r>
          </w:p>
        </w:tc>
        <w:tc>
          <w:tcPr>
            <w:tcW w:w="1649" w:type="pct"/>
          </w:tcPr>
          <w:p w14:paraId="5752BF9E" w14:textId="77777777" w:rsidR="003217DF" w:rsidRDefault="003217DF" w:rsidP="001674DE">
            <w:pPr>
              <w:pStyle w:val="TableBodyText"/>
            </w:pPr>
            <w:r>
              <w:t xml:space="preserve">Part 18, rule </w:t>
            </w:r>
            <w:proofErr w:type="gramStart"/>
            <w:r>
              <w:t>171C(</w:t>
            </w:r>
            <w:proofErr w:type="gramEnd"/>
            <w:r>
              <w:t xml:space="preserve">2). </w:t>
            </w:r>
          </w:p>
        </w:tc>
      </w:tr>
      <w:tr w:rsidR="003217DF" w14:paraId="1BEC9F6D" w14:textId="77777777" w:rsidTr="007C110B">
        <w:trPr>
          <w:cantSplit/>
        </w:trPr>
        <w:tc>
          <w:tcPr>
            <w:tcW w:w="1422" w:type="pct"/>
            <w:vMerge/>
          </w:tcPr>
          <w:p w14:paraId="0A7CE20D" w14:textId="77777777" w:rsidR="003217DF" w:rsidRDefault="003217DF" w:rsidP="00E045BF">
            <w:pPr>
              <w:pStyle w:val="TableBodyText"/>
            </w:pPr>
          </w:p>
        </w:tc>
        <w:tc>
          <w:tcPr>
            <w:tcW w:w="1929" w:type="pct"/>
          </w:tcPr>
          <w:p w14:paraId="73F8D267" w14:textId="77777777" w:rsidR="003217DF" w:rsidRPr="005C49F7" w:rsidRDefault="003217DF" w:rsidP="001674DE">
            <w:pPr>
              <w:pStyle w:val="TableBodyText"/>
            </w:pPr>
            <w:r w:rsidRPr="005C49F7">
              <w:t>Require the AER to publish at intervals determined by the AER, and at least annually, the gas price assumptions used by BB reporting entities to prepare reserves and resources estimates</w:t>
            </w:r>
            <w:r w:rsidR="001674DE" w:rsidRPr="005C49F7">
              <w:t>, on an anonymised basis</w:t>
            </w:r>
            <w:r w:rsidRPr="005C49F7">
              <w:t>.</w:t>
            </w:r>
            <w:r w:rsidR="005C49F7" w:rsidRPr="005C49F7">
              <w:t xml:space="preserve"> </w:t>
            </w:r>
          </w:p>
        </w:tc>
        <w:tc>
          <w:tcPr>
            <w:tcW w:w="1649" w:type="pct"/>
          </w:tcPr>
          <w:p w14:paraId="2BACB6C6" w14:textId="77777777" w:rsidR="003217DF" w:rsidRPr="005C49F7" w:rsidRDefault="003217DF" w:rsidP="001674DE">
            <w:pPr>
              <w:pStyle w:val="TableBodyText"/>
            </w:pPr>
            <w:r w:rsidRPr="005C49F7">
              <w:t>P</w:t>
            </w:r>
            <w:r w:rsidR="001674DE" w:rsidRPr="005C49F7">
              <w:t>art 17, rule 140A</w:t>
            </w:r>
            <w:r w:rsidRPr="005C49F7">
              <w:t>.</w:t>
            </w:r>
          </w:p>
        </w:tc>
      </w:tr>
    </w:tbl>
    <w:p w14:paraId="5FACD5BD" w14:textId="77777777" w:rsidR="00A120B8" w:rsidRDefault="00735283" w:rsidP="00DC4D79">
      <w:pPr>
        <w:pStyle w:val="Heading2"/>
      </w:pPr>
      <w:bookmarkStart w:id="85" w:name="_Toc45015285"/>
      <w:r>
        <w:lastRenderedPageBreak/>
        <w:t>Annual d</w:t>
      </w:r>
      <w:r w:rsidR="00E8611F">
        <w:t>rilling activities</w:t>
      </w:r>
      <w:bookmarkEnd w:id="85"/>
    </w:p>
    <w:tbl>
      <w:tblPr>
        <w:tblStyle w:val="ACCCTable11"/>
        <w:tblW w:w="5000" w:type="pct"/>
        <w:tblLayout w:type="fixed"/>
        <w:tblLook w:val="06A0" w:firstRow="1" w:lastRow="0" w:firstColumn="1" w:lastColumn="0" w:noHBand="1" w:noVBand="1"/>
      </w:tblPr>
      <w:tblGrid>
        <w:gridCol w:w="3970"/>
        <w:gridCol w:w="5385"/>
        <w:gridCol w:w="4604"/>
      </w:tblGrid>
      <w:tr w:rsidR="00A347DB" w:rsidRPr="002F7121" w14:paraId="6D6F15CF"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bottom w:val="single" w:sz="4" w:space="0" w:color="auto"/>
            </w:tcBorders>
            <w:shd w:val="clear" w:color="auto" w:fill="005595"/>
          </w:tcPr>
          <w:p w14:paraId="049095E5" w14:textId="77777777" w:rsidR="00A347DB"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39D32AB0" w14:textId="77777777" w:rsidR="00A347DB" w:rsidRPr="002F7121" w:rsidRDefault="00A347DB" w:rsidP="00187103">
            <w:pPr>
              <w:spacing w:before="20"/>
              <w:rPr>
                <w:rFonts w:cs="Arial"/>
              </w:rPr>
            </w:pPr>
            <w:r>
              <w:rPr>
                <w:rFonts w:cs="Arial"/>
              </w:rPr>
              <w:t>Proposed approach to implementation</w:t>
            </w:r>
          </w:p>
        </w:tc>
        <w:tc>
          <w:tcPr>
            <w:tcW w:w="1649" w:type="pct"/>
            <w:tcBorders>
              <w:bottom w:val="single" w:sz="4" w:space="0" w:color="auto"/>
            </w:tcBorders>
            <w:shd w:val="clear" w:color="auto" w:fill="005595"/>
            <w:hideMark/>
          </w:tcPr>
          <w:p w14:paraId="75197A20" w14:textId="77777777" w:rsidR="00A347DB" w:rsidRPr="002F7121" w:rsidRDefault="0014087B" w:rsidP="00187103">
            <w:pPr>
              <w:spacing w:before="20"/>
              <w:rPr>
                <w:rFonts w:cs="Arial"/>
              </w:rPr>
            </w:pPr>
            <w:r>
              <w:rPr>
                <w:rFonts w:cs="Arial"/>
              </w:rPr>
              <w:t>Proposed amendments</w:t>
            </w:r>
            <w:r w:rsidR="00A347DB">
              <w:rPr>
                <w:rFonts w:cs="Arial"/>
              </w:rPr>
              <w:t xml:space="preserve"> in </w:t>
            </w:r>
            <w:r w:rsidR="00A347DB" w:rsidRPr="002F7121">
              <w:rPr>
                <w:rFonts w:cs="Arial"/>
              </w:rPr>
              <w:t>Part</w:t>
            </w:r>
            <w:r w:rsidR="00A347DB">
              <w:rPr>
                <w:rFonts w:cs="Arial"/>
              </w:rPr>
              <w:t xml:space="preserve"> 15D.</w:t>
            </w:r>
          </w:p>
        </w:tc>
      </w:tr>
      <w:tr w:rsidR="001674DE" w:rsidRPr="00977003" w14:paraId="280498AA" w14:textId="77777777" w:rsidTr="007C110B">
        <w:trPr>
          <w:cantSplit/>
        </w:trPr>
        <w:tc>
          <w:tcPr>
            <w:tcW w:w="1422" w:type="pct"/>
            <w:vMerge w:val="restart"/>
          </w:tcPr>
          <w:p w14:paraId="59A48D86" w14:textId="77777777" w:rsidR="001674DE" w:rsidRDefault="001674DE" w:rsidP="001674DE">
            <w:pPr>
              <w:pStyle w:val="TableBodyText"/>
            </w:pPr>
            <w:r>
              <w:t>Producers to report on annual drilling activities (i.e. the number of exploration, appraisal and development wells drilled).</w:t>
            </w:r>
          </w:p>
          <w:p w14:paraId="18D63A1B" w14:textId="77777777" w:rsidR="001674DE" w:rsidRDefault="001674DE" w:rsidP="001674DE">
            <w:pPr>
              <w:pStyle w:val="TableBodyText"/>
            </w:pPr>
            <w:r>
              <w:t>The information is to be used by AEMO for the GSOO.</w:t>
            </w:r>
          </w:p>
          <w:p w14:paraId="6D7FCAEA" w14:textId="77777777" w:rsidR="001674DE" w:rsidRDefault="001674DE" w:rsidP="001674DE">
            <w:pPr>
              <w:pStyle w:val="TableBodyText"/>
            </w:pPr>
            <w:r w:rsidRPr="001674DE">
              <w:t>NT facilities that have an exemption under rule 143A would be exempt from this requirement.</w:t>
            </w:r>
          </w:p>
        </w:tc>
        <w:tc>
          <w:tcPr>
            <w:tcW w:w="1929" w:type="pct"/>
          </w:tcPr>
          <w:p w14:paraId="5A985A2F" w14:textId="77777777" w:rsidR="001674DE" w:rsidRDefault="001674DE" w:rsidP="001674DE">
            <w:pPr>
              <w:pStyle w:val="TableBodyText"/>
            </w:pPr>
            <w:r>
              <w:t>Specify in the Rules that the GSOO must include information about the number and type of wells drilled.</w:t>
            </w:r>
          </w:p>
        </w:tc>
        <w:tc>
          <w:tcPr>
            <w:tcW w:w="1649" w:type="pct"/>
          </w:tcPr>
          <w:p w14:paraId="21C89B90" w14:textId="77777777" w:rsidR="001674DE" w:rsidRPr="00E43796" w:rsidRDefault="001674DE" w:rsidP="001674DE">
            <w:pPr>
              <w:pStyle w:val="TableBodyText"/>
            </w:pPr>
            <w:r>
              <w:t xml:space="preserve">Part 15D, rule </w:t>
            </w:r>
            <w:proofErr w:type="gramStart"/>
            <w:r>
              <w:t>135KB</w:t>
            </w:r>
            <w:r w:rsidR="00525E82">
              <w:t>(</w:t>
            </w:r>
            <w:proofErr w:type="gramEnd"/>
            <w:r w:rsidR="00525E82">
              <w:t>1A)</w:t>
            </w:r>
            <w:r w:rsidR="00825A18">
              <w:t>.</w:t>
            </w:r>
          </w:p>
        </w:tc>
      </w:tr>
      <w:tr w:rsidR="001674DE" w:rsidRPr="00977003" w14:paraId="78B3B7D5" w14:textId="77777777" w:rsidTr="007C110B">
        <w:trPr>
          <w:cantSplit/>
        </w:trPr>
        <w:tc>
          <w:tcPr>
            <w:tcW w:w="1422" w:type="pct"/>
            <w:vMerge/>
          </w:tcPr>
          <w:p w14:paraId="536171D2" w14:textId="77777777" w:rsidR="001674DE" w:rsidRDefault="001674DE" w:rsidP="00A347DB">
            <w:pPr>
              <w:pStyle w:val="TableBodyText"/>
            </w:pPr>
          </w:p>
        </w:tc>
        <w:tc>
          <w:tcPr>
            <w:tcW w:w="1929" w:type="pct"/>
          </w:tcPr>
          <w:p w14:paraId="5C586ABE" w14:textId="77777777" w:rsidR="001674DE" w:rsidRDefault="001674DE" w:rsidP="001674DE">
            <w:pPr>
              <w:pStyle w:val="TableBodyText"/>
            </w:pPr>
            <w:r>
              <w:t>The GSOO Procedures would determine who must participate in the GSOO surveys and what information must be provided. This could extend to field owners and information about annual drilling activities.</w:t>
            </w:r>
          </w:p>
        </w:tc>
        <w:tc>
          <w:tcPr>
            <w:tcW w:w="1649" w:type="pct"/>
          </w:tcPr>
          <w:p w14:paraId="4703D29D" w14:textId="77777777" w:rsidR="001674DE" w:rsidRPr="00E43796" w:rsidRDefault="001674DE" w:rsidP="005C49F7">
            <w:pPr>
              <w:pStyle w:val="TableBodyText"/>
            </w:pPr>
            <w:r w:rsidRPr="00E43796">
              <w:t>The framework for the GSOO survey is described in section </w:t>
            </w:r>
            <w:r>
              <w:fldChar w:fldCharType="begin"/>
            </w:r>
            <w:r>
              <w:instrText xml:space="preserve"> REF _Ref36545166 \r \h </w:instrText>
            </w:r>
            <w:r>
              <w:fldChar w:fldCharType="separate"/>
            </w:r>
            <w:r w:rsidR="00844010">
              <w:t>9</w:t>
            </w:r>
            <w:r>
              <w:fldChar w:fldCharType="end"/>
            </w:r>
            <w:r w:rsidRPr="00E43796">
              <w:t xml:space="preserve"> below.</w:t>
            </w:r>
          </w:p>
        </w:tc>
      </w:tr>
      <w:tr w:rsidR="00D4472D" w:rsidRPr="00977003" w14:paraId="29BAE44D" w14:textId="77777777" w:rsidTr="007C110B">
        <w:trPr>
          <w:cantSplit/>
        </w:trPr>
        <w:tc>
          <w:tcPr>
            <w:tcW w:w="1422" w:type="pct"/>
            <w:vMerge/>
          </w:tcPr>
          <w:p w14:paraId="21A06EAD" w14:textId="77777777" w:rsidR="00D4472D" w:rsidRDefault="00D4472D" w:rsidP="00A347DB">
            <w:pPr>
              <w:pStyle w:val="TableBodyText"/>
            </w:pPr>
          </w:p>
        </w:tc>
        <w:tc>
          <w:tcPr>
            <w:tcW w:w="1929" w:type="pct"/>
          </w:tcPr>
          <w:p w14:paraId="22C2A5E9" w14:textId="77777777" w:rsidR="00D4472D" w:rsidRDefault="005C49F7" w:rsidP="00023335">
            <w:pPr>
              <w:pStyle w:val="TableBodyText"/>
            </w:pPr>
            <w:r>
              <w:t xml:space="preserve">To give effect to the exemption referred to in </w:t>
            </w:r>
            <w:r w:rsidR="00023335">
              <w:t>the endorsed option</w:t>
            </w:r>
            <w:r>
              <w:t xml:space="preserve">, exemptions from the </w:t>
            </w:r>
            <w:r w:rsidR="001674DE">
              <w:t xml:space="preserve">GSOO survey process </w:t>
            </w:r>
            <w:r>
              <w:t xml:space="preserve">would apply to </w:t>
            </w:r>
            <w:r w:rsidR="001674DE">
              <w:t>the exempt NT facilities</w:t>
            </w:r>
            <w:r>
              <w:t xml:space="preserve"> and the </w:t>
            </w:r>
            <w:r w:rsidR="001674DE">
              <w:t>field owners for offshore fields that exclusively supply to exempt NT facilities.</w:t>
            </w:r>
          </w:p>
        </w:tc>
        <w:tc>
          <w:tcPr>
            <w:tcW w:w="1649" w:type="pct"/>
          </w:tcPr>
          <w:p w14:paraId="2063A4ED" w14:textId="77777777" w:rsidR="00D4472D" w:rsidRDefault="001674DE" w:rsidP="001674DE">
            <w:pPr>
              <w:pStyle w:val="TableBodyText"/>
            </w:pPr>
            <w:r>
              <w:t>Part 15D, rule</w:t>
            </w:r>
            <w:r w:rsidR="00D847C3">
              <w:t>s</w:t>
            </w:r>
            <w:r>
              <w:t xml:space="preserve"> </w:t>
            </w:r>
            <w:proofErr w:type="gramStart"/>
            <w:r w:rsidR="005C49F7">
              <w:t>135KA</w:t>
            </w:r>
            <w:r>
              <w:t>(</w:t>
            </w:r>
            <w:proofErr w:type="gramEnd"/>
            <w:r>
              <w:t xml:space="preserve">2), (3) and (4). These provisions would rely on the exemptions in rule 143A in Part 18. </w:t>
            </w:r>
          </w:p>
        </w:tc>
      </w:tr>
    </w:tbl>
    <w:p w14:paraId="01D52D67" w14:textId="77777777" w:rsidR="00223694" w:rsidRDefault="00A347DB" w:rsidP="00223694">
      <w:pPr>
        <w:pStyle w:val="Heading2"/>
      </w:pPr>
      <w:bookmarkStart w:id="86" w:name="_Toc4502338"/>
      <w:bookmarkStart w:id="87" w:name="_Toc4502342"/>
      <w:bookmarkStart w:id="88" w:name="_Toc4502343"/>
      <w:bookmarkStart w:id="89" w:name="_Toc4502344"/>
      <w:bookmarkStart w:id="90" w:name="_Toc4502345"/>
      <w:bookmarkStart w:id="91" w:name="_Toc4502346"/>
      <w:bookmarkStart w:id="92" w:name="_Toc4502347"/>
      <w:bookmarkStart w:id="93" w:name="_Toc4502348"/>
      <w:bookmarkStart w:id="94" w:name="_Toc4502349"/>
      <w:bookmarkStart w:id="95" w:name="_Toc4502350"/>
      <w:bookmarkStart w:id="96" w:name="_Toc4502351"/>
      <w:bookmarkStart w:id="97" w:name="_Toc4502361"/>
      <w:bookmarkStart w:id="98" w:name="_Toc4502362"/>
      <w:bookmarkStart w:id="99" w:name="_Toc4502363"/>
      <w:bookmarkStart w:id="100" w:name="_Toc4502364"/>
      <w:bookmarkStart w:id="101" w:name="_Toc45015286"/>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t>Production estimates and c</w:t>
      </w:r>
      <w:r w:rsidR="00223694">
        <w:t xml:space="preserve">ontracted </w:t>
      </w:r>
      <w:r w:rsidR="00735283">
        <w:t>production</w:t>
      </w:r>
      <w:bookmarkEnd w:id="101"/>
    </w:p>
    <w:tbl>
      <w:tblPr>
        <w:tblStyle w:val="ACCCTable11"/>
        <w:tblW w:w="5000" w:type="pct"/>
        <w:tblLayout w:type="fixed"/>
        <w:tblLook w:val="06A0" w:firstRow="1" w:lastRow="0" w:firstColumn="1" w:lastColumn="0" w:noHBand="1" w:noVBand="1"/>
      </w:tblPr>
      <w:tblGrid>
        <w:gridCol w:w="3970"/>
        <w:gridCol w:w="5385"/>
        <w:gridCol w:w="4604"/>
      </w:tblGrid>
      <w:tr w:rsidR="00A347DB" w:rsidRPr="002F7121" w14:paraId="34F91785"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bottom w:val="single" w:sz="4" w:space="0" w:color="auto"/>
            </w:tcBorders>
            <w:shd w:val="clear" w:color="auto" w:fill="005595"/>
          </w:tcPr>
          <w:p w14:paraId="6A3B6A35" w14:textId="77777777" w:rsidR="00A347DB"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04667064" w14:textId="77777777" w:rsidR="00A347DB" w:rsidRPr="002F7121" w:rsidRDefault="00A347DB" w:rsidP="00187103">
            <w:pPr>
              <w:spacing w:before="20"/>
              <w:rPr>
                <w:rFonts w:cs="Arial"/>
              </w:rPr>
            </w:pPr>
            <w:r>
              <w:rPr>
                <w:rFonts w:cs="Arial"/>
              </w:rPr>
              <w:t>Proposed approach to implementation</w:t>
            </w:r>
          </w:p>
        </w:tc>
        <w:tc>
          <w:tcPr>
            <w:tcW w:w="1649" w:type="pct"/>
            <w:tcBorders>
              <w:bottom w:val="single" w:sz="4" w:space="0" w:color="auto"/>
            </w:tcBorders>
            <w:shd w:val="clear" w:color="auto" w:fill="005595"/>
            <w:hideMark/>
          </w:tcPr>
          <w:p w14:paraId="68F25D7B" w14:textId="77777777" w:rsidR="00A347DB" w:rsidRPr="002F7121" w:rsidRDefault="0014087B" w:rsidP="00187103">
            <w:pPr>
              <w:spacing w:before="20"/>
              <w:rPr>
                <w:rFonts w:cs="Arial"/>
              </w:rPr>
            </w:pPr>
            <w:r>
              <w:rPr>
                <w:rFonts w:cs="Arial"/>
              </w:rPr>
              <w:t>Proposed amendments</w:t>
            </w:r>
            <w:r w:rsidR="00A347DB">
              <w:rPr>
                <w:rFonts w:cs="Arial"/>
              </w:rPr>
              <w:t xml:space="preserve"> in </w:t>
            </w:r>
            <w:r w:rsidR="00A347DB" w:rsidRPr="002F7121">
              <w:rPr>
                <w:rFonts w:cs="Arial"/>
              </w:rPr>
              <w:t>Part</w:t>
            </w:r>
            <w:r w:rsidR="00A347DB">
              <w:rPr>
                <w:rFonts w:cs="Arial"/>
              </w:rPr>
              <w:t xml:space="preserve"> 15D</w:t>
            </w:r>
          </w:p>
        </w:tc>
      </w:tr>
      <w:tr w:rsidR="005C49F7" w:rsidRPr="00977003" w14:paraId="0F7CAAB1" w14:textId="77777777" w:rsidTr="007C110B">
        <w:trPr>
          <w:cantSplit/>
        </w:trPr>
        <w:tc>
          <w:tcPr>
            <w:tcW w:w="1422" w:type="pct"/>
            <w:vMerge w:val="restart"/>
          </w:tcPr>
          <w:p w14:paraId="53080901" w14:textId="77777777" w:rsidR="005C49F7" w:rsidRDefault="005C49F7" w:rsidP="005C49F7">
            <w:pPr>
              <w:pStyle w:val="TableBodyText"/>
            </w:pPr>
            <w:r w:rsidRPr="00A347DB">
              <w:t xml:space="preserve">Producers to report on the volume of gas they intend to produce and the volume of production that has already been contracted for each year of the GSOO forecast horizon. </w:t>
            </w:r>
          </w:p>
          <w:p w14:paraId="764E5456" w14:textId="77777777" w:rsidR="005C49F7" w:rsidRDefault="005C49F7" w:rsidP="005C49F7">
            <w:pPr>
              <w:pStyle w:val="TableBodyText"/>
            </w:pPr>
            <w:r>
              <w:t>The information is to be used by AEMO for the GSOO.</w:t>
            </w:r>
          </w:p>
          <w:p w14:paraId="36065371" w14:textId="77777777" w:rsidR="005C49F7" w:rsidRDefault="005C49F7" w:rsidP="005C49F7">
            <w:pPr>
              <w:pStyle w:val="TableBodyText"/>
            </w:pPr>
            <w:r w:rsidRPr="001674DE">
              <w:t>NT facilities that have an exemption under rule 143A would be exempt from this requirement.</w:t>
            </w:r>
          </w:p>
        </w:tc>
        <w:tc>
          <w:tcPr>
            <w:tcW w:w="1929" w:type="pct"/>
          </w:tcPr>
          <w:p w14:paraId="2BBBD49E" w14:textId="77777777" w:rsidR="005C49F7" w:rsidRPr="00AD7935" w:rsidRDefault="005C49F7" w:rsidP="005C49F7">
            <w:pPr>
              <w:pStyle w:val="TableBodyText"/>
              <w:rPr>
                <w:highlight w:val="yellow"/>
              </w:rPr>
            </w:pPr>
            <w:r w:rsidRPr="005C49F7">
              <w:t>Specify that the GSOO must include information about</w:t>
            </w:r>
            <w:r>
              <w:t xml:space="preserve"> gas production forecasts and </w:t>
            </w:r>
            <w:r w:rsidRPr="005C49F7">
              <w:t>the volume of gas production that has been contracted for each year of the forecast horizon.</w:t>
            </w:r>
            <w:r>
              <w:t xml:space="preserve"> </w:t>
            </w:r>
          </w:p>
        </w:tc>
        <w:tc>
          <w:tcPr>
            <w:tcW w:w="1649" w:type="pct"/>
          </w:tcPr>
          <w:p w14:paraId="5FD87E93" w14:textId="77777777" w:rsidR="005C49F7" w:rsidRDefault="005C49F7" w:rsidP="005C49F7">
            <w:pPr>
              <w:pStyle w:val="TableBodyText"/>
            </w:pPr>
            <w:r>
              <w:t xml:space="preserve">Rules </w:t>
            </w:r>
            <w:proofErr w:type="gramStart"/>
            <w:r>
              <w:t>135KB(</w:t>
            </w:r>
            <w:proofErr w:type="gramEnd"/>
            <w:r>
              <w:t>1)(aa) and (ab)</w:t>
            </w:r>
            <w:r w:rsidR="00825A18">
              <w:t>.</w:t>
            </w:r>
          </w:p>
        </w:tc>
      </w:tr>
      <w:tr w:rsidR="005C49F7" w:rsidRPr="00977003" w14:paraId="74097D49" w14:textId="77777777" w:rsidTr="007C110B">
        <w:trPr>
          <w:cantSplit/>
        </w:trPr>
        <w:tc>
          <w:tcPr>
            <w:tcW w:w="1422" w:type="pct"/>
            <w:vMerge/>
          </w:tcPr>
          <w:p w14:paraId="3CAD013F" w14:textId="77777777" w:rsidR="005C49F7" w:rsidRPr="00A347DB" w:rsidRDefault="005C49F7" w:rsidP="005C49F7">
            <w:pPr>
              <w:pStyle w:val="TableBodyText"/>
            </w:pPr>
          </w:p>
        </w:tc>
        <w:tc>
          <w:tcPr>
            <w:tcW w:w="1929" w:type="pct"/>
          </w:tcPr>
          <w:p w14:paraId="5415A986" w14:textId="77777777" w:rsidR="005C49F7" w:rsidRDefault="005C49F7" w:rsidP="005C49F7">
            <w:pPr>
              <w:pStyle w:val="TableBodyText"/>
            </w:pPr>
            <w:r>
              <w:t xml:space="preserve">The GSOO Procedures would determine who must participate in the GSOO surveys and what information must be provided. This could extend to field owners and information about production forecasts and contracted production.  </w:t>
            </w:r>
          </w:p>
        </w:tc>
        <w:tc>
          <w:tcPr>
            <w:tcW w:w="1649" w:type="pct"/>
          </w:tcPr>
          <w:p w14:paraId="5E155923" w14:textId="77777777" w:rsidR="005C49F7" w:rsidRDefault="005C49F7" w:rsidP="005C49F7">
            <w:pPr>
              <w:pStyle w:val="TableBodyText"/>
            </w:pPr>
            <w:r w:rsidRPr="00E43796">
              <w:t>The framework for the GSOO survey is described in section </w:t>
            </w:r>
            <w:r>
              <w:fldChar w:fldCharType="begin"/>
            </w:r>
            <w:r>
              <w:instrText xml:space="preserve"> REF _Ref36545166 \r \h </w:instrText>
            </w:r>
            <w:r>
              <w:fldChar w:fldCharType="separate"/>
            </w:r>
            <w:r w:rsidR="00844010">
              <w:t>9</w:t>
            </w:r>
            <w:r>
              <w:fldChar w:fldCharType="end"/>
            </w:r>
            <w:r w:rsidRPr="00E43796">
              <w:t xml:space="preserve"> below.</w:t>
            </w:r>
          </w:p>
        </w:tc>
      </w:tr>
      <w:tr w:rsidR="00601104" w:rsidRPr="00977003" w14:paraId="5FCB8D1D" w14:textId="77777777" w:rsidTr="007C110B">
        <w:trPr>
          <w:cantSplit/>
        </w:trPr>
        <w:tc>
          <w:tcPr>
            <w:tcW w:w="1422" w:type="pct"/>
            <w:vMerge/>
          </w:tcPr>
          <w:p w14:paraId="2B18571A" w14:textId="77777777" w:rsidR="00601104" w:rsidRPr="00A347DB" w:rsidRDefault="00601104" w:rsidP="00601104">
            <w:pPr>
              <w:pStyle w:val="TableBodyText"/>
            </w:pPr>
          </w:p>
        </w:tc>
        <w:tc>
          <w:tcPr>
            <w:tcW w:w="1929" w:type="pct"/>
          </w:tcPr>
          <w:p w14:paraId="5FD24467" w14:textId="77777777" w:rsidR="00601104" w:rsidRDefault="005C49F7" w:rsidP="00023335">
            <w:pPr>
              <w:pStyle w:val="TableBodyText"/>
            </w:pPr>
            <w:r>
              <w:t xml:space="preserve">To give effect to the exemption referred to in </w:t>
            </w:r>
            <w:r w:rsidR="00023335">
              <w:t>the endorsed option</w:t>
            </w:r>
            <w:r>
              <w:t>, exemptions from the GSOO survey process would apply to the exempt NT facilities and the field owners for offshore fields that exclusively supply to exempt NT facilities.</w:t>
            </w:r>
          </w:p>
        </w:tc>
        <w:tc>
          <w:tcPr>
            <w:tcW w:w="1649" w:type="pct"/>
          </w:tcPr>
          <w:p w14:paraId="209719F5" w14:textId="77777777" w:rsidR="00601104" w:rsidRDefault="005C49F7" w:rsidP="00601104">
            <w:pPr>
              <w:pStyle w:val="TableBodyText"/>
              <w:rPr>
                <w:highlight w:val="yellow"/>
              </w:rPr>
            </w:pPr>
            <w:r>
              <w:t>Part 15D, rule</w:t>
            </w:r>
            <w:r w:rsidR="00D847C3">
              <w:t>s</w:t>
            </w:r>
            <w:r>
              <w:t xml:space="preserve"> </w:t>
            </w:r>
            <w:proofErr w:type="gramStart"/>
            <w:r>
              <w:t>135KA(</w:t>
            </w:r>
            <w:proofErr w:type="gramEnd"/>
            <w:r>
              <w:t>2), (3) and (4). These provisions would rely on the exemptions in rule 143A in Part 18.</w:t>
            </w:r>
          </w:p>
        </w:tc>
      </w:tr>
    </w:tbl>
    <w:p w14:paraId="1EF18BD2" w14:textId="77777777" w:rsidR="009166CF" w:rsidRDefault="009166CF" w:rsidP="00DC4D79">
      <w:pPr>
        <w:pStyle w:val="Heading2"/>
      </w:pPr>
      <w:bookmarkStart w:id="102" w:name="_Toc45015287"/>
      <w:r>
        <w:lastRenderedPageBreak/>
        <w:t>LNG export supply-demand balance</w:t>
      </w:r>
      <w:bookmarkEnd w:id="102"/>
    </w:p>
    <w:tbl>
      <w:tblPr>
        <w:tblStyle w:val="ACCCTable11"/>
        <w:tblW w:w="4976" w:type="pct"/>
        <w:tblLook w:val="06A0" w:firstRow="1" w:lastRow="0" w:firstColumn="1" w:lastColumn="0" w:noHBand="1" w:noVBand="1"/>
      </w:tblPr>
      <w:tblGrid>
        <w:gridCol w:w="3971"/>
        <w:gridCol w:w="5387"/>
        <w:gridCol w:w="4534"/>
      </w:tblGrid>
      <w:tr w:rsidR="00D4472D" w:rsidRPr="002F7121" w14:paraId="57ACDED9"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9" w:type="pct"/>
            <w:tcBorders>
              <w:bottom w:val="single" w:sz="4" w:space="0" w:color="auto"/>
            </w:tcBorders>
            <w:shd w:val="clear" w:color="auto" w:fill="005595"/>
          </w:tcPr>
          <w:p w14:paraId="338DBB8D" w14:textId="77777777" w:rsidR="00D4472D" w:rsidRDefault="00440252" w:rsidP="00187103">
            <w:pPr>
              <w:spacing w:before="20"/>
              <w:rPr>
                <w:rFonts w:cs="Arial"/>
              </w:rPr>
            </w:pPr>
            <w:r>
              <w:rPr>
                <w:rFonts w:cs="Arial"/>
              </w:rPr>
              <w:t>Endorsed</w:t>
            </w:r>
            <w:r w:rsidR="00AD7935">
              <w:rPr>
                <w:rFonts w:cs="Arial"/>
              </w:rPr>
              <w:t xml:space="preserve"> measure</w:t>
            </w:r>
          </w:p>
        </w:tc>
        <w:tc>
          <w:tcPr>
            <w:tcW w:w="1939" w:type="pct"/>
            <w:tcBorders>
              <w:bottom w:val="single" w:sz="4" w:space="0" w:color="auto"/>
            </w:tcBorders>
            <w:shd w:val="clear" w:color="auto" w:fill="005595"/>
            <w:hideMark/>
          </w:tcPr>
          <w:p w14:paraId="5F60D5E8" w14:textId="77777777" w:rsidR="00D4472D" w:rsidRPr="002F7121" w:rsidRDefault="00D4472D" w:rsidP="00187103">
            <w:pPr>
              <w:spacing w:before="20"/>
              <w:rPr>
                <w:rFonts w:cs="Arial"/>
              </w:rPr>
            </w:pPr>
            <w:r>
              <w:rPr>
                <w:rFonts w:cs="Arial"/>
              </w:rPr>
              <w:t>Proposed approach to implementation</w:t>
            </w:r>
          </w:p>
        </w:tc>
        <w:tc>
          <w:tcPr>
            <w:tcW w:w="1632" w:type="pct"/>
            <w:tcBorders>
              <w:bottom w:val="single" w:sz="4" w:space="0" w:color="auto"/>
            </w:tcBorders>
            <w:shd w:val="clear" w:color="auto" w:fill="005595"/>
            <w:hideMark/>
          </w:tcPr>
          <w:p w14:paraId="20FAFC46" w14:textId="77777777" w:rsidR="00D4472D" w:rsidRPr="002F7121" w:rsidRDefault="0014087B" w:rsidP="00187103">
            <w:pPr>
              <w:spacing w:before="20"/>
              <w:rPr>
                <w:rFonts w:cs="Arial"/>
              </w:rPr>
            </w:pPr>
            <w:r>
              <w:rPr>
                <w:rFonts w:cs="Arial"/>
              </w:rPr>
              <w:t>Proposed amendments</w:t>
            </w:r>
            <w:r w:rsidR="00D4472D">
              <w:rPr>
                <w:rFonts w:cs="Arial"/>
              </w:rPr>
              <w:t xml:space="preserve"> in </w:t>
            </w:r>
            <w:r w:rsidR="00D4472D" w:rsidRPr="002F7121">
              <w:rPr>
                <w:rFonts w:cs="Arial"/>
              </w:rPr>
              <w:t>Part</w:t>
            </w:r>
            <w:r w:rsidR="00D4472D">
              <w:rPr>
                <w:rFonts w:cs="Arial"/>
              </w:rPr>
              <w:t xml:space="preserve"> 15D</w:t>
            </w:r>
          </w:p>
        </w:tc>
      </w:tr>
      <w:tr w:rsidR="00D4472D" w:rsidRPr="00977003" w14:paraId="4DA59C67" w14:textId="77777777" w:rsidTr="00601104">
        <w:trPr>
          <w:cantSplit/>
        </w:trPr>
        <w:tc>
          <w:tcPr>
            <w:tcW w:w="1429" w:type="pct"/>
            <w:vMerge w:val="restart"/>
          </w:tcPr>
          <w:p w14:paraId="1DEE075F" w14:textId="77777777" w:rsidR="00D4472D" w:rsidRDefault="00D4472D" w:rsidP="00D4472D">
            <w:pPr>
              <w:pStyle w:val="TableBodyText"/>
            </w:pPr>
            <w:r w:rsidRPr="004B7943">
              <w:t>LNG exporters to report on their LNG facility’s short and medium</w:t>
            </w:r>
            <w:r w:rsidR="009D289B">
              <w:t xml:space="preserve"> </w:t>
            </w:r>
            <w:r w:rsidRPr="004B7943">
              <w:t>term demand-supply balance.</w:t>
            </w:r>
          </w:p>
          <w:p w14:paraId="4F9D8780" w14:textId="77777777" w:rsidR="00D4472D" w:rsidRDefault="00D4472D" w:rsidP="00D4472D">
            <w:pPr>
              <w:pStyle w:val="TableBodyText"/>
            </w:pPr>
            <w:r>
              <w:t>NT facilities that have an exemption under rule 143A would be exempt from this requirement.</w:t>
            </w:r>
          </w:p>
        </w:tc>
        <w:tc>
          <w:tcPr>
            <w:tcW w:w="1939" w:type="pct"/>
          </w:tcPr>
          <w:p w14:paraId="696417FB" w14:textId="77777777" w:rsidR="00D4472D" w:rsidRDefault="005C49F7" w:rsidP="005C49F7">
            <w:pPr>
              <w:pStyle w:val="TableBodyText"/>
            </w:pPr>
            <w:r>
              <w:t>Part 15D would be drafted on the basis that the demand-supply balance refers to the demand-supply balance of the project as a whole, not that of a particular LNG exporter.</w:t>
            </w:r>
          </w:p>
        </w:tc>
        <w:tc>
          <w:tcPr>
            <w:tcW w:w="1632" w:type="pct"/>
          </w:tcPr>
          <w:p w14:paraId="3FF8FA42" w14:textId="77777777" w:rsidR="00D4472D" w:rsidRDefault="00D4472D" w:rsidP="009166CF">
            <w:pPr>
              <w:pStyle w:val="TableBodyText"/>
            </w:pPr>
            <w:r>
              <w:t>Rule 135K, definition of ‘LNG export project’</w:t>
            </w:r>
            <w:r w:rsidR="005C49F7">
              <w:t xml:space="preserve"> and </w:t>
            </w:r>
            <w:r w:rsidR="00825A18">
              <w:t>‘</w:t>
            </w:r>
            <w:r w:rsidR="005C49F7">
              <w:t>demand</w:t>
            </w:r>
            <w:r w:rsidR="00825A18">
              <w:t>-supply</w:t>
            </w:r>
            <w:r w:rsidR="005C49F7">
              <w:t xml:space="preserve"> balance information’.</w:t>
            </w:r>
          </w:p>
        </w:tc>
      </w:tr>
      <w:tr w:rsidR="00601104" w:rsidRPr="00977003" w14:paraId="75892551" w14:textId="77777777" w:rsidTr="00601104">
        <w:trPr>
          <w:cantSplit/>
        </w:trPr>
        <w:tc>
          <w:tcPr>
            <w:tcW w:w="1429" w:type="pct"/>
            <w:vMerge/>
          </w:tcPr>
          <w:p w14:paraId="656E00DE" w14:textId="77777777" w:rsidR="00601104" w:rsidRDefault="00601104" w:rsidP="00601104">
            <w:pPr>
              <w:pStyle w:val="TableBodyText"/>
            </w:pPr>
          </w:p>
        </w:tc>
        <w:tc>
          <w:tcPr>
            <w:tcW w:w="1939" w:type="pct"/>
          </w:tcPr>
          <w:p w14:paraId="4824429A" w14:textId="77777777" w:rsidR="00601104" w:rsidRDefault="00601104" w:rsidP="001F0D57">
            <w:pPr>
              <w:pStyle w:val="TableBodyText"/>
            </w:pPr>
            <w:r>
              <w:t>Specify that the GSOO must include demand-supply balance information for LNG export projects</w:t>
            </w:r>
            <w:r w:rsidR="001F0D57">
              <w:t>. AEMO would determine the period for which the information will be required as part of the GSOO survey process.</w:t>
            </w:r>
            <w:r>
              <w:t xml:space="preserve"> </w:t>
            </w:r>
          </w:p>
        </w:tc>
        <w:tc>
          <w:tcPr>
            <w:tcW w:w="1632" w:type="pct"/>
          </w:tcPr>
          <w:p w14:paraId="321BF4C0" w14:textId="77777777" w:rsidR="00601104" w:rsidRDefault="00601104" w:rsidP="00601104">
            <w:pPr>
              <w:pStyle w:val="TableBodyText"/>
            </w:pPr>
            <w:r>
              <w:t xml:space="preserve">Rule </w:t>
            </w:r>
            <w:proofErr w:type="gramStart"/>
            <w:r>
              <w:t>135KB(</w:t>
            </w:r>
            <w:proofErr w:type="gramEnd"/>
            <w:r>
              <w:t>1)(ca)</w:t>
            </w:r>
            <w:r w:rsidR="006A4FEA">
              <w:t>.</w:t>
            </w:r>
          </w:p>
        </w:tc>
      </w:tr>
      <w:tr w:rsidR="00601104" w:rsidRPr="00977003" w14:paraId="1CAF30AF" w14:textId="77777777" w:rsidTr="00601104">
        <w:trPr>
          <w:cantSplit/>
        </w:trPr>
        <w:tc>
          <w:tcPr>
            <w:tcW w:w="1429" w:type="pct"/>
            <w:vMerge/>
          </w:tcPr>
          <w:p w14:paraId="29697DC7" w14:textId="77777777" w:rsidR="00601104" w:rsidRDefault="00601104" w:rsidP="009166CF">
            <w:pPr>
              <w:pStyle w:val="TableBodyText"/>
            </w:pPr>
          </w:p>
        </w:tc>
        <w:tc>
          <w:tcPr>
            <w:tcW w:w="1939" w:type="pct"/>
          </w:tcPr>
          <w:p w14:paraId="4F0AFDC1" w14:textId="77777777" w:rsidR="00601104" w:rsidRDefault="005C49F7" w:rsidP="00023335">
            <w:pPr>
              <w:pStyle w:val="TableBodyText"/>
            </w:pPr>
            <w:r>
              <w:t xml:space="preserve">To give effect to the exemption referred to in </w:t>
            </w:r>
            <w:r w:rsidR="00023335">
              <w:t>the endorsed option</w:t>
            </w:r>
            <w:r>
              <w:t>, exemptions from the GSOO survey process would apply to the exempt NT facilities and the field owners for offshore fields that exclusively supply to exempt NT facilities.</w:t>
            </w:r>
          </w:p>
        </w:tc>
        <w:tc>
          <w:tcPr>
            <w:tcW w:w="1632" w:type="pct"/>
          </w:tcPr>
          <w:p w14:paraId="73B5B35F" w14:textId="77777777" w:rsidR="00601104" w:rsidRDefault="005C49F7" w:rsidP="009166CF">
            <w:pPr>
              <w:pStyle w:val="TableBodyText"/>
            </w:pPr>
            <w:r>
              <w:t>Part 15D, rule</w:t>
            </w:r>
            <w:r w:rsidR="00D847C3">
              <w:t>s</w:t>
            </w:r>
            <w:r>
              <w:t xml:space="preserve"> </w:t>
            </w:r>
            <w:proofErr w:type="gramStart"/>
            <w:r>
              <w:t>135KA(</w:t>
            </w:r>
            <w:proofErr w:type="gramEnd"/>
            <w:r>
              <w:t>2), (3) and (4). These provisions would rely on the exemptions in rule 143A in Part 18.</w:t>
            </w:r>
          </w:p>
        </w:tc>
      </w:tr>
    </w:tbl>
    <w:p w14:paraId="07EB7614" w14:textId="77777777" w:rsidR="007B6D21" w:rsidRDefault="007B6D21" w:rsidP="007B6D21">
      <w:pPr>
        <w:pStyle w:val="BodyText"/>
      </w:pPr>
      <w:r>
        <w:br w:type="page"/>
      </w:r>
    </w:p>
    <w:p w14:paraId="6F1DA232" w14:textId="77777777" w:rsidR="009D6437" w:rsidRPr="009D6437" w:rsidRDefault="00682302" w:rsidP="00795A82">
      <w:pPr>
        <w:pStyle w:val="Heading2"/>
      </w:pPr>
      <w:bookmarkStart w:id="103" w:name="_Toc45015288"/>
      <w:r>
        <w:lastRenderedPageBreak/>
        <w:t>LNG import</w:t>
      </w:r>
      <w:r w:rsidR="00735283">
        <w:t xml:space="preserve"> facilities and LNG import quantities</w:t>
      </w:r>
      <w:bookmarkEnd w:id="103"/>
    </w:p>
    <w:tbl>
      <w:tblPr>
        <w:tblStyle w:val="ACCCTable11"/>
        <w:tblpPr w:leftFromText="180" w:rightFromText="180" w:vertAnchor="text" w:tblpY="1"/>
        <w:tblOverlap w:val="never"/>
        <w:tblW w:w="4976" w:type="pct"/>
        <w:tblLayout w:type="fixed"/>
        <w:tblLook w:val="06A0" w:firstRow="1" w:lastRow="0" w:firstColumn="1" w:lastColumn="0" w:noHBand="1" w:noVBand="1"/>
      </w:tblPr>
      <w:tblGrid>
        <w:gridCol w:w="3970"/>
        <w:gridCol w:w="5385"/>
        <w:gridCol w:w="4537"/>
      </w:tblGrid>
      <w:tr w:rsidR="009760A9" w:rsidRPr="00977003" w14:paraId="7A1E5AD4" w14:textId="77777777" w:rsidTr="00337489">
        <w:trPr>
          <w:cnfStyle w:val="100000000000" w:firstRow="1" w:lastRow="0" w:firstColumn="0" w:lastColumn="0" w:oddVBand="0" w:evenVBand="0" w:oddHBand="0" w:evenHBand="0" w:firstRowFirstColumn="0" w:firstRowLastColumn="0" w:lastRowFirstColumn="0" w:lastRowLastColumn="0"/>
          <w:cantSplit/>
          <w:tblHeader/>
        </w:trPr>
        <w:tc>
          <w:tcPr>
            <w:tcW w:w="1429" w:type="pct"/>
            <w:shd w:val="clear" w:color="auto" w:fill="005595"/>
          </w:tcPr>
          <w:p w14:paraId="5EE45C90" w14:textId="77777777" w:rsidR="009760A9" w:rsidRDefault="009760A9" w:rsidP="009760A9">
            <w:pPr>
              <w:pStyle w:val="TableBodyText"/>
            </w:pPr>
            <w:r>
              <w:t>Endorsed measure</w:t>
            </w:r>
          </w:p>
        </w:tc>
        <w:tc>
          <w:tcPr>
            <w:tcW w:w="1938" w:type="pct"/>
            <w:shd w:val="clear" w:color="auto" w:fill="005595"/>
          </w:tcPr>
          <w:p w14:paraId="79BFD8A6" w14:textId="77777777" w:rsidR="009760A9" w:rsidRDefault="009760A9" w:rsidP="009760A9">
            <w:pPr>
              <w:pStyle w:val="TableBodyText"/>
            </w:pPr>
            <w:r>
              <w:t>Proposed approach to implementation</w:t>
            </w:r>
          </w:p>
        </w:tc>
        <w:tc>
          <w:tcPr>
            <w:tcW w:w="1633" w:type="pct"/>
            <w:shd w:val="clear" w:color="auto" w:fill="005595"/>
          </w:tcPr>
          <w:p w14:paraId="4FE75E6D" w14:textId="77777777" w:rsidR="009760A9" w:rsidRDefault="009760A9" w:rsidP="009760A9">
            <w:pPr>
              <w:pStyle w:val="TableBodyText"/>
            </w:pPr>
            <w:r>
              <w:t xml:space="preserve">Proposed amendments in </w:t>
            </w:r>
            <w:r w:rsidRPr="002F7121">
              <w:t>Part 18</w:t>
            </w:r>
            <w:r w:rsidR="00825A18">
              <w:t xml:space="preserve"> or Part 15D</w:t>
            </w:r>
          </w:p>
        </w:tc>
      </w:tr>
      <w:tr w:rsidR="00416251" w:rsidRPr="00977003" w14:paraId="05F12942" w14:textId="77777777" w:rsidTr="00337489">
        <w:trPr>
          <w:cantSplit/>
        </w:trPr>
        <w:tc>
          <w:tcPr>
            <w:tcW w:w="1429" w:type="pct"/>
            <w:vMerge w:val="restart"/>
          </w:tcPr>
          <w:p w14:paraId="798F720B" w14:textId="77777777" w:rsidR="00416251" w:rsidRPr="00187E44" w:rsidRDefault="00416251" w:rsidP="00187E44">
            <w:pPr>
              <w:pStyle w:val="TableBodyText"/>
            </w:pPr>
            <w:r w:rsidRPr="00187E44">
              <w:t>LNG import facilities to report the volume of LNG imports (reported on a shipment basis along with other shipment information).</w:t>
            </w:r>
          </w:p>
          <w:p w14:paraId="0F171A18" w14:textId="77777777" w:rsidR="00416251" w:rsidRPr="00187E44" w:rsidRDefault="00416251" w:rsidP="00187E44">
            <w:pPr>
              <w:pStyle w:val="TableBodyText"/>
            </w:pPr>
            <w:r w:rsidRPr="00187E44">
              <w:t>The information is to be published through the BB.</w:t>
            </w:r>
            <w:r w:rsidR="00BD38FF" w:rsidRPr="00187E44">
              <w:t xml:space="preserve"> </w:t>
            </w:r>
          </w:p>
        </w:tc>
        <w:tc>
          <w:tcPr>
            <w:tcW w:w="1938" w:type="pct"/>
          </w:tcPr>
          <w:p w14:paraId="0450B535" w14:textId="77777777" w:rsidR="00416251" w:rsidRPr="00187E44" w:rsidRDefault="00416251" w:rsidP="00187E44">
            <w:pPr>
              <w:pStyle w:val="TableBodyText"/>
            </w:pPr>
            <w:r w:rsidRPr="00187E44">
              <w:t xml:space="preserve">Define the categories of information that must be provided for LNG import shipments. </w:t>
            </w:r>
          </w:p>
        </w:tc>
        <w:tc>
          <w:tcPr>
            <w:tcW w:w="1633" w:type="pct"/>
          </w:tcPr>
          <w:p w14:paraId="2744655B" w14:textId="77777777" w:rsidR="00416251" w:rsidRPr="00187E44" w:rsidRDefault="00416251" w:rsidP="00187E44">
            <w:pPr>
              <w:pStyle w:val="TableBodyText"/>
            </w:pPr>
            <w:r w:rsidRPr="00187E44">
              <w:t>Paragraph (b) of the new definition of ‘LNG shipment data’.</w:t>
            </w:r>
          </w:p>
        </w:tc>
      </w:tr>
      <w:tr w:rsidR="00416251" w:rsidRPr="00977003" w14:paraId="287E2898" w14:textId="77777777" w:rsidTr="00337489">
        <w:trPr>
          <w:cantSplit/>
        </w:trPr>
        <w:tc>
          <w:tcPr>
            <w:tcW w:w="1429" w:type="pct"/>
            <w:vMerge/>
          </w:tcPr>
          <w:p w14:paraId="0FC86A3F" w14:textId="77777777" w:rsidR="00416251" w:rsidRDefault="00416251" w:rsidP="001923F7">
            <w:pPr>
              <w:pStyle w:val="TableBodyText"/>
              <w:spacing w:after="40"/>
            </w:pPr>
          </w:p>
        </w:tc>
        <w:tc>
          <w:tcPr>
            <w:tcW w:w="1938" w:type="pct"/>
          </w:tcPr>
          <w:p w14:paraId="16A0BF3E" w14:textId="77777777" w:rsidR="00416251" w:rsidRPr="00187E44" w:rsidRDefault="00416251" w:rsidP="00187E44">
            <w:pPr>
              <w:pStyle w:val="TableBodyText"/>
            </w:pPr>
            <w:r w:rsidRPr="00187E44">
              <w:t>Provide for the BB reporting entity for an LNG import facility to be responsible for providing the LNG import data to AEMO.</w:t>
            </w:r>
          </w:p>
        </w:tc>
        <w:tc>
          <w:tcPr>
            <w:tcW w:w="1633" w:type="pct"/>
          </w:tcPr>
          <w:p w14:paraId="2FD56486" w14:textId="77777777" w:rsidR="00416251" w:rsidRPr="00187E44" w:rsidRDefault="00416251" w:rsidP="00187E44">
            <w:pPr>
              <w:pStyle w:val="TableBodyText"/>
            </w:pPr>
            <w:r w:rsidRPr="00187E44">
              <w:t xml:space="preserve">Rule </w:t>
            </w:r>
            <w:proofErr w:type="gramStart"/>
            <w:r w:rsidRPr="00187E44">
              <w:t>188A(</w:t>
            </w:r>
            <w:proofErr w:type="gramEnd"/>
            <w:r w:rsidRPr="00187E44">
              <w:t>2)</w:t>
            </w:r>
            <w:r w:rsidR="005718FE" w:rsidRPr="00187E44">
              <w:t>.</w:t>
            </w:r>
          </w:p>
        </w:tc>
      </w:tr>
      <w:tr w:rsidR="00416251" w:rsidRPr="00977003" w14:paraId="11E90A9C" w14:textId="77777777" w:rsidTr="00337489">
        <w:trPr>
          <w:cantSplit/>
        </w:trPr>
        <w:tc>
          <w:tcPr>
            <w:tcW w:w="1429" w:type="pct"/>
            <w:vMerge/>
          </w:tcPr>
          <w:p w14:paraId="0AE826BD" w14:textId="77777777" w:rsidR="00416251" w:rsidRDefault="00416251" w:rsidP="001923F7">
            <w:pPr>
              <w:pStyle w:val="TableBodyText"/>
              <w:spacing w:after="40"/>
            </w:pPr>
          </w:p>
        </w:tc>
        <w:tc>
          <w:tcPr>
            <w:tcW w:w="1938" w:type="pct"/>
          </w:tcPr>
          <w:p w14:paraId="0722DA22" w14:textId="77777777" w:rsidR="00416251" w:rsidRPr="00187E44" w:rsidRDefault="00416251" w:rsidP="00187E44">
            <w:pPr>
              <w:pStyle w:val="TableBodyText"/>
            </w:pPr>
            <w:r w:rsidRPr="00187E44">
              <w:t>Specify that the information must be provided no later than the business day after commencement of unloading.</w:t>
            </w:r>
          </w:p>
        </w:tc>
        <w:tc>
          <w:tcPr>
            <w:tcW w:w="1633" w:type="pct"/>
          </w:tcPr>
          <w:p w14:paraId="5F170A0A" w14:textId="77777777" w:rsidR="00416251" w:rsidRPr="00187E44" w:rsidRDefault="00416251" w:rsidP="00187E44">
            <w:pPr>
              <w:pStyle w:val="TableBodyText"/>
            </w:pPr>
            <w:r w:rsidRPr="00187E44">
              <w:t xml:space="preserve">Rule </w:t>
            </w:r>
            <w:proofErr w:type="gramStart"/>
            <w:r w:rsidRPr="00187E44">
              <w:t>1</w:t>
            </w:r>
            <w:r w:rsidR="005554E5" w:rsidRPr="00187E44">
              <w:t>88A</w:t>
            </w:r>
            <w:r w:rsidRPr="00187E44">
              <w:t>(</w:t>
            </w:r>
            <w:proofErr w:type="gramEnd"/>
            <w:r w:rsidRPr="00187E44">
              <w:t>2).</w:t>
            </w:r>
          </w:p>
        </w:tc>
      </w:tr>
      <w:tr w:rsidR="009D6437" w:rsidRPr="00977003" w14:paraId="67934ECA" w14:textId="77777777" w:rsidTr="00337489">
        <w:trPr>
          <w:trHeight w:val="1408"/>
        </w:trPr>
        <w:tc>
          <w:tcPr>
            <w:tcW w:w="1429" w:type="pct"/>
            <w:vMerge w:val="restart"/>
          </w:tcPr>
          <w:p w14:paraId="3448C882" w14:textId="77777777" w:rsidR="009D6437" w:rsidRPr="00187E44" w:rsidRDefault="009D6437" w:rsidP="00187E44">
            <w:pPr>
              <w:pStyle w:val="TableBodyText"/>
            </w:pPr>
            <w:r w:rsidRPr="00187E44">
              <w:t>LNG import facilities to report a range of operational and supply information (similar to the information reported by production and storage facilities).</w:t>
            </w:r>
          </w:p>
          <w:p w14:paraId="6740E1CA" w14:textId="77777777" w:rsidR="009D6437" w:rsidRPr="00187E44" w:rsidRDefault="009D6437" w:rsidP="00187E44">
            <w:pPr>
              <w:pStyle w:val="TableBodyText"/>
            </w:pPr>
            <w:r w:rsidRPr="00187E44">
              <w:t xml:space="preserve">This row deals with information to be published through the BB. </w:t>
            </w:r>
          </w:p>
        </w:tc>
        <w:tc>
          <w:tcPr>
            <w:tcW w:w="1938" w:type="pct"/>
          </w:tcPr>
          <w:p w14:paraId="3F22F5EC" w14:textId="77777777" w:rsidR="009D6437" w:rsidRPr="00187E44" w:rsidRDefault="009D6437" w:rsidP="00187E44">
            <w:pPr>
              <w:pStyle w:val="TableBodyText"/>
            </w:pPr>
            <w:r w:rsidRPr="00187E44">
              <w:t>Bring LNG import facilities within the scope of Part 18.</w:t>
            </w:r>
          </w:p>
          <w:p w14:paraId="3B413C05" w14:textId="77777777" w:rsidR="009D6437" w:rsidRPr="00187E44" w:rsidRDefault="009D6437" w:rsidP="00187E44">
            <w:pPr>
              <w:pStyle w:val="TableBodyText"/>
            </w:pPr>
            <w:r w:rsidRPr="00187E44">
              <w:t>Provide for storage to be treated as part of the LNG import facility and not as a gas storage facility.</w:t>
            </w:r>
          </w:p>
        </w:tc>
        <w:tc>
          <w:tcPr>
            <w:tcW w:w="1633" w:type="pct"/>
          </w:tcPr>
          <w:p w14:paraId="50A86B20" w14:textId="77777777" w:rsidR="009D6437" w:rsidRPr="00187E44" w:rsidRDefault="009D6437" w:rsidP="00187E44">
            <w:pPr>
              <w:pStyle w:val="TableBodyText"/>
            </w:pPr>
            <w:r w:rsidRPr="00187E44">
              <w:t>Add a new definition of ‘LNG import facility’ and provide that it is a type of ‘LNG processing facility’.</w:t>
            </w:r>
          </w:p>
          <w:p w14:paraId="68228643" w14:textId="77777777" w:rsidR="009D6437" w:rsidRPr="00187E44" w:rsidRDefault="009D6437" w:rsidP="00187E44">
            <w:pPr>
              <w:pStyle w:val="TableBodyText"/>
            </w:pPr>
            <w:r w:rsidRPr="00187E44">
              <w:t>Provide for an LNG processing facility to be a type of ‘BB facility’.</w:t>
            </w:r>
          </w:p>
          <w:p w14:paraId="0F8597CD" w14:textId="77777777" w:rsidR="00FD2C41" w:rsidRPr="00187E44" w:rsidRDefault="00FD2C41" w:rsidP="00187E44">
            <w:pPr>
              <w:pStyle w:val="TableBodyText"/>
            </w:pPr>
            <w:r w:rsidRPr="00187E44">
              <w:t>Add a new definition of ‘liquefied natural gas’.</w:t>
            </w:r>
          </w:p>
          <w:p w14:paraId="131D56B0" w14:textId="77777777" w:rsidR="009D6437" w:rsidRPr="00187E44" w:rsidRDefault="009D6437" w:rsidP="00187E44">
            <w:pPr>
              <w:pStyle w:val="TableBodyText"/>
            </w:pPr>
            <w:r w:rsidRPr="00187E44">
              <w:t>Amend the definition of ‘gas storage facility’ to exclude storage facilities within an LNG import facility.</w:t>
            </w:r>
          </w:p>
        </w:tc>
      </w:tr>
      <w:tr w:rsidR="009D6437" w:rsidRPr="00977003" w14:paraId="4A990669" w14:textId="77777777" w:rsidTr="00337489">
        <w:trPr>
          <w:cantSplit/>
        </w:trPr>
        <w:tc>
          <w:tcPr>
            <w:tcW w:w="1429" w:type="pct"/>
            <w:vMerge/>
          </w:tcPr>
          <w:p w14:paraId="194285B5" w14:textId="77777777" w:rsidR="009D6437" w:rsidRDefault="009D6437" w:rsidP="001923F7">
            <w:pPr>
              <w:pStyle w:val="TableBodyText"/>
              <w:spacing w:before="20" w:after="40"/>
            </w:pPr>
          </w:p>
        </w:tc>
        <w:tc>
          <w:tcPr>
            <w:tcW w:w="1938" w:type="pct"/>
          </w:tcPr>
          <w:p w14:paraId="281040EE" w14:textId="77777777" w:rsidR="009D6437" w:rsidRPr="00187E44" w:rsidRDefault="009D6437" w:rsidP="00187E44">
            <w:pPr>
              <w:pStyle w:val="TableBodyText"/>
            </w:pPr>
            <w:r w:rsidRPr="00187E44">
              <w:t>Require the service provider for an LNG processing facility to register with AEMO under Part 18 as the BB reporting entity for the facility.</w:t>
            </w:r>
          </w:p>
        </w:tc>
        <w:tc>
          <w:tcPr>
            <w:tcW w:w="1633" w:type="pct"/>
          </w:tcPr>
          <w:p w14:paraId="1297AB94" w14:textId="77777777" w:rsidR="00601104" w:rsidRPr="00187E44" w:rsidRDefault="009D6437" w:rsidP="00187E44">
            <w:pPr>
              <w:pStyle w:val="TableBodyText"/>
            </w:pPr>
            <w:r w:rsidRPr="00187E44">
              <w:t>Include the LNG service provider for an LNG processing facility as a ‘facility operator’ in the definition in rule 141(1).</w:t>
            </w:r>
            <w:r w:rsidR="00601104" w:rsidRPr="00187E44">
              <w:t xml:space="preserve"> Rule 150 in new Division 3.1 would provide for the registration of facility operators.</w:t>
            </w:r>
          </w:p>
          <w:p w14:paraId="5F9DFA52" w14:textId="77777777" w:rsidR="009D6437" w:rsidRPr="00187E44" w:rsidRDefault="009D6437" w:rsidP="00187E44">
            <w:pPr>
              <w:pStyle w:val="TableBodyText"/>
            </w:pPr>
            <w:r w:rsidRPr="00187E44">
              <w:t xml:space="preserve">Paragraph (a) of the definition of BB reporting entity covers all registered facility operators. </w:t>
            </w:r>
          </w:p>
        </w:tc>
      </w:tr>
      <w:tr w:rsidR="009D6437" w:rsidRPr="00977003" w14:paraId="536BD630" w14:textId="77777777" w:rsidTr="00337489">
        <w:trPr>
          <w:cantSplit/>
        </w:trPr>
        <w:tc>
          <w:tcPr>
            <w:tcW w:w="1429" w:type="pct"/>
            <w:vMerge/>
          </w:tcPr>
          <w:p w14:paraId="6B97D630" w14:textId="77777777" w:rsidR="009D6437" w:rsidRDefault="009D6437" w:rsidP="001923F7">
            <w:pPr>
              <w:pStyle w:val="TableBodyText"/>
              <w:spacing w:before="20" w:after="40"/>
            </w:pPr>
          </w:p>
        </w:tc>
        <w:tc>
          <w:tcPr>
            <w:tcW w:w="1938" w:type="pct"/>
          </w:tcPr>
          <w:p w14:paraId="3B00ECCB" w14:textId="77777777" w:rsidR="009D6437" w:rsidRPr="00187E44" w:rsidRDefault="009D6437" w:rsidP="00187E44">
            <w:pPr>
              <w:pStyle w:val="TableBodyText"/>
            </w:pPr>
            <w:r w:rsidRPr="00187E44">
              <w:t xml:space="preserve">Provide for the </w:t>
            </w:r>
            <w:r w:rsidR="009B2C41" w:rsidRPr="00187E44">
              <w:t xml:space="preserve">daily capacity and </w:t>
            </w:r>
            <w:r w:rsidRPr="00187E44">
              <w:t xml:space="preserve">nameplate rating of an LNG import facility to </w:t>
            </w:r>
            <w:r w:rsidR="009B2C41" w:rsidRPr="00187E44">
              <w:t>be defined by reference to</w:t>
            </w:r>
            <w:r w:rsidRPr="00187E44">
              <w:t>:</w:t>
            </w:r>
          </w:p>
          <w:p w14:paraId="2D88FD3E" w14:textId="77777777" w:rsidR="009D6437" w:rsidRPr="007D35DE" w:rsidRDefault="009D6437" w:rsidP="007D35DE">
            <w:pPr>
              <w:pStyle w:val="Newtablebullet"/>
            </w:pPr>
            <w:r w:rsidRPr="007D35DE">
              <w:t>the quantity of LNG that the LNG import facility can receive and process into storage on a gas day;</w:t>
            </w:r>
          </w:p>
          <w:p w14:paraId="7B67F0A9" w14:textId="77777777" w:rsidR="009D6437" w:rsidRPr="007D35DE" w:rsidRDefault="009D6437" w:rsidP="007D35DE">
            <w:pPr>
              <w:pStyle w:val="Newtablebullet"/>
            </w:pPr>
            <w:r w:rsidRPr="007D35DE">
              <w:t>the quantity of LNG that the LNG import facility can hold in storage;</w:t>
            </w:r>
          </w:p>
          <w:p w14:paraId="5D888BFD" w14:textId="77777777" w:rsidR="009D6437" w:rsidRPr="007D35DE" w:rsidRDefault="009D6437" w:rsidP="007D35DE">
            <w:pPr>
              <w:pStyle w:val="Newtablebullet"/>
            </w:pPr>
            <w:r w:rsidRPr="007D35DE">
              <w:t>the quantity of LNG that can be withdrawn from storage for processing to a gaseous state on a gas day; and</w:t>
            </w:r>
          </w:p>
          <w:p w14:paraId="5A6F47D8" w14:textId="77777777" w:rsidR="009D6437" w:rsidRPr="007D35DE" w:rsidRDefault="009D6437" w:rsidP="007D35DE">
            <w:pPr>
              <w:pStyle w:val="Newtablebullet"/>
            </w:pPr>
            <w:proofErr w:type="gramStart"/>
            <w:r w:rsidRPr="007D35DE">
              <w:t>the</w:t>
            </w:r>
            <w:proofErr w:type="gramEnd"/>
            <w:r w:rsidRPr="007D35DE">
              <w:t xml:space="preserve"> quantity of </w:t>
            </w:r>
            <w:r w:rsidR="00194146" w:rsidRPr="007D35DE">
              <w:t>natural gas (in a g</w:t>
            </w:r>
            <w:r w:rsidRPr="007D35DE">
              <w:t>aseous state</w:t>
            </w:r>
            <w:r w:rsidR="00194146" w:rsidRPr="007D35DE">
              <w:t xml:space="preserve">) that can be injected into </w:t>
            </w:r>
            <w:r w:rsidR="005C49F7" w:rsidRPr="007D35DE">
              <w:t xml:space="preserve">one or more </w:t>
            </w:r>
            <w:r w:rsidRPr="007D35DE">
              <w:t>pipeline</w:t>
            </w:r>
            <w:r w:rsidR="005C49F7" w:rsidRPr="007D35DE">
              <w:t>s</w:t>
            </w:r>
            <w:r w:rsidRPr="007D35DE">
              <w:t xml:space="preserve"> </w:t>
            </w:r>
            <w:r w:rsidR="00194146" w:rsidRPr="007D35DE">
              <w:t xml:space="preserve">from the facility </w:t>
            </w:r>
            <w:r w:rsidRPr="007D35DE">
              <w:t>on a gas day.</w:t>
            </w:r>
          </w:p>
        </w:tc>
        <w:tc>
          <w:tcPr>
            <w:tcW w:w="1633" w:type="pct"/>
          </w:tcPr>
          <w:p w14:paraId="7A2408A0" w14:textId="77777777" w:rsidR="009D6437" w:rsidRPr="00187E44" w:rsidRDefault="009D6437" w:rsidP="00187E44">
            <w:pPr>
              <w:pStyle w:val="TableBodyText"/>
            </w:pPr>
            <w:r w:rsidRPr="00187E44">
              <w:t>Amendments to the definition of ‘daily capacity’ in rule 141(1) and ‘nameplate rating’ in rule 141(2</w:t>
            </w:r>
            <w:proofErr w:type="gramStart"/>
            <w:r w:rsidRPr="00187E44">
              <w:t>)(</w:t>
            </w:r>
            <w:proofErr w:type="gramEnd"/>
            <w:r w:rsidRPr="00187E44">
              <w:t>a).</w:t>
            </w:r>
          </w:p>
        </w:tc>
      </w:tr>
      <w:tr w:rsidR="009D6437" w:rsidRPr="00977003" w14:paraId="4F00B940" w14:textId="77777777" w:rsidTr="00337489">
        <w:trPr>
          <w:cantSplit/>
        </w:trPr>
        <w:tc>
          <w:tcPr>
            <w:tcW w:w="1429" w:type="pct"/>
            <w:vMerge/>
          </w:tcPr>
          <w:p w14:paraId="6B04D736" w14:textId="77777777" w:rsidR="009D6437" w:rsidRDefault="009D6437" w:rsidP="001923F7">
            <w:pPr>
              <w:pStyle w:val="TableBodyText"/>
              <w:spacing w:after="40"/>
            </w:pPr>
          </w:p>
        </w:tc>
        <w:tc>
          <w:tcPr>
            <w:tcW w:w="1938" w:type="pct"/>
          </w:tcPr>
          <w:p w14:paraId="33C12269" w14:textId="77777777" w:rsidR="009D6437" w:rsidRPr="00187E44" w:rsidRDefault="009D6437" w:rsidP="007D3EF1">
            <w:pPr>
              <w:pStyle w:val="TableBodyText"/>
              <w:spacing w:before="40" w:after="40"/>
            </w:pPr>
            <w:r w:rsidRPr="00187E44">
              <w:t>Provide for operational information about LNG import facilities to be provided as follows:</w:t>
            </w:r>
          </w:p>
          <w:p w14:paraId="1351F049" w14:textId="77777777" w:rsidR="00D6048F" w:rsidRPr="007D35DE" w:rsidRDefault="00D6048F" w:rsidP="007D3EF1">
            <w:pPr>
              <w:pStyle w:val="Newtablebullet"/>
              <w:spacing w:before="40" w:after="40"/>
            </w:pPr>
            <w:r w:rsidRPr="007D35DE">
              <w:t>nameplate rating information</w:t>
            </w:r>
            <w:r w:rsidR="00194146" w:rsidRPr="007D35DE">
              <w:t>;</w:t>
            </w:r>
          </w:p>
          <w:p w14:paraId="497BE7B3" w14:textId="77777777" w:rsidR="00D6048F" w:rsidRPr="007D35DE" w:rsidRDefault="00D6048F" w:rsidP="007D3EF1">
            <w:pPr>
              <w:pStyle w:val="Newtablebullet"/>
              <w:spacing w:before="40" w:after="40"/>
            </w:pPr>
            <w:r w:rsidRPr="007D35DE">
              <w:t>detailed facility information</w:t>
            </w:r>
            <w:r w:rsidR="00194146" w:rsidRPr="007D35DE">
              <w:t>;</w:t>
            </w:r>
          </w:p>
          <w:p w14:paraId="3174AD4C" w14:textId="77777777" w:rsidR="00D6048F" w:rsidRPr="007D35DE" w:rsidRDefault="00D6048F" w:rsidP="007D3EF1">
            <w:pPr>
              <w:pStyle w:val="Newtablebullet"/>
              <w:spacing w:before="40" w:after="40"/>
            </w:pPr>
            <w:r w:rsidRPr="007D35DE">
              <w:t>36-month uncontracted capacity outlook</w:t>
            </w:r>
            <w:r w:rsidR="00194146" w:rsidRPr="007D35DE">
              <w:t>;</w:t>
            </w:r>
          </w:p>
          <w:p w14:paraId="64290C55" w14:textId="77777777" w:rsidR="00D6048F" w:rsidRPr="007D35DE" w:rsidRDefault="00D6048F" w:rsidP="007D3EF1">
            <w:pPr>
              <w:pStyle w:val="Newtablebullet"/>
              <w:spacing w:before="40" w:after="40"/>
            </w:pPr>
            <w:r w:rsidRPr="007D35DE">
              <w:t>short and medium capacity outlooks</w:t>
            </w:r>
            <w:r w:rsidR="00194146" w:rsidRPr="007D35DE">
              <w:t>;</w:t>
            </w:r>
          </w:p>
          <w:p w14:paraId="15CAFCE9" w14:textId="77777777" w:rsidR="00D6048F" w:rsidRPr="007D35DE" w:rsidRDefault="009D6437" w:rsidP="007D3EF1">
            <w:pPr>
              <w:pStyle w:val="Newtablebullet"/>
              <w:spacing w:before="40" w:after="40"/>
            </w:pPr>
            <w:r w:rsidRPr="007D35DE">
              <w:t>nominat</w:t>
            </w:r>
            <w:r w:rsidR="00D6048F" w:rsidRPr="007D35DE">
              <w:t>ed and forecast use information</w:t>
            </w:r>
            <w:r w:rsidR="00194146" w:rsidRPr="007D35DE">
              <w:t>; and</w:t>
            </w:r>
          </w:p>
          <w:p w14:paraId="27553CEE" w14:textId="77777777" w:rsidR="009D6437" w:rsidRPr="007D35DE" w:rsidRDefault="009D6437" w:rsidP="007D3EF1">
            <w:pPr>
              <w:pStyle w:val="Newtablebullet"/>
              <w:spacing w:before="40" w:after="40"/>
            </w:pPr>
            <w:proofErr w:type="gramStart"/>
            <w:r w:rsidRPr="007D35DE">
              <w:t>daily</w:t>
            </w:r>
            <w:proofErr w:type="gramEnd"/>
            <w:r w:rsidRPr="007D35DE">
              <w:t xml:space="preserve"> production</w:t>
            </w:r>
            <w:r w:rsidR="00D6048F" w:rsidRPr="007D35DE">
              <w:t xml:space="preserve"> and storage data, covering each of the four elements in the definition of ‘nameplate rating’ for an LNG import facility.</w:t>
            </w:r>
          </w:p>
        </w:tc>
        <w:tc>
          <w:tcPr>
            <w:tcW w:w="1633" w:type="pct"/>
          </w:tcPr>
          <w:p w14:paraId="0C0F387A" w14:textId="77777777" w:rsidR="009D6437" w:rsidRPr="00187E44" w:rsidRDefault="009D6437" w:rsidP="007D3EF1">
            <w:pPr>
              <w:pStyle w:val="TableBodyText"/>
              <w:spacing w:before="40" w:after="40"/>
            </w:pPr>
            <w:r w:rsidRPr="00187E44">
              <w:t xml:space="preserve">Nameplate rating information:  </w:t>
            </w:r>
            <w:r w:rsidR="00D6048F" w:rsidRPr="00187E44">
              <w:t>C</w:t>
            </w:r>
            <w:r w:rsidRPr="00187E44">
              <w:t>overed under rule 168.</w:t>
            </w:r>
          </w:p>
          <w:p w14:paraId="3EF654C5" w14:textId="77777777" w:rsidR="009D6437" w:rsidRPr="00187E44" w:rsidRDefault="009D6437" w:rsidP="007D3EF1">
            <w:pPr>
              <w:pStyle w:val="TableBodyText"/>
              <w:spacing w:before="40" w:after="40"/>
            </w:pPr>
            <w:r w:rsidRPr="00187E44">
              <w:t>Detailed facility information: Include LNG processing facilities in rule 169(4</w:t>
            </w:r>
            <w:proofErr w:type="gramStart"/>
            <w:r w:rsidRPr="00187E44">
              <w:t>)(</w:t>
            </w:r>
            <w:proofErr w:type="gramEnd"/>
            <w:r w:rsidRPr="00187E44">
              <w:t>b).</w:t>
            </w:r>
          </w:p>
          <w:p w14:paraId="0B1EE91B" w14:textId="77777777" w:rsidR="009D6437" w:rsidRPr="00187E44" w:rsidRDefault="009D6437" w:rsidP="007D3EF1">
            <w:pPr>
              <w:pStyle w:val="TableBodyText"/>
              <w:spacing w:before="40" w:after="40"/>
            </w:pPr>
            <w:r w:rsidRPr="00187E44">
              <w:t xml:space="preserve">36-month uncontracted capacity outlook:  </w:t>
            </w:r>
            <w:r w:rsidR="00601104" w:rsidRPr="00187E44">
              <w:t>Paragraph (b) of the new definition ‘uncontracted primary capacity’ cover</w:t>
            </w:r>
            <w:r w:rsidR="00194146" w:rsidRPr="00187E44">
              <w:t>s</w:t>
            </w:r>
            <w:r w:rsidR="00601104" w:rsidRPr="00187E44">
              <w:t xml:space="preserve"> LNG import facilities. New rule 175 requires the 36-month outlooks to be provided. </w:t>
            </w:r>
          </w:p>
          <w:p w14:paraId="3BE154A0" w14:textId="77777777" w:rsidR="009D6437" w:rsidRPr="00187E44" w:rsidRDefault="009D6437" w:rsidP="007D3EF1">
            <w:pPr>
              <w:pStyle w:val="TableBodyText"/>
              <w:spacing w:before="40" w:after="40"/>
            </w:pPr>
            <w:r w:rsidRPr="00187E44">
              <w:t>Short term capacity outlook and material intra-day changes in capacity:  No change required to rule 178 to cover LNG import facilities.</w:t>
            </w:r>
          </w:p>
          <w:p w14:paraId="4E785138" w14:textId="77777777" w:rsidR="009D6437" w:rsidRPr="00187E44" w:rsidRDefault="009D6437" w:rsidP="007D3EF1">
            <w:pPr>
              <w:pStyle w:val="TableBodyText"/>
              <w:spacing w:before="40" w:after="40"/>
            </w:pPr>
            <w:r w:rsidRPr="00187E44">
              <w:t>Medium term capacity outlook:  No change required to rule 181 to cover LNG import facilities</w:t>
            </w:r>
            <w:r w:rsidR="008411CF">
              <w:t xml:space="preserve"> other than allowing the time for submission to be specified in the BB Procedures where facilities do not provide updates to shippers</w:t>
            </w:r>
            <w:r w:rsidRPr="00187E44">
              <w:t>.</w:t>
            </w:r>
            <w:r w:rsidR="008411CF">
              <w:t xml:space="preserve"> </w:t>
            </w:r>
          </w:p>
          <w:p w14:paraId="78D0BC0A" w14:textId="77777777" w:rsidR="009D6437" w:rsidRPr="00187E44" w:rsidRDefault="009D6437" w:rsidP="007D3EF1">
            <w:pPr>
              <w:pStyle w:val="TableBodyText"/>
              <w:spacing w:before="40" w:after="40"/>
            </w:pPr>
            <w:r w:rsidRPr="00187E44">
              <w:t xml:space="preserve">Nominated and forecast use of LNG import facilities: Include </w:t>
            </w:r>
            <w:r w:rsidR="00085E8F" w:rsidRPr="00187E44">
              <w:t xml:space="preserve">reporting about </w:t>
            </w:r>
            <w:r w:rsidRPr="00187E44">
              <w:t>LNG import facilities in rule 185.</w:t>
            </w:r>
          </w:p>
          <w:p w14:paraId="7ACABEA5" w14:textId="77777777" w:rsidR="009D6437" w:rsidRPr="00187E44" w:rsidRDefault="009D6437" w:rsidP="007D3EF1">
            <w:pPr>
              <w:pStyle w:val="TableBodyText"/>
              <w:spacing w:before="40" w:after="40"/>
            </w:pPr>
            <w:r w:rsidRPr="00187E44">
              <w:t>Daily production and storage data:  Include a reference to LNG import facilities in rule 188(1</w:t>
            </w:r>
            <w:proofErr w:type="gramStart"/>
            <w:r w:rsidRPr="00187E44">
              <w:t>)(</w:t>
            </w:r>
            <w:proofErr w:type="gramEnd"/>
            <w:r w:rsidRPr="00187E44">
              <w:t>e) and in the definition of ‘daily production data’.</w:t>
            </w:r>
          </w:p>
        </w:tc>
      </w:tr>
      <w:tr w:rsidR="007201CF" w:rsidRPr="00977003" w14:paraId="5B2E108E" w14:textId="77777777" w:rsidTr="00337489">
        <w:trPr>
          <w:cantSplit/>
        </w:trPr>
        <w:tc>
          <w:tcPr>
            <w:tcW w:w="1429" w:type="pct"/>
            <w:vMerge w:val="restart"/>
          </w:tcPr>
          <w:p w14:paraId="69CFA915" w14:textId="77777777" w:rsidR="007201CF" w:rsidRPr="00187E44" w:rsidRDefault="007201CF" w:rsidP="00187E44">
            <w:pPr>
              <w:pStyle w:val="TableBodyText"/>
            </w:pPr>
            <w:r w:rsidRPr="00187E44">
              <w:t>LNG import facilities to report a range of operational and supply information (similar to the information reported by production and storage facilities).</w:t>
            </w:r>
          </w:p>
          <w:p w14:paraId="5E968CDA" w14:textId="77777777" w:rsidR="007201CF" w:rsidRPr="00187E44" w:rsidRDefault="009D6437" w:rsidP="00187E44">
            <w:pPr>
              <w:pStyle w:val="TableBodyText"/>
            </w:pPr>
            <w:r w:rsidRPr="00187E44">
              <w:t xml:space="preserve">This row deals with information that </w:t>
            </w:r>
            <w:r w:rsidR="007201CF" w:rsidRPr="00187E44">
              <w:t>informs the demand-supply balance for use for the GSOO.</w:t>
            </w:r>
          </w:p>
        </w:tc>
        <w:tc>
          <w:tcPr>
            <w:tcW w:w="1938" w:type="pct"/>
          </w:tcPr>
          <w:p w14:paraId="50A67B8F" w14:textId="77777777" w:rsidR="007201CF" w:rsidRPr="00187E44" w:rsidRDefault="007201CF" w:rsidP="007D3EF1">
            <w:pPr>
              <w:pStyle w:val="TableBodyText"/>
              <w:spacing w:before="40" w:after="40"/>
            </w:pPr>
            <w:r w:rsidRPr="00187E44">
              <w:t>Require LNG import facility operators to provide information to AEMO through the GSOO survey.</w:t>
            </w:r>
          </w:p>
          <w:p w14:paraId="1DDEFA2A" w14:textId="77777777" w:rsidR="007201CF" w:rsidRPr="00187E44" w:rsidRDefault="007201CF" w:rsidP="007D3EF1">
            <w:pPr>
              <w:pStyle w:val="TableBodyText"/>
              <w:spacing w:before="40" w:after="40"/>
            </w:pPr>
            <w:r w:rsidRPr="00187E44">
              <w:t xml:space="preserve">AEMO will determine who must participate in the GSOO survey through the GSOO Procedures framework. </w:t>
            </w:r>
          </w:p>
        </w:tc>
        <w:tc>
          <w:tcPr>
            <w:tcW w:w="1633" w:type="pct"/>
          </w:tcPr>
          <w:p w14:paraId="0E2FCF3D" w14:textId="77777777" w:rsidR="007201CF" w:rsidRPr="00187E44" w:rsidRDefault="00D6048F" w:rsidP="007D3EF1">
            <w:pPr>
              <w:pStyle w:val="TableBodyText"/>
              <w:spacing w:before="40" w:after="40"/>
            </w:pPr>
            <w:r w:rsidRPr="00187E44">
              <w:t xml:space="preserve">The framework for the GSOO survey is described in the table in </w:t>
            </w:r>
            <w:r w:rsidR="00825A18" w:rsidRPr="00187E44">
              <w:t>section </w:t>
            </w:r>
            <w:r w:rsidR="00825A18" w:rsidRPr="00187E44">
              <w:fldChar w:fldCharType="begin"/>
            </w:r>
            <w:r w:rsidR="00825A18" w:rsidRPr="00187E44">
              <w:instrText xml:space="preserve"> REF _Ref36545166 \w \h </w:instrText>
            </w:r>
            <w:r w:rsidR="00825A18" w:rsidRPr="00187E44">
              <w:fldChar w:fldCharType="separate"/>
            </w:r>
            <w:r w:rsidR="00844010">
              <w:t>9</w:t>
            </w:r>
            <w:r w:rsidR="00825A18" w:rsidRPr="00187E44">
              <w:fldChar w:fldCharType="end"/>
            </w:r>
            <w:r w:rsidRPr="00187E44">
              <w:t xml:space="preserve"> below.</w:t>
            </w:r>
          </w:p>
        </w:tc>
      </w:tr>
      <w:tr w:rsidR="007201CF" w:rsidRPr="00977003" w14:paraId="49839612" w14:textId="77777777" w:rsidTr="00337489">
        <w:trPr>
          <w:cantSplit/>
        </w:trPr>
        <w:tc>
          <w:tcPr>
            <w:tcW w:w="1429" w:type="pct"/>
            <w:vMerge/>
          </w:tcPr>
          <w:p w14:paraId="113DF6AC" w14:textId="77777777" w:rsidR="007201CF" w:rsidRDefault="007201CF" w:rsidP="001923F7">
            <w:pPr>
              <w:pStyle w:val="TableBodyText"/>
              <w:spacing w:before="20" w:after="40"/>
            </w:pPr>
          </w:p>
        </w:tc>
        <w:tc>
          <w:tcPr>
            <w:tcW w:w="1938" w:type="pct"/>
          </w:tcPr>
          <w:p w14:paraId="112CEB38" w14:textId="77777777" w:rsidR="007201CF" w:rsidRPr="00187E44" w:rsidRDefault="007201CF" w:rsidP="007D3EF1">
            <w:pPr>
              <w:pStyle w:val="TableBodyText"/>
              <w:spacing w:before="40" w:after="40"/>
            </w:pPr>
            <w:r w:rsidRPr="00187E44">
              <w:t>Require AEMO to include information in the GSOO about:</w:t>
            </w:r>
          </w:p>
          <w:p w14:paraId="034888CE" w14:textId="77777777" w:rsidR="007201CF" w:rsidRPr="007D35DE" w:rsidRDefault="007201CF" w:rsidP="007D3EF1">
            <w:pPr>
              <w:pStyle w:val="Newtablebullet"/>
              <w:spacing w:before="40" w:after="40"/>
            </w:pPr>
            <w:r w:rsidRPr="007D35DE">
              <w:t>the quantity of gas LNG import facility operators intend to import</w:t>
            </w:r>
            <w:r w:rsidR="00D6048F" w:rsidRPr="007D35DE">
              <w:t>;</w:t>
            </w:r>
          </w:p>
          <w:p w14:paraId="10B508ED" w14:textId="77777777" w:rsidR="007201CF" w:rsidRPr="007D35DE" w:rsidRDefault="007201CF" w:rsidP="007D3EF1">
            <w:pPr>
              <w:pStyle w:val="Newtablebullet"/>
              <w:spacing w:before="40" w:after="40"/>
            </w:pPr>
            <w:r w:rsidRPr="007D35DE">
              <w:t>the quantity of LNG imports that has already been contracted for each year of the GSOO forecast horizon</w:t>
            </w:r>
            <w:r w:rsidR="00D6048F" w:rsidRPr="007D35DE">
              <w:t>;</w:t>
            </w:r>
          </w:p>
          <w:p w14:paraId="0C242786" w14:textId="77777777" w:rsidR="007201CF" w:rsidRPr="007D35DE" w:rsidRDefault="007201CF" w:rsidP="007D3EF1">
            <w:pPr>
              <w:pStyle w:val="Newtablebullet"/>
              <w:spacing w:before="40" w:after="40"/>
            </w:pPr>
            <w:r w:rsidRPr="007D35DE">
              <w:t xml:space="preserve">annual and peak day capacity of, and constraints affecting, LNG import facilities; </w:t>
            </w:r>
          </w:p>
          <w:p w14:paraId="620CE55E" w14:textId="77777777" w:rsidR="007201CF" w:rsidRPr="007D35DE" w:rsidRDefault="007201CF" w:rsidP="007D3EF1">
            <w:pPr>
              <w:pStyle w:val="Newtablebullet"/>
              <w:spacing w:before="40" w:after="40"/>
            </w:pPr>
            <w:r w:rsidRPr="007D35DE">
              <w:t xml:space="preserve">committed and proposed new or expanded LNG import facilities; </w:t>
            </w:r>
            <w:r w:rsidR="00D6048F" w:rsidRPr="007D35DE">
              <w:t>and</w:t>
            </w:r>
          </w:p>
          <w:p w14:paraId="23C82F00" w14:textId="77777777" w:rsidR="007201CF" w:rsidRPr="007D35DE" w:rsidRDefault="007201CF" w:rsidP="007D3EF1">
            <w:pPr>
              <w:pStyle w:val="Newtablebullet"/>
              <w:spacing w:before="40" w:after="40"/>
            </w:pPr>
            <w:proofErr w:type="gramStart"/>
            <w:r w:rsidRPr="007D35DE">
              <w:t>factors</w:t>
            </w:r>
            <w:proofErr w:type="gramEnd"/>
            <w:r w:rsidRPr="007D35DE">
              <w:t xml:space="preserve"> that may affect the volume of gas supplied by LNG import facilities such as planned and unplanned outages.</w:t>
            </w:r>
          </w:p>
        </w:tc>
        <w:tc>
          <w:tcPr>
            <w:tcW w:w="1633" w:type="pct"/>
          </w:tcPr>
          <w:p w14:paraId="51BFE366" w14:textId="77777777" w:rsidR="007201CF" w:rsidRPr="00187E44" w:rsidRDefault="007201CF" w:rsidP="007D3EF1">
            <w:pPr>
              <w:pStyle w:val="TableBodyText"/>
              <w:spacing w:before="40" w:after="40"/>
            </w:pPr>
            <w:r w:rsidRPr="00187E44">
              <w:t xml:space="preserve">In Part </w:t>
            </w:r>
            <w:r w:rsidR="00825A18" w:rsidRPr="00187E44">
              <w:t>15D</w:t>
            </w:r>
            <w:r w:rsidRPr="00187E44">
              <w:t>, paragraphs (aa), (ab), (b), (c) and (</w:t>
            </w:r>
            <w:proofErr w:type="spellStart"/>
            <w:r w:rsidRPr="00187E44">
              <w:t>i</w:t>
            </w:r>
            <w:proofErr w:type="spellEnd"/>
            <w:r w:rsidRPr="00187E44">
              <w:t xml:space="preserve">) of rule </w:t>
            </w:r>
            <w:proofErr w:type="gramStart"/>
            <w:r w:rsidRPr="00187E44">
              <w:t>135KB(</w:t>
            </w:r>
            <w:proofErr w:type="gramEnd"/>
            <w:r w:rsidRPr="00187E44">
              <w:t>1).</w:t>
            </w:r>
          </w:p>
        </w:tc>
      </w:tr>
    </w:tbl>
    <w:p w14:paraId="58211E75" w14:textId="77777777" w:rsidR="00682302" w:rsidRPr="00E51706" w:rsidRDefault="00F048FA" w:rsidP="00E51706">
      <w:pPr>
        <w:pStyle w:val="Heading1"/>
      </w:pPr>
      <w:bookmarkStart w:id="104" w:name="_Toc45015289"/>
      <w:r w:rsidRPr="00E51706">
        <w:lastRenderedPageBreak/>
        <w:t>Demand for gas</w:t>
      </w:r>
      <w:bookmarkEnd w:id="104"/>
    </w:p>
    <w:p w14:paraId="099A5A41" w14:textId="77777777" w:rsidR="00D6048F" w:rsidRDefault="00D6048F" w:rsidP="0053255F">
      <w:pPr>
        <w:pStyle w:val="BodyText"/>
      </w:pPr>
      <w:r>
        <w:t xml:space="preserve">This section describes the proposed approach in the Rules to implementation of the measures </w:t>
      </w:r>
      <w:r w:rsidR="009C4FFE">
        <w:t>relating to the d</w:t>
      </w:r>
      <w:r>
        <w:t>emand for gas.</w:t>
      </w:r>
    </w:p>
    <w:p w14:paraId="01852ABC" w14:textId="77777777" w:rsidR="00682302" w:rsidRDefault="00682302" w:rsidP="00DC4D79">
      <w:pPr>
        <w:pStyle w:val="Heading2"/>
      </w:pPr>
      <w:bookmarkStart w:id="105" w:name="_Toc45015290"/>
      <w:r>
        <w:t>Large users</w:t>
      </w:r>
      <w:bookmarkEnd w:id="105"/>
    </w:p>
    <w:tbl>
      <w:tblPr>
        <w:tblStyle w:val="ACCCTable11"/>
        <w:tblW w:w="5000" w:type="pct"/>
        <w:tblLayout w:type="fixed"/>
        <w:tblLook w:val="06A0" w:firstRow="1" w:lastRow="0" w:firstColumn="1" w:lastColumn="0" w:noHBand="1" w:noVBand="1"/>
      </w:tblPr>
      <w:tblGrid>
        <w:gridCol w:w="3830"/>
        <w:gridCol w:w="5525"/>
        <w:gridCol w:w="4604"/>
      </w:tblGrid>
      <w:tr w:rsidR="00735283" w:rsidRPr="002F7121" w14:paraId="2B579112"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372" w:type="pct"/>
            <w:tcBorders>
              <w:bottom w:val="single" w:sz="4" w:space="0" w:color="auto"/>
            </w:tcBorders>
            <w:shd w:val="clear" w:color="auto" w:fill="005595"/>
          </w:tcPr>
          <w:p w14:paraId="6CC52DD5" w14:textId="77777777" w:rsidR="00735283" w:rsidRDefault="00440252" w:rsidP="00187103">
            <w:pPr>
              <w:spacing w:before="20"/>
              <w:rPr>
                <w:rFonts w:cs="Arial"/>
              </w:rPr>
            </w:pPr>
            <w:r>
              <w:rPr>
                <w:rFonts w:cs="Arial"/>
              </w:rPr>
              <w:t>Endorsed</w:t>
            </w:r>
            <w:r w:rsidR="00AD7935">
              <w:rPr>
                <w:rFonts w:cs="Arial"/>
              </w:rPr>
              <w:t xml:space="preserve"> measure</w:t>
            </w:r>
          </w:p>
        </w:tc>
        <w:tc>
          <w:tcPr>
            <w:tcW w:w="1979" w:type="pct"/>
            <w:tcBorders>
              <w:bottom w:val="single" w:sz="4" w:space="0" w:color="auto"/>
            </w:tcBorders>
            <w:shd w:val="clear" w:color="auto" w:fill="005595"/>
            <w:hideMark/>
          </w:tcPr>
          <w:p w14:paraId="637C45C8" w14:textId="77777777" w:rsidR="00735283" w:rsidRPr="002F7121" w:rsidRDefault="00735283" w:rsidP="00187103">
            <w:pPr>
              <w:spacing w:before="20"/>
              <w:rPr>
                <w:rFonts w:cs="Arial"/>
              </w:rPr>
            </w:pPr>
            <w:r>
              <w:rPr>
                <w:rFonts w:cs="Arial"/>
              </w:rPr>
              <w:t>Proposed approach to implementation</w:t>
            </w:r>
          </w:p>
        </w:tc>
        <w:tc>
          <w:tcPr>
            <w:tcW w:w="1649" w:type="pct"/>
            <w:tcBorders>
              <w:bottom w:val="single" w:sz="4" w:space="0" w:color="auto"/>
            </w:tcBorders>
            <w:shd w:val="clear" w:color="auto" w:fill="005595"/>
            <w:hideMark/>
          </w:tcPr>
          <w:p w14:paraId="318DE359" w14:textId="77777777" w:rsidR="00735283" w:rsidRPr="002F7121" w:rsidRDefault="0014087B" w:rsidP="00187103">
            <w:pPr>
              <w:spacing w:before="20"/>
              <w:rPr>
                <w:rFonts w:cs="Arial"/>
              </w:rPr>
            </w:pPr>
            <w:r>
              <w:rPr>
                <w:rFonts w:cs="Arial"/>
              </w:rPr>
              <w:t>Proposed amendments</w:t>
            </w:r>
            <w:r w:rsidR="00735283">
              <w:rPr>
                <w:rFonts w:cs="Arial"/>
              </w:rPr>
              <w:t xml:space="preserve"> in </w:t>
            </w:r>
            <w:r w:rsidR="00735283" w:rsidRPr="002F7121">
              <w:rPr>
                <w:rFonts w:cs="Arial"/>
              </w:rPr>
              <w:t>Part 18</w:t>
            </w:r>
          </w:p>
        </w:tc>
      </w:tr>
      <w:tr w:rsidR="007C110B" w:rsidRPr="00977003" w14:paraId="6735D23A" w14:textId="77777777" w:rsidTr="007C110B">
        <w:trPr>
          <w:cantSplit/>
        </w:trPr>
        <w:tc>
          <w:tcPr>
            <w:tcW w:w="1372" w:type="pct"/>
            <w:vMerge w:val="restart"/>
          </w:tcPr>
          <w:p w14:paraId="59651ACE" w14:textId="77777777" w:rsidR="007C110B" w:rsidRDefault="007C110B" w:rsidP="007201CF">
            <w:pPr>
              <w:pStyle w:val="TableBodyText"/>
            </w:pPr>
            <w:r>
              <w:t>Large users that meet the reporting threshold (i.e. connection point capacity of 10TJ/day or more) to report the following:</w:t>
            </w:r>
          </w:p>
          <w:p w14:paraId="16C244AE" w14:textId="77777777" w:rsidR="007C110B" w:rsidRDefault="007C110B" w:rsidP="007201CF">
            <w:pPr>
              <w:pStyle w:val="Newtablebullet"/>
            </w:pPr>
            <w:r>
              <w:t>the nameplate capacity of the connection point to their facility;</w:t>
            </w:r>
          </w:p>
          <w:p w14:paraId="35D173A5" w14:textId="77777777" w:rsidR="007C110B" w:rsidRPr="0003488C" w:rsidRDefault="007C110B" w:rsidP="007201CF">
            <w:pPr>
              <w:pStyle w:val="Newtablebullet"/>
              <w:rPr>
                <w:szCs w:val="18"/>
              </w:rPr>
            </w:pPr>
            <w:r w:rsidRPr="0003488C">
              <w:rPr>
                <w:szCs w:val="18"/>
              </w:rPr>
              <w:t>detailed facility information (i.e. the name of the pipeline and delivery points to which their facility is connected); and</w:t>
            </w:r>
          </w:p>
          <w:p w14:paraId="3F4E4FC4" w14:textId="77777777" w:rsidR="007C110B" w:rsidRDefault="007C110B" w:rsidP="007201CF">
            <w:pPr>
              <w:pStyle w:val="Newtablebullet"/>
            </w:pPr>
            <w:proofErr w:type="gramStart"/>
            <w:r>
              <w:t>daily</w:t>
            </w:r>
            <w:proofErr w:type="gramEnd"/>
            <w:r>
              <w:t xml:space="preserve"> gas consumption (to be reported in accordance with the timing in the BB Procedures).</w:t>
            </w:r>
          </w:p>
          <w:p w14:paraId="3A56EF57" w14:textId="77777777" w:rsidR="007C110B" w:rsidRDefault="007C110B" w:rsidP="007201CF">
            <w:pPr>
              <w:pStyle w:val="TableBodyText"/>
            </w:pPr>
            <w:r w:rsidRPr="007201CF">
              <w:t>Large users would be able to obtain an exemption from reporting on their daily consumption if they can demonstrate they did not consume more than 10 TJ/day in the last 12 months and are not expected to do so in the next 12 months. This may be done by reference to the maximum daily quantity (MDQ) specified in the gas supply agreement, gas transportation agreement or retail agreement, where a large user is only relying on a firm service.</w:t>
            </w:r>
          </w:p>
        </w:tc>
        <w:tc>
          <w:tcPr>
            <w:tcW w:w="1979" w:type="pct"/>
          </w:tcPr>
          <w:p w14:paraId="3428ADFB" w14:textId="77777777" w:rsidR="007C110B" w:rsidRDefault="007C110B" w:rsidP="004E1DF0">
            <w:pPr>
              <w:pStyle w:val="TableBodyText"/>
            </w:pPr>
            <w:r>
              <w:t>Bring large user facilities within the scope of Part 18.</w:t>
            </w:r>
          </w:p>
          <w:p w14:paraId="17A733B4" w14:textId="77777777" w:rsidR="007C110B" w:rsidRDefault="007C110B" w:rsidP="004E1DF0">
            <w:pPr>
              <w:pStyle w:val="TableBodyText"/>
            </w:pPr>
            <w:r>
              <w:t xml:space="preserve">A BB large user facility would be a user facility that meets the reporting threshold. </w:t>
            </w:r>
          </w:p>
          <w:p w14:paraId="047738BE" w14:textId="77777777" w:rsidR="007C110B" w:rsidRPr="00977003" w:rsidRDefault="007C110B" w:rsidP="004E1DF0">
            <w:pPr>
              <w:pStyle w:val="TableBodyText"/>
            </w:pPr>
            <w:r>
              <w:t>In order to apply the reporting threshold in a consistent manner, it is proposed that the Rules will define ‘user facility’ by reference to the term ‘facility’ under the National Greenhouse and Energy Reporting Act of the Commonwealth.</w:t>
            </w:r>
          </w:p>
        </w:tc>
        <w:tc>
          <w:tcPr>
            <w:tcW w:w="1649" w:type="pct"/>
          </w:tcPr>
          <w:p w14:paraId="6CC874E9" w14:textId="77777777" w:rsidR="007C110B" w:rsidRDefault="00D27DE0" w:rsidP="004E1DF0">
            <w:pPr>
              <w:pStyle w:val="TableBodyText"/>
            </w:pPr>
            <w:r>
              <w:t>N</w:t>
            </w:r>
            <w:r w:rsidR="007C110B">
              <w:t>e</w:t>
            </w:r>
            <w:r>
              <w:t>w definition</w:t>
            </w:r>
            <w:r w:rsidR="00194146">
              <w:t>s</w:t>
            </w:r>
            <w:r>
              <w:t xml:space="preserve"> of ‘user facility’ and “NGER Act’.</w:t>
            </w:r>
          </w:p>
          <w:p w14:paraId="613A0F12" w14:textId="77777777" w:rsidR="007C110B" w:rsidRDefault="005718FE" w:rsidP="004E1DF0">
            <w:pPr>
              <w:pStyle w:val="TableBodyText"/>
            </w:pPr>
            <w:r>
              <w:t xml:space="preserve">Amendments to the </w:t>
            </w:r>
            <w:r w:rsidR="007C110B">
              <w:t>‘</w:t>
            </w:r>
            <w:r>
              <w:t>reporting threshold’ definition specify the reporting threshold for user facilities.</w:t>
            </w:r>
          </w:p>
          <w:p w14:paraId="0B610C45" w14:textId="77777777" w:rsidR="007C110B" w:rsidRDefault="007C110B" w:rsidP="004E1DF0">
            <w:pPr>
              <w:pStyle w:val="TableBodyText"/>
            </w:pPr>
            <w:r>
              <w:t>Add a new definition of ‘BB large user facility’ and include it as a type of ‘BB facility’.</w:t>
            </w:r>
          </w:p>
          <w:p w14:paraId="252067AB" w14:textId="77777777" w:rsidR="007C110B" w:rsidRPr="00977003" w:rsidRDefault="007C110B" w:rsidP="004E1DF0">
            <w:pPr>
              <w:pStyle w:val="TableBodyText"/>
            </w:pPr>
            <w:r>
              <w:t>Amend other definitions as required for the new provisions:  ‘daily capacity’, ‘daily consumption data’, ‘facility operator’, ‘material change’, ‘nameplate rating’.</w:t>
            </w:r>
          </w:p>
        </w:tc>
      </w:tr>
      <w:tr w:rsidR="007C110B" w:rsidRPr="00977003" w14:paraId="6C3939E1" w14:textId="77777777" w:rsidTr="007C110B">
        <w:trPr>
          <w:cantSplit/>
        </w:trPr>
        <w:tc>
          <w:tcPr>
            <w:tcW w:w="1372" w:type="pct"/>
            <w:vMerge/>
          </w:tcPr>
          <w:p w14:paraId="16CEE360" w14:textId="77777777" w:rsidR="007C110B" w:rsidRDefault="007C110B" w:rsidP="004E1DF0">
            <w:pPr>
              <w:pStyle w:val="TableBodyText"/>
            </w:pPr>
          </w:p>
        </w:tc>
        <w:tc>
          <w:tcPr>
            <w:tcW w:w="1979" w:type="pct"/>
            <w:tcBorders>
              <w:bottom w:val="single" w:sz="4" w:space="0" w:color="auto"/>
            </w:tcBorders>
          </w:tcPr>
          <w:p w14:paraId="19F5875C" w14:textId="77777777" w:rsidR="007C110B" w:rsidRDefault="007C110B" w:rsidP="004E1DF0">
            <w:pPr>
              <w:pStyle w:val="TableBodyText"/>
            </w:pPr>
            <w:r>
              <w:t>Require the operator of a BB large user facility to register with AEMO under Part 18.</w:t>
            </w:r>
          </w:p>
          <w:p w14:paraId="7B5691B6" w14:textId="77777777" w:rsidR="000A4706" w:rsidRDefault="000A4706" w:rsidP="004E1DF0">
            <w:pPr>
              <w:pStyle w:val="TableBodyText"/>
            </w:pPr>
            <w:r>
              <w:t>It is proposed that a</w:t>
            </w:r>
            <w:r w:rsidRPr="000A4706">
              <w:t xml:space="preserve">ll BB large users </w:t>
            </w:r>
            <w:r w:rsidR="00194146">
              <w:t>would</w:t>
            </w:r>
            <w:r w:rsidRPr="000A4706">
              <w:t xml:space="preserve"> need to register with AEMO in relation to their BB facility. Registration is required to enable AEMO to identify the facility and facility operator and where necessary to give the facility operator </w:t>
            </w:r>
            <w:r w:rsidR="00825A18">
              <w:t>system</w:t>
            </w:r>
            <w:r w:rsidR="00825A18" w:rsidRPr="000A4706">
              <w:t xml:space="preserve"> </w:t>
            </w:r>
            <w:r w:rsidRPr="000A4706">
              <w:t>access for reporting purposes. The BB Procedures may allow reporting by email if the only information required after registration is the nameplate rating and detailed facility information.</w:t>
            </w:r>
          </w:p>
          <w:p w14:paraId="4320E349" w14:textId="77777777" w:rsidR="000A4706" w:rsidRDefault="000A4706" w:rsidP="00194146">
            <w:pPr>
              <w:pStyle w:val="TableBodyText"/>
            </w:pPr>
            <w:r w:rsidRPr="000A4706">
              <w:t xml:space="preserve">BB large users </w:t>
            </w:r>
            <w:r w:rsidR="00194146">
              <w:t>would</w:t>
            </w:r>
            <w:r w:rsidRPr="000A4706">
              <w:t xml:space="preserve"> be able to appoint a </w:t>
            </w:r>
            <w:r w:rsidR="00991AF9">
              <w:t xml:space="preserve">BB </w:t>
            </w:r>
            <w:r w:rsidRPr="000A4706">
              <w:t>reporting agent to report to AEMO on their behalf</w:t>
            </w:r>
            <w:r w:rsidR="006B191A">
              <w:t>.</w:t>
            </w:r>
          </w:p>
        </w:tc>
        <w:tc>
          <w:tcPr>
            <w:tcW w:w="1649" w:type="pct"/>
            <w:tcBorders>
              <w:bottom w:val="single" w:sz="4" w:space="0" w:color="auto"/>
            </w:tcBorders>
          </w:tcPr>
          <w:p w14:paraId="5FBC3E36" w14:textId="77777777" w:rsidR="007C110B" w:rsidRDefault="00D27DE0" w:rsidP="004E1DF0">
            <w:pPr>
              <w:pStyle w:val="TableBodyText"/>
            </w:pPr>
            <w:r>
              <w:t>Include</w:t>
            </w:r>
            <w:r w:rsidR="007C110B">
              <w:t xml:space="preserve"> the facility operator for a BB large user facility in the ‘facility operator’ definition</w:t>
            </w:r>
            <w:r>
              <w:t xml:space="preserve"> in rule 141(1)</w:t>
            </w:r>
            <w:r w:rsidR="007C110B">
              <w:t>.</w:t>
            </w:r>
          </w:p>
          <w:p w14:paraId="53AB7D86" w14:textId="77777777" w:rsidR="00601104" w:rsidRDefault="00601104" w:rsidP="004E1DF0">
            <w:pPr>
              <w:pStyle w:val="TableBodyText"/>
            </w:pPr>
            <w:r>
              <w:t>Rule 150 in new Subdivision 3.1 will require registration by all facility operators.</w:t>
            </w:r>
          </w:p>
          <w:p w14:paraId="74FB6AB3" w14:textId="77777777" w:rsidR="00194146" w:rsidRDefault="00194146" w:rsidP="004E1DF0">
            <w:pPr>
              <w:pStyle w:val="TableBodyText"/>
            </w:pPr>
            <w:r>
              <w:t>Rule 162 would provide for appointment of an agent.</w:t>
            </w:r>
          </w:p>
        </w:tc>
      </w:tr>
      <w:tr w:rsidR="009B2C41" w:rsidRPr="00977003" w14:paraId="5AD9997A" w14:textId="77777777" w:rsidTr="00F026C8">
        <w:trPr>
          <w:cantSplit/>
        </w:trPr>
        <w:tc>
          <w:tcPr>
            <w:tcW w:w="1372" w:type="pct"/>
            <w:vMerge/>
          </w:tcPr>
          <w:p w14:paraId="6A6E5975" w14:textId="77777777" w:rsidR="009B2C41" w:rsidRDefault="009B2C41" w:rsidP="004E1DF0">
            <w:pPr>
              <w:pStyle w:val="TableBodyText"/>
            </w:pPr>
          </w:p>
        </w:tc>
        <w:tc>
          <w:tcPr>
            <w:tcW w:w="1979" w:type="pct"/>
            <w:tcBorders>
              <w:bottom w:val="single" w:sz="4" w:space="0" w:color="auto"/>
            </w:tcBorders>
          </w:tcPr>
          <w:p w14:paraId="266ACCED" w14:textId="77777777" w:rsidR="009B2C41" w:rsidRDefault="009B2C41" w:rsidP="009B2C41">
            <w:pPr>
              <w:pStyle w:val="TableBodyText"/>
            </w:pPr>
            <w:r>
              <w:t xml:space="preserve">Provide for the daily capacity and nameplate rating of a large user facility to be defined by reference to </w:t>
            </w:r>
            <w:r w:rsidRPr="009B2C41">
              <w:t>the quantity of natural gas that connections to the facility are capable of allowing to be delivered to the facility from a pipeline on a gas day</w:t>
            </w:r>
            <w:r>
              <w:t>.</w:t>
            </w:r>
          </w:p>
        </w:tc>
        <w:tc>
          <w:tcPr>
            <w:tcW w:w="1649" w:type="pct"/>
            <w:tcBorders>
              <w:bottom w:val="single" w:sz="4" w:space="0" w:color="auto"/>
            </w:tcBorders>
          </w:tcPr>
          <w:p w14:paraId="6A445764" w14:textId="77777777" w:rsidR="009B2C41" w:rsidRDefault="009B2C41" w:rsidP="004E1DF0">
            <w:pPr>
              <w:pStyle w:val="TableBodyText"/>
            </w:pPr>
            <w:r>
              <w:t>Amendments to the definition of ‘daily capacity’ in rule 141(1) and ‘nameplate rating’ in rule 141(2</w:t>
            </w:r>
            <w:proofErr w:type="gramStart"/>
            <w:r>
              <w:t>)(</w:t>
            </w:r>
            <w:proofErr w:type="gramEnd"/>
            <w:r>
              <w:t>a).</w:t>
            </w:r>
          </w:p>
        </w:tc>
      </w:tr>
      <w:tr w:rsidR="007C110B" w:rsidRPr="00977003" w14:paraId="5186962F" w14:textId="77777777" w:rsidTr="00F026C8">
        <w:trPr>
          <w:cantSplit/>
        </w:trPr>
        <w:tc>
          <w:tcPr>
            <w:tcW w:w="1372" w:type="pct"/>
            <w:vMerge/>
          </w:tcPr>
          <w:p w14:paraId="68E1CAB7" w14:textId="77777777" w:rsidR="007C110B" w:rsidRDefault="007C110B" w:rsidP="004E1DF0">
            <w:pPr>
              <w:pStyle w:val="TableBodyText"/>
            </w:pPr>
          </w:p>
        </w:tc>
        <w:tc>
          <w:tcPr>
            <w:tcW w:w="1979" w:type="pct"/>
            <w:tcBorders>
              <w:top w:val="single" w:sz="4" w:space="0" w:color="auto"/>
            </w:tcBorders>
          </w:tcPr>
          <w:p w14:paraId="392AAFD0" w14:textId="77777777" w:rsidR="007C110B" w:rsidRDefault="007C110B" w:rsidP="004E1DF0">
            <w:pPr>
              <w:pStyle w:val="TableBodyText"/>
            </w:pPr>
            <w:r>
              <w:t>Amend the provisions describing information to be provided in relation to BB facilities in Division 5, to the extent required to deal with BB large user facilities separately from other f</w:t>
            </w:r>
            <w:r w:rsidR="000A4706">
              <w:t>acilities and to require only:</w:t>
            </w:r>
          </w:p>
          <w:p w14:paraId="35A79687" w14:textId="77777777" w:rsidR="007C110B" w:rsidRDefault="009B2C41" w:rsidP="009B2C41">
            <w:pPr>
              <w:pStyle w:val="Newtablebullet"/>
            </w:pPr>
            <w:r>
              <w:t>nameplate rating information</w:t>
            </w:r>
            <w:r w:rsidR="000A4706">
              <w:t>, which is</w:t>
            </w:r>
            <w:r>
              <w:t xml:space="preserve"> to be provided on registration and annually as required by the BB Pr</w:t>
            </w:r>
            <w:r w:rsidR="00AF235B">
              <w:t>ocedures, but not within the yea</w:t>
            </w:r>
            <w:r>
              <w:t>r if there is a material change</w:t>
            </w:r>
            <w:r w:rsidR="00E429BC">
              <w:t>;</w:t>
            </w:r>
          </w:p>
          <w:p w14:paraId="79469C52" w14:textId="77777777" w:rsidR="007C110B" w:rsidRDefault="007C110B" w:rsidP="009B2C41">
            <w:pPr>
              <w:pStyle w:val="Newtablebullet"/>
            </w:pPr>
            <w:r>
              <w:t>detailed facility information</w:t>
            </w:r>
            <w:r w:rsidR="00E429BC">
              <w:t>; and</w:t>
            </w:r>
          </w:p>
          <w:p w14:paraId="24E7E97B" w14:textId="77777777" w:rsidR="000A4706" w:rsidRDefault="007C110B" w:rsidP="000A4706">
            <w:pPr>
              <w:pStyle w:val="Newtablebullet"/>
            </w:pPr>
            <w:proofErr w:type="gramStart"/>
            <w:r>
              <w:t>daily</w:t>
            </w:r>
            <w:proofErr w:type="gramEnd"/>
            <w:r>
              <w:t xml:space="preserve"> consumption data (unless exempt).</w:t>
            </w:r>
          </w:p>
        </w:tc>
        <w:tc>
          <w:tcPr>
            <w:tcW w:w="1649" w:type="pct"/>
            <w:tcBorders>
              <w:top w:val="single" w:sz="4" w:space="0" w:color="auto"/>
            </w:tcBorders>
          </w:tcPr>
          <w:p w14:paraId="6FF4D88A" w14:textId="77777777" w:rsidR="007C110B" w:rsidRDefault="007C110B" w:rsidP="004E1DF0">
            <w:pPr>
              <w:pStyle w:val="TableBodyText"/>
            </w:pPr>
            <w:r>
              <w:t>Nameplate rating information</w:t>
            </w:r>
            <w:r w:rsidR="009B2C41">
              <w:t>: R</w:t>
            </w:r>
            <w:r>
              <w:t>ule 168</w:t>
            </w:r>
            <w:r w:rsidR="009B2C41">
              <w:t xml:space="preserve"> will apply, but exclude BB large u</w:t>
            </w:r>
            <w:r w:rsidR="000A4706">
              <w:t xml:space="preserve">ser facilities from </w:t>
            </w:r>
            <w:proofErr w:type="spellStart"/>
            <w:r w:rsidR="000A4706">
              <w:t>subrule</w:t>
            </w:r>
            <w:proofErr w:type="spellEnd"/>
            <w:r w:rsidR="000A4706">
              <w:t> </w:t>
            </w:r>
            <w:r w:rsidR="009B2C41">
              <w:t>(3),</w:t>
            </w:r>
            <w:r w:rsidR="000A4706">
              <w:t xml:space="preserve"> </w:t>
            </w:r>
            <w:r w:rsidR="009B2C41">
              <w:t>which deals with material change.</w:t>
            </w:r>
          </w:p>
          <w:p w14:paraId="1F242391" w14:textId="77777777" w:rsidR="007C110B" w:rsidRDefault="007C110B" w:rsidP="004E1DF0">
            <w:pPr>
              <w:pStyle w:val="TableBodyText"/>
            </w:pPr>
            <w:r>
              <w:t xml:space="preserve">Detailed facility information: </w:t>
            </w:r>
            <w:r w:rsidR="000A4706">
              <w:t>Amend r</w:t>
            </w:r>
            <w:r>
              <w:t>ule 169(4</w:t>
            </w:r>
            <w:proofErr w:type="gramStart"/>
            <w:r>
              <w:t>)(</w:t>
            </w:r>
            <w:proofErr w:type="gramEnd"/>
            <w:r>
              <w:t>b).</w:t>
            </w:r>
          </w:p>
          <w:p w14:paraId="487527D9" w14:textId="77777777" w:rsidR="007C110B" w:rsidRDefault="007C110B" w:rsidP="004E1DF0">
            <w:pPr>
              <w:pStyle w:val="TableBodyText"/>
            </w:pPr>
            <w:r>
              <w:t>Daily consumption data: New rule 189 and the new definition of ‘daily consumption data’.</w:t>
            </w:r>
          </w:p>
        </w:tc>
      </w:tr>
      <w:tr w:rsidR="006B191A" w:rsidRPr="00977003" w14:paraId="1DA15E9E" w14:textId="77777777" w:rsidTr="00F026C8">
        <w:trPr>
          <w:cantSplit/>
        </w:trPr>
        <w:tc>
          <w:tcPr>
            <w:tcW w:w="1372" w:type="pct"/>
            <w:vMerge/>
          </w:tcPr>
          <w:p w14:paraId="333C678F" w14:textId="77777777" w:rsidR="006B191A" w:rsidRDefault="006B191A" w:rsidP="004E1DF0">
            <w:pPr>
              <w:pStyle w:val="TableBodyText"/>
            </w:pPr>
          </w:p>
        </w:tc>
        <w:tc>
          <w:tcPr>
            <w:tcW w:w="1979" w:type="pct"/>
            <w:tcBorders>
              <w:top w:val="single" w:sz="4" w:space="0" w:color="auto"/>
            </w:tcBorders>
          </w:tcPr>
          <w:p w14:paraId="2F5DB4AA" w14:textId="77777777" w:rsidR="006B191A" w:rsidRDefault="006B191A" w:rsidP="006B191A">
            <w:pPr>
              <w:pStyle w:val="TableBodyText"/>
            </w:pPr>
            <w:r>
              <w:t>Exclude BB large user facilities from obligations to report short and medium term capacity information.</w:t>
            </w:r>
          </w:p>
        </w:tc>
        <w:tc>
          <w:tcPr>
            <w:tcW w:w="1649" w:type="pct"/>
            <w:tcBorders>
              <w:top w:val="single" w:sz="4" w:space="0" w:color="auto"/>
            </w:tcBorders>
          </w:tcPr>
          <w:p w14:paraId="38E89DD2" w14:textId="77777777" w:rsidR="006B191A" w:rsidRDefault="006B191A" w:rsidP="006B191A">
            <w:pPr>
              <w:pStyle w:val="TableBodyText"/>
            </w:pPr>
            <w:r>
              <w:t>Short term capacity outlook: Exclude BB large user facilities from rule 178(1).</w:t>
            </w:r>
          </w:p>
          <w:p w14:paraId="4EFB66BE" w14:textId="77777777" w:rsidR="006B191A" w:rsidRDefault="006B191A" w:rsidP="006B191A">
            <w:pPr>
              <w:pStyle w:val="TableBodyText"/>
            </w:pPr>
            <w:r>
              <w:t>Medium term capacity outlook:  Exclude BB large user facilities from rule 181(1).</w:t>
            </w:r>
          </w:p>
        </w:tc>
      </w:tr>
      <w:tr w:rsidR="000A4706" w:rsidRPr="00977003" w14:paraId="1CBB0ED8" w14:textId="77777777" w:rsidTr="0076363A">
        <w:trPr>
          <w:cantSplit/>
          <w:trHeight w:val="1063"/>
        </w:trPr>
        <w:tc>
          <w:tcPr>
            <w:tcW w:w="1372" w:type="pct"/>
            <w:vMerge/>
          </w:tcPr>
          <w:p w14:paraId="52B793D6" w14:textId="77777777" w:rsidR="000A4706" w:rsidRDefault="000A4706" w:rsidP="004E1DF0">
            <w:pPr>
              <w:pStyle w:val="TableBodyText"/>
            </w:pPr>
          </w:p>
        </w:tc>
        <w:tc>
          <w:tcPr>
            <w:tcW w:w="1979" w:type="pct"/>
            <w:tcBorders>
              <w:top w:val="single" w:sz="4" w:space="0" w:color="auto"/>
            </w:tcBorders>
          </w:tcPr>
          <w:p w14:paraId="67AF5AAC" w14:textId="77777777" w:rsidR="000A4706" w:rsidRDefault="000A4706" w:rsidP="000A4706">
            <w:pPr>
              <w:pStyle w:val="TableBodyText"/>
            </w:pPr>
            <w:r>
              <w:t xml:space="preserve">Provide for </w:t>
            </w:r>
            <w:r w:rsidRPr="000A4706">
              <w:t>BB large users in a regulated retail gas market to report nameplate capacity (</w:t>
            </w:r>
            <w:r>
              <w:t xml:space="preserve">rule </w:t>
            </w:r>
            <w:r w:rsidRPr="000A4706">
              <w:t>168) and detailed facility information (</w:t>
            </w:r>
            <w:r>
              <w:t xml:space="preserve">rule </w:t>
            </w:r>
            <w:r w:rsidRPr="000A4706">
              <w:t>169), but not daily consumption data, as that will be reported by AEMO (</w:t>
            </w:r>
            <w:r w:rsidR="00194146">
              <w:t xml:space="preserve">rule </w:t>
            </w:r>
            <w:r w:rsidRPr="000A4706">
              <w:t>189).</w:t>
            </w:r>
          </w:p>
        </w:tc>
        <w:tc>
          <w:tcPr>
            <w:tcW w:w="1649" w:type="pct"/>
            <w:tcBorders>
              <w:top w:val="single" w:sz="4" w:space="0" w:color="auto"/>
            </w:tcBorders>
          </w:tcPr>
          <w:p w14:paraId="4D3661D5" w14:textId="77777777" w:rsidR="000A4706" w:rsidRDefault="000A4706" w:rsidP="000A4706">
            <w:pPr>
              <w:pStyle w:val="TableBodyText"/>
            </w:pPr>
            <w:r>
              <w:t>The changes related to nameplate capacity information and detailed facility information are explained above.</w:t>
            </w:r>
          </w:p>
          <w:p w14:paraId="3A54110E" w14:textId="77777777" w:rsidR="006B191A" w:rsidRDefault="006B191A" w:rsidP="000A4706">
            <w:pPr>
              <w:pStyle w:val="TableBodyText"/>
            </w:pPr>
            <w:r>
              <w:t>For daily consumption data:</w:t>
            </w:r>
          </w:p>
          <w:p w14:paraId="461F1669" w14:textId="77777777" w:rsidR="000A4706" w:rsidRDefault="006B191A" w:rsidP="006B191A">
            <w:pPr>
              <w:pStyle w:val="Newtablebullet"/>
            </w:pPr>
            <w:r>
              <w:t xml:space="preserve">exclude </w:t>
            </w:r>
            <w:r w:rsidR="000A4706" w:rsidRPr="000A4706">
              <w:t>BB large users in a regulated retail gas market</w:t>
            </w:r>
            <w:r>
              <w:t xml:space="preserve"> from the obligation to report the data under rule 189(1);</w:t>
            </w:r>
            <w:r w:rsidR="00194146">
              <w:t xml:space="preserve"> and</w:t>
            </w:r>
          </w:p>
          <w:p w14:paraId="31AB8932" w14:textId="77777777" w:rsidR="006B191A" w:rsidRDefault="006B191A" w:rsidP="006B191A">
            <w:pPr>
              <w:pStyle w:val="Newtablebullet"/>
            </w:pPr>
            <w:proofErr w:type="gramStart"/>
            <w:r>
              <w:t>require</w:t>
            </w:r>
            <w:proofErr w:type="gramEnd"/>
            <w:r>
              <w:t xml:space="preserve"> AEMO to report the information under rule 189(2).</w:t>
            </w:r>
          </w:p>
        </w:tc>
      </w:tr>
      <w:tr w:rsidR="007C110B" w:rsidRPr="00977003" w14:paraId="60AE5ABA" w14:textId="77777777" w:rsidTr="007C110B">
        <w:trPr>
          <w:cantSplit/>
        </w:trPr>
        <w:tc>
          <w:tcPr>
            <w:tcW w:w="1372" w:type="pct"/>
            <w:vMerge/>
          </w:tcPr>
          <w:p w14:paraId="4F35397A" w14:textId="77777777" w:rsidR="007C110B" w:rsidRDefault="007C110B" w:rsidP="004E1DF0">
            <w:pPr>
              <w:pStyle w:val="TableBodyText"/>
            </w:pPr>
          </w:p>
        </w:tc>
        <w:tc>
          <w:tcPr>
            <w:tcW w:w="1979" w:type="pct"/>
          </w:tcPr>
          <w:p w14:paraId="47EAE253" w14:textId="77777777" w:rsidR="006B191A" w:rsidRDefault="006B191A" w:rsidP="006B191A">
            <w:pPr>
              <w:pStyle w:val="TableBodyText"/>
            </w:pPr>
            <w:r>
              <w:t>Provide for:</w:t>
            </w:r>
          </w:p>
          <w:p w14:paraId="18F95E4D" w14:textId="77777777" w:rsidR="006B191A" w:rsidRDefault="000A4706" w:rsidP="00F53836">
            <w:pPr>
              <w:pStyle w:val="Newtablebullet"/>
            </w:pPr>
            <w:r>
              <w:t>BB large users that are the only large user at a delivery point on a transmission pipeline</w:t>
            </w:r>
            <w:r w:rsidR="006B191A">
              <w:t>;</w:t>
            </w:r>
            <w:r w:rsidR="00E429BC">
              <w:t xml:space="preserve"> and</w:t>
            </w:r>
          </w:p>
          <w:p w14:paraId="31A362C6" w14:textId="77777777" w:rsidR="006B191A" w:rsidRDefault="006B191A" w:rsidP="00F53836">
            <w:pPr>
              <w:pStyle w:val="Newtablebullet"/>
            </w:pPr>
            <w:r>
              <w:t>BB large users with annual consumption less than 10 TJ</w:t>
            </w:r>
            <w:r w:rsidR="00E429BC">
              <w:t>,</w:t>
            </w:r>
          </w:p>
          <w:p w14:paraId="6411259C" w14:textId="77777777" w:rsidR="006B191A" w:rsidRDefault="006B191A" w:rsidP="006B191A">
            <w:pPr>
              <w:pStyle w:val="TableBodyText"/>
            </w:pPr>
            <w:proofErr w:type="gramStart"/>
            <w:r>
              <w:t>to</w:t>
            </w:r>
            <w:proofErr w:type="gramEnd"/>
            <w:r>
              <w:t xml:space="preserve"> be exempt from </w:t>
            </w:r>
            <w:r w:rsidR="000A4706">
              <w:t>report</w:t>
            </w:r>
            <w:r>
              <w:t>ing</w:t>
            </w:r>
            <w:r w:rsidR="000A4706">
              <w:t xml:space="preserve"> daily consumption data if they obta</w:t>
            </w:r>
            <w:r>
              <w:t>in an exemption from AEMO.</w:t>
            </w:r>
          </w:p>
          <w:p w14:paraId="00DCD028" w14:textId="77777777" w:rsidR="007C110B" w:rsidRDefault="006B191A" w:rsidP="00194146">
            <w:pPr>
              <w:pStyle w:val="TableBodyText"/>
            </w:pPr>
            <w:r>
              <w:t>Those two categories of BB large users may also be able to obtain an exemption under rule 164(2) from reporting detailed facility information if AEMO has that information from elsewhere.</w:t>
            </w:r>
          </w:p>
        </w:tc>
        <w:tc>
          <w:tcPr>
            <w:tcW w:w="1649" w:type="pct"/>
          </w:tcPr>
          <w:p w14:paraId="322A3306" w14:textId="4F15038A" w:rsidR="006B191A" w:rsidRDefault="007C110B" w:rsidP="000A4706">
            <w:pPr>
              <w:pStyle w:val="TableBodyText"/>
            </w:pPr>
            <w:r>
              <w:t>R</w:t>
            </w:r>
            <w:r w:rsidR="006B191A">
              <w:t>ule</w:t>
            </w:r>
            <w:r w:rsidR="00EA22EB">
              <w:t xml:space="preserve"> 190</w:t>
            </w:r>
            <w:r w:rsidR="006B191A">
              <w:t xml:space="preserve"> would:</w:t>
            </w:r>
          </w:p>
          <w:p w14:paraId="17F43244" w14:textId="77777777" w:rsidR="006B191A" w:rsidRDefault="006B191A" w:rsidP="006B191A">
            <w:pPr>
              <w:pStyle w:val="Newtablebullet"/>
            </w:pPr>
            <w:r>
              <w:t xml:space="preserve">provide for </w:t>
            </w:r>
            <w:r w:rsidR="000A4706">
              <w:t xml:space="preserve">AEMO to exempt a BB </w:t>
            </w:r>
            <w:r>
              <w:t>reporting entity</w:t>
            </w:r>
            <w:r w:rsidR="000A4706">
              <w:t xml:space="preserve"> from the obligation to provide daily consumption data</w:t>
            </w:r>
            <w:r>
              <w:t xml:space="preserve"> for its BB large user facility (on application)</w:t>
            </w:r>
            <w:r w:rsidR="000A4706">
              <w:t xml:space="preserve">, where </w:t>
            </w:r>
            <w:r>
              <w:t>the exemption criteria are met; and</w:t>
            </w:r>
          </w:p>
          <w:p w14:paraId="0E392BD1" w14:textId="77777777" w:rsidR="006B191A" w:rsidRDefault="006B191A" w:rsidP="0076363A">
            <w:pPr>
              <w:pStyle w:val="Newtablebullet"/>
            </w:pPr>
            <w:proofErr w:type="gramStart"/>
            <w:r>
              <w:t>allow</w:t>
            </w:r>
            <w:proofErr w:type="gramEnd"/>
            <w:r>
              <w:t xml:space="preserve"> AEMO to require information to verify that the exemption criteria continue to be met and revoke the exemption if not.</w:t>
            </w:r>
          </w:p>
          <w:p w14:paraId="4252A93C" w14:textId="77777777" w:rsidR="007C110B" w:rsidRDefault="000A4706" w:rsidP="000A4706">
            <w:pPr>
              <w:pStyle w:val="TableBodyText"/>
            </w:pPr>
            <w:r>
              <w:t>Details of the exemption application process are to be included in the BB Procedures.</w:t>
            </w:r>
          </w:p>
          <w:p w14:paraId="78333CBF" w14:textId="77777777" w:rsidR="006B191A" w:rsidRDefault="006B191A" w:rsidP="000A4706">
            <w:pPr>
              <w:pStyle w:val="TableBodyText"/>
            </w:pPr>
            <w:r>
              <w:t>Rule 164(2): No change would be required.</w:t>
            </w:r>
          </w:p>
        </w:tc>
      </w:tr>
    </w:tbl>
    <w:p w14:paraId="1BDB8EC7" w14:textId="77777777" w:rsidR="00682302" w:rsidRDefault="00682302" w:rsidP="00DC4D79">
      <w:pPr>
        <w:pStyle w:val="Heading2"/>
      </w:pPr>
      <w:bookmarkStart w:id="106" w:name="_Toc45015291"/>
      <w:r>
        <w:lastRenderedPageBreak/>
        <w:t xml:space="preserve">LNG </w:t>
      </w:r>
      <w:r w:rsidR="00F048FA">
        <w:t xml:space="preserve">export </w:t>
      </w:r>
      <w:r>
        <w:t>facilities</w:t>
      </w:r>
      <w:r w:rsidR="0076363A">
        <w:t xml:space="preserve"> and LNG export quantities</w:t>
      </w:r>
      <w:bookmarkEnd w:id="106"/>
    </w:p>
    <w:tbl>
      <w:tblPr>
        <w:tblStyle w:val="ACCCTable11"/>
        <w:tblW w:w="5000" w:type="pct"/>
        <w:tblLayout w:type="fixed"/>
        <w:tblLook w:val="06A0" w:firstRow="1" w:lastRow="0" w:firstColumn="1" w:lastColumn="0" w:noHBand="1" w:noVBand="1"/>
      </w:tblPr>
      <w:tblGrid>
        <w:gridCol w:w="3827"/>
        <w:gridCol w:w="5528"/>
        <w:gridCol w:w="4604"/>
      </w:tblGrid>
      <w:tr w:rsidR="007201CF" w:rsidRPr="002F7121" w14:paraId="58DB5496"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371" w:type="pct"/>
            <w:tcBorders>
              <w:bottom w:val="single" w:sz="4" w:space="0" w:color="auto"/>
            </w:tcBorders>
            <w:shd w:val="clear" w:color="auto" w:fill="005595"/>
          </w:tcPr>
          <w:p w14:paraId="51012FC6" w14:textId="77777777" w:rsidR="007201CF" w:rsidRDefault="00440252" w:rsidP="00187103">
            <w:pPr>
              <w:spacing w:before="20"/>
              <w:rPr>
                <w:rFonts w:cs="Arial"/>
              </w:rPr>
            </w:pPr>
            <w:r>
              <w:rPr>
                <w:rFonts w:cs="Arial"/>
              </w:rPr>
              <w:t>Endorsed</w:t>
            </w:r>
            <w:r w:rsidR="00F53836">
              <w:rPr>
                <w:rFonts w:cs="Arial"/>
              </w:rPr>
              <w:t xml:space="preserve"> measure</w:t>
            </w:r>
          </w:p>
        </w:tc>
        <w:tc>
          <w:tcPr>
            <w:tcW w:w="1980" w:type="pct"/>
            <w:tcBorders>
              <w:bottom w:val="single" w:sz="4" w:space="0" w:color="auto"/>
            </w:tcBorders>
            <w:shd w:val="clear" w:color="auto" w:fill="005595"/>
            <w:hideMark/>
          </w:tcPr>
          <w:p w14:paraId="3592A3B6" w14:textId="77777777" w:rsidR="007201CF" w:rsidRPr="002F7121" w:rsidRDefault="007201CF" w:rsidP="00187103">
            <w:pPr>
              <w:spacing w:before="20"/>
              <w:rPr>
                <w:rFonts w:cs="Arial"/>
              </w:rPr>
            </w:pPr>
            <w:r>
              <w:rPr>
                <w:rFonts w:cs="Arial"/>
              </w:rPr>
              <w:t>Proposed approach to implementation</w:t>
            </w:r>
          </w:p>
        </w:tc>
        <w:tc>
          <w:tcPr>
            <w:tcW w:w="1649" w:type="pct"/>
            <w:tcBorders>
              <w:bottom w:val="single" w:sz="4" w:space="0" w:color="auto"/>
            </w:tcBorders>
            <w:shd w:val="clear" w:color="auto" w:fill="005595"/>
            <w:hideMark/>
          </w:tcPr>
          <w:p w14:paraId="559F3C5B" w14:textId="77777777" w:rsidR="007201CF" w:rsidRPr="002F7121" w:rsidRDefault="0014087B" w:rsidP="00187103">
            <w:pPr>
              <w:spacing w:before="20"/>
              <w:rPr>
                <w:rFonts w:cs="Arial"/>
              </w:rPr>
            </w:pPr>
            <w:r>
              <w:rPr>
                <w:rFonts w:cs="Arial"/>
              </w:rPr>
              <w:t>Proposed amendments</w:t>
            </w:r>
            <w:r w:rsidR="007201CF">
              <w:rPr>
                <w:rFonts w:cs="Arial"/>
              </w:rPr>
              <w:t xml:space="preserve"> in </w:t>
            </w:r>
            <w:r w:rsidR="007201CF" w:rsidRPr="002F7121">
              <w:rPr>
                <w:rFonts w:cs="Arial"/>
              </w:rPr>
              <w:t>Part 18</w:t>
            </w:r>
          </w:p>
        </w:tc>
      </w:tr>
      <w:tr w:rsidR="007C110B" w:rsidRPr="00977003" w14:paraId="4996363E" w14:textId="77777777" w:rsidTr="007C110B">
        <w:trPr>
          <w:cantSplit/>
        </w:trPr>
        <w:tc>
          <w:tcPr>
            <w:tcW w:w="1371" w:type="pct"/>
            <w:vMerge w:val="restart"/>
          </w:tcPr>
          <w:p w14:paraId="7148DD0D" w14:textId="77777777" w:rsidR="007C110B" w:rsidRPr="007201CF" w:rsidRDefault="007C110B" w:rsidP="007201CF">
            <w:pPr>
              <w:pStyle w:val="TableBodyText"/>
            </w:pPr>
            <w:r w:rsidRPr="007201CF">
              <w:t>LNG exporters to report:</w:t>
            </w:r>
          </w:p>
          <w:p w14:paraId="13551E68" w14:textId="77777777" w:rsidR="007C110B" w:rsidRPr="007201CF" w:rsidRDefault="007C110B" w:rsidP="007201CF">
            <w:pPr>
              <w:pStyle w:val="Newtablebullet"/>
            </w:pPr>
            <w:r w:rsidRPr="007201CF">
              <w:t>the nameplate capacity of the connection point to their LNG export facility and the nameplate capacity of the LNG export facility;</w:t>
            </w:r>
          </w:p>
          <w:p w14:paraId="437C37CD" w14:textId="77777777" w:rsidR="007C110B" w:rsidRPr="007201CF" w:rsidRDefault="007C110B" w:rsidP="007201CF">
            <w:pPr>
              <w:pStyle w:val="Newtablebullet"/>
            </w:pPr>
            <w:r w:rsidRPr="007201CF">
              <w:t>detailed facility information (i.e. the name of the pipeline and delivery points to which their facility is connected);</w:t>
            </w:r>
          </w:p>
          <w:p w14:paraId="0F7579E9" w14:textId="77777777" w:rsidR="007C110B" w:rsidRPr="007201CF" w:rsidRDefault="007C110B" w:rsidP="007201CF">
            <w:pPr>
              <w:pStyle w:val="Newtablebullet"/>
            </w:pPr>
            <w:r w:rsidRPr="007201CF">
              <w:t xml:space="preserve">the short and medium term capacity outlook for the LNG export facility; </w:t>
            </w:r>
            <w:r w:rsidR="0076363A">
              <w:t>and</w:t>
            </w:r>
          </w:p>
          <w:p w14:paraId="28D2893B" w14:textId="77777777" w:rsidR="007C110B" w:rsidRPr="007201CF" w:rsidRDefault="007C110B" w:rsidP="007201CF">
            <w:pPr>
              <w:pStyle w:val="Newtablebullet"/>
            </w:pPr>
            <w:proofErr w:type="gramStart"/>
            <w:r w:rsidRPr="007201CF">
              <w:t>daily</w:t>
            </w:r>
            <w:proofErr w:type="gramEnd"/>
            <w:r w:rsidRPr="007201CF">
              <w:t xml:space="preserve"> gas consump</w:t>
            </w:r>
            <w:r w:rsidR="0076363A">
              <w:t>tion by the LNG export facility.</w:t>
            </w:r>
          </w:p>
          <w:p w14:paraId="2FE76F02" w14:textId="77777777" w:rsidR="007C110B" w:rsidRDefault="007C110B" w:rsidP="007201CF">
            <w:pPr>
              <w:pStyle w:val="TableBodyText"/>
            </w:pPr>
            <w:r w:rsidRPr="007201CF">
              <w:t>NT facilities that have an exemption under rule 143A would be exempt from this requirement.</w:t>
            </w:r>
          </w:p>
          <w:p w14:paraId="5C9A59A5" w14:textId="77777777" w:rsidR="007C110B" w:rsidRDefault="007C110B" w:rsidP="007201CF">
            <w:pPr>
              <w:pStyle w:val="TableBodyText"/>
            </w:pPr>
            <w:r w:rsidRPr="009156A0">
              <w:t>If the LNG export facility is the only one being supplied at the pipeline delivery point, and the information is already reported to AEMO by the relevant pipeline operator, then the LNG facility would be able to get an exemption from reporting this information.</w:t>
            </w:r>
          </w:p>
          <w:p w14:paraId="286DF871" w14:textId="77777777" w:rsidR="007C110B" w:rsidRDefault="007C110B" w:rsidP="007201CF">
            <w:pPr>
              <w:pStyle w:val="TableBodyText"/>
            </w:pPr>
            <w:r>
              <w:t>The information would be published on the BB.</w:t>
            </w:r>
          </w:p>
        </w:tc>
        <w:tc>
          <w:tcPr>
            <w:tcW w:w="1980" w:type="pct"/>
          </w:tcPr>
          <w:p w14:paraId="1DE0D74D" w14:textId="77777777" w:rsidR="0076363A" w:rsidRDefault="00F53836" w:rsidP="004E1DF0">
            <w:pPr>
              <w:pStyle w:val="TableBodyText"/>
            </w:pPr>
            <w:r>
              <w:t xml:space="preserve">Bring LNG export </w:t>
            </w:r>
            <w:r w:rsidR="007C110B">
              <w:t>facilities within the scope of Part 18</w:t>
            </w:r>
            <w:r w:rsidR="0076363A">
              <w:t>.</w:t>
            </w:r>
            <w:r w:rsidR="00194146">
              <w:t xml:space="preserve"> </w:t>
            </w:r>
          </w:p>
          <w:p w14:paraId="55B06D0D" w14:textId="77777777" w:rsidR="007C110B" w:rsidRPr="00977003" w:rsidRDefault="0076363A" w:rsidP="0076363A">
            <w:pPr>
              <w:pStyle w:val="TableBodyText"/>
            </w:pPr>
            <w:r>
              <w:t xml:space="preserve">Provide for </w:t>
            </w:r>
            <w:r w:rsidR="007C110B">
              <w:t xml:space="preserve">storage included in such a facility </w:t>
            </w:r>
            <w:r>
              <w:t xml:space="preserve">to be treated as part of the LNG export facility and not as a </w:t>
            </w:r>
            <w:r w:rsidR="007C110B">
              <w:t>gas storage facility.</w:t>
            </w:r>
          </w:p>
        </w:tc>
        <w:tc>
          <w:tcPr>
            <w:tcW w:w="1649" w:type="pct"/>
          </w:tcPr>
          <w:p w14:paraId="6C5481E2" w14:textId="77777777" w:rsidR="007C110B" w:rsidRDefault="007C110B" w:rsidP="004E1DF0">
            <w:pPr>
              <w:pStyle w:val="TableBodyText"/>
            </w:pPr>
            <w:r>
              <w:t xml:space="preserve">Add </w:t>
            </w:r>
            <w:r w:rsidR="00AF235B">
              <w:t xml:space="preserve">a </w:t>
            </w:r>
            <w:r>
              <w:t>new definition of ‘LNG export facility’ and</w:t>
            </w:r>
            <w:r w:rsidR="0076363A">
              <w:t xml:space="preserve"> p</w:t>
            </w:r>
            <w:r>
              <w:t xml:space="preserve">rovide that </w:t>
            </w:r>
            <w:r w:rsidR="0076363A">
              <w:t xml:space="preserve">it is a type of </w:t>
            </w:r>
            <w:r>
              <w:t>‘LNG processing facility’.</w:t>
            </w:r>
          </w:p>
          <w:p w14:paraId="0107A61A" w14:textId="77777777" w:rsidR="007C110B" w:rsidRDefault="007C110B" w:rsidP="004E1DF0">
            <w:pPr>
              <w:pStyle w:val="TableBodyText"/>
            </w:pPr>
            <w:r>
              <w:t>Provide for an LNG processing facility to be a type of ‘BB facility’.</w:t>
            </w:r>
          </w:p>
          <w:p w14:paraId="1D7BF59C" w14:textId="77777777" w:rsidR="007C110B" w:rsidRDefault="007C110B" w:rsidP="004E1DF0">
            <w:pPr>
              <w:pStyle w:val="TableBodyText"/>
            </w:pPr>
            <w:r>
              <w:t xml:space="preserve">Add </w:t>
            </w:r>
            <w:r w:rsidR="0076363A">
              <w:t>a new</w:t>
            </w:r>
            <w:r>
              <w:t xml:space="preserve"> definition</w:t>
            </w:r>
            <w:r w:rsidR="0076363A">
              <w:t xml:space="preserve"> of </w:t>
            </w:r>
            <w:r>
              <w:t>‘liquefied natural gas’.</w:t>
            </w:r>
          </w:p>
          <w:p w14:paraId="378A240F" w14:textId="77777777" w:rsidR="007C110B" w:rsidRPr="00977003" w:rsidRDefault="007C110B" w:rsidP="007B3710">
            <w:pPr>
              <w:pStyle w:val="TableBodyText"/>
            </w:pPr>
            <w:r>
              <w:t xml:space="preserve">Amend the definition of ‘gas storage facility’ to </w:t>
            </w:r>
            <w:r w:rsidR="0076363A">
              <w:t>exclude</w:t>
            </w:r>
            <w:r>
              <w:t xml:space="preserve"> storage facilities within an LNG processing facility.</w:t>
            </w:r>
          </w:p>
        </w:tc>
      </w:tr>
      <w:tr w:rsidR="007C110B" w:rsidRPr="00977003" w14:paraId="6552CB6A" w14:textId="77777777" w:rsidTr="007C110B">
        <w:trPr>
          <w:cantSplit/>
        </w:trPr>
        <w:tc>
          <w:tcPr>
            <w:tcW w:w="1371" w:type="pct"/>
            <w:vMerge/>
          </w:tcPr>
          <w:p w14:paraId="22ABC224" w14:textId="77777777" w:rsidR="007C110B" w:rsidRDefault="007C110B" w:rsidP="004E1DF0">
            <w:pPr>
              <w:pStyle w:val="TableBodyText"/>
            </w:pPr>
          </w:p>
        </w:tc>
        <w:tc>
          <w:tcPr>
            <w:tcW w:w="1980" w:type="pct"/>
          </w:tcPr>
          <w:p w14:paraId="32439BD9" w14:textId="77777777" w:rsidR="007C110B" w:rsidRDefault="007C110B" w:rsidP="004E1DF0">
            <w:pPr>
              <w:pStyle w:val="TableBodyText"/>
            </w:pPr>
            <w:r>
              <w:t>Require the service provider for an LNG processing facility to r</w:t>
            </w:r>
            <w:r w:rsidR="00FD2C41">
              <w:t>egister with AEMO under Part 18 as the BB reporting entity for the facility.</w:t>
            </w:r>
          </w:p>
          <w:p w14:paraId="66BE9338" w14:textId="77777777" w:rsidR="00194146" w:rsidRDefault="00194146" w:rsidP="00194146">
            <w:pPr>
              <w:pStyle w:val="TableBodyText"/>
            </w:pPr>
            <w:r>
              <w:t>An LNG export facility and its operator that are exempt from Part 18 under rule 143A would be exempt from the obligation to register.</w:t>
            </w:r>
          </w:p>
        </w:tc>
        <w:tc>
          <w:tcPr>
            <w:tcW w:w="1649" w:type="pct"/>
          </w:tcPr>
          <w:p w14:paraId="3822BECF" w14:textId="77777777" w:rsidR="007C110B" w:rsidRDefault="007C110B" w:rsidP="004E1DF0">
            <w:pPr>
              <w:pStyle w:val="TableBodyText"/>
            </w:pPr>
            <w:r>
              <w:t>Include the LNG service provider for an LNG processing facility as a ‘facility operator’ in the definition in rule 141(1).</w:t>
            </w:r>
          </w:p>
          <w:p w14:paraId="27FEE185" w14:textId="77777777" w:rsidR="00AF235B" w:rsidRDefault="00AF235B" w:rsidP="004E1DF0">
            <w:pPr>
              <w:pStyle w:val="TableBodyText"/>
            </w:pPr>
            <w:r>
              <w:t>Rule 150 in new Subdivision 3.1 will require registration by all facility operators.</w:t>
            </w:r>
          </w:p>
          <w:p w14:paraId="781E6861" w14:textId="77777777" w:rsidR="00AF235B" w:rsidRDefault="00FD2C41" w:rsidP="00AF235B">
            <w:pPr>
              <w:pStyle w:val="TableBodyText"/>
            </w:pPr>
            <w:r>
              <w:t>Paragraph (a) of the definition of BB reporting entity covers all registered facility operators.</w:t>
            </w:r>
          </w:p>
          <w:p w14:paraId="419752DD" w14:textId="77777777" w:rsidR="00194146" w:rsidRDefault="00194146" w:rsidP="00AF235B">
            <w:pPr>
              <w:pStyle w:val="TableBodyText"/>
            </w:pPr>
            <w:r>
              <w:t>No change to rule 143A is required to extend the exemption to LNG export facilities that meet the exemption criteria.</w:t>
            </w:r>
          </w:p>
        </w:tc>
      </w:tr>
      <w:tr w:rsidR="00FD2C41" w:rsidRPr="00977003" w14:paraId="474F1086" w14:textId="77777777" w:rsidTr="007C110B">
        <w:trPr>
          <w:cantSplit/>
        </w:trPr>
        <w:tc>
          <w:tcPr>
            <w:tcW w:w="1371" w:type="pct"/>
            <w:vMerge/>
          </w:tcPr>
          <w:p w14:paraId="34528743" w14:textId="77777777" w:rsidR="00FD2C41" w:rsidRDefault="00FD2C41" w:rsidP="004E1DF0">
            <w:pPr>
              <w:pStyle w:val="TableBodyText"/>
            </w:pPr>
          </w:p>
        </w:tc>
        <w:tc>
          <w:tcPr>
            <w:tcW w:w="1980" w:type="pct"/>
          </w:tcPr>
          <w:p w14:paraId="5D1BE271" w14:textId="77777777" w:rsidR="00FD2C41" w:rsidRDefault="00FD2C41" w:rsidP="004E1DF0">
            <w:pPr>
              <w:pStyle w:val="TableBodyText"/>
            </w:pPr>
            <w:r>
              <w:t>Provide for the daily capacity and nameplate rating of an LNG export facility to be defined by reference to:</w:t>
            </w:r>
          </w:p>
          <w:p w14:paraId="11CADF5F" w14:textId="77777777" w:rsidR="00FD2C41" w:rsidRDefault="00FD2C41" w:rsidP="00FD2C41">
            <w:pPr>
              <w:pStyle w:val="Newtablebullet"/>
            </w:pPr>
            <w:r>
              <w:t>the quantity of natural gas that connections to the facility are capable of allowing to be delivered to the facility from a pipeline on a gas day; and</w:t>
            </w:r>
          </w:p>
          <w:p w14:paraId="2EE7FC94" w14:textId="77777777" w:rsidR="00FD2C41" w:rsidRDefault="00FD2C41" w:rsidP="00FD2C41">
            <w:pPr>
              <w:pStyle w:val="Newtablebullet"/>
            </w:pPr>
            <w:proofErr w:type="gramStart"/>
            <w:r>
              <w:t>the</w:t>
            </w:r>
            <w:proofErr w:type="gramEnd"/>
            <w:r>
              <w:t xml:space="preserve"> quantity of natural gas that the facility is capable of processing to a l</w:t>
            </w:r>
            <w:r w:rsidR="00194146">
              <w:t>iquefied state on a gas day.</w:t>
            </w:r>
          </w:p>
        </w:tc>
        <w:tc>
          <w:tcPr>
            <w:tcW w:w="1649" w:type="pct"/>
          </w:tcPr>
          <w:p w14:paraId="14D19508" w14:textId="77777777" w:rsidR="00FD2C41" w:rsidRDefault="00FD2C41" w:rsidP="004E1DF0">
            <w:pPr>
              <w:pStyle w:val="TableBodyText"/>
            </w:pPr>
            <w:r>
              <w:t>Amendments to the definition of ‘daily capacity’ in rule 141(1) and ‘nameplate rating’ in rule 141(2</w:t>
            </w:r>
            <w:proofErr w:type="gramStart"/>
            <w:r>
              <w:t>)(</w:t>
            </w:r>
            <w:proofErr w:type="gramEnd"/>
            <w:r>
              <w:t>a).</w:t>
            </w:r>
          </w:p>
        </w:tc>
      </w:tr>
      <w:tr w:rsidR="007C110B" w:rsidRPr="00977003" w14:paraId="0A942DEB" w14:textId="77777777" w:rsidTr="007C110B">
        <w:trPr>
          <w:cantSplit/>
        </w:trPr>
        <w:tc>
          <w:tcPr>
            <w:tcW w:w="1371" w:type="pct"/>
            <w:vMerge/>
          </w:tcPr>
          <w:p w14:paraId="3F39BC7F" w14:textId="77777777" w:rsidR="007C110B" w:rsidRDefault="007C110B" w:rsidP="004E1DF0">
            <w:pPr>
              <w:pStyle w:val="TableBodyText"/>
            </w:pPr>
          </w:p>
        </w:tc>
        <w:tc>
          <w:tcPr>
            <w:tcW w:w="1980" w:type="pct"/>
          </w:tcPr>
          <w:p w14:paraId="2501297B" w14:textId="77777777" w:rsidR="00FD2C41" w:rsidRDefault="00FD2C41" w:rsidP="00FD2C41">
            <w:pPr>
              <w:pStyle w:val="TableBodyText"/>
            </w:pPr>
            <w:r>
              <w:t>Provide for operational information about LNG export facilities to be provided as follows:</w:t>
            </w:r>
          </w:p>
          <w:p w14:paraId="38A12941" w14:textId="77777777" w:rsidR="00FD2C41" w:rsidRDefault="00FD2C41" w:rsidP="00FD2C41">
            <w:pPr>
              <w:pStyle w:val="Newtablebullet"/>
            </w:pPr>
            <w:r>
              <w:t>nameplate rating information</w:t>
            </w:r>
            <w:r w:rsidR="005554E5">
              <w:t>;</w:t>
            </w:r>
          </w:p>
          <w:p w14:paraId="19B866BA" w14:textId="77777777" w:rsidR="00FD2C41" w:rsidRDefault="00FD2C41" w:rsidP="00FD2C41">
            <w:pPr>
              <w:pStyle w:val="Newtablebullet"/>
            </w:pPr>
            <w:r>
              <w:t>detailed facility information</w:t>
            </w:r>
            <w:r w:rsidR="005554E5">
              <w:t>;</w:t>
            </w:r>
          </w:p>
          <w:p w14:paraId="5249A551" w14:textId="77777777" w:rsidR="00FD2C41" w:rsidRDefault="00FD2C41" w:rsidP="00FD2C41">
            <w:pPr>
              <w:pStyle w:val="Newtablebullet"/>
            </w:pPr>
            <w:r>
              <w:t>short and medium capacity outlooks</w:t>
            </w:r>
            <w:r w:rsidR="005554E5">
              <w:t>; and</w:t>
            </w:r>
          </w:p>
          <w:p w14:paraId="6E57F3A8" w14:textId="77777777" w:rsidR="007C110B" w:rsidRDefault="00FD2C41" w:rsidP="005554E5">
            <w:pPr>
              <w:pStyle w:val="Newtablebullet"/>
            </w:pPr>
            <w:proofErr w:type="gramStart"/>
            <w:r>
              <w:t>daily</w:t>
            </w:r>
            <w:proofErr w:type="gramEnd"/>
            <w:r>
              <w:t xml:space="preserve"> </w:t>
            </w:r>
            <w:r w:rsidR="005554E5">
              <w:t xml:space="preserve">consumption </w:t>
            </w:r>
            <w:r>
              <w:t xml:space="preserve">data, covering </w:t>
            </w:r>
            <w:r w:rsidR="005554E5">
              <w:t xml:space="preserve">both </w:t>
            </w:r>
            <w:r>
              <w:t xml:space="preserve">elements in the definition of ‘nameplate rating’ for an LNG </w:t>
            </w:r>
            <w:r w:rsidR="005554E5">
              <w:t xml:space="preserve">export </w:t>
            </w:r>
            <w:r>
              <w:t>facility.</w:t>
            </w:r>
          </w:p>
        </w:tc>
        <w:tc>
          <w:tcPr>
            <w:tcW w:w="1649" w:type="pct"/>
          </w:tcPr>
          <w:p w14:paraId="3F2B6F10" w14:textId="77777777" w:rsidR="00FD2C41" w:rsidRDefault="007C110B" w:rsidP="004E1DF0">
            <w:pPr>
              <w:pStyle w:val="TableBodyText"/>
            </w:pPr>
            <w:r>
              <w:t xml:space="preserve">Nameplate rating information: </w:t>
            </w:r>
            <w:r w:rsidR="00FD2C41">
              <w:t>Covered under rule 168.</w:t>
            </w:r>
          </w:p>
          <w:p w14:paraId="00509C8C" w14:textId="77777777" w:rsidR="007C110B" w:rsidRDefault="007C110B" w:rsidP="004E1DF0">
            <w:pPr>
              <w:pStyle w:val="TableBodyText"/>
            </w:pPr>
            <w:r>
              <w:t>Detailed facility information: Include LNG processing facilities in rule 169(4</w:t>
            </w:r>
            <w:proofErr w:type="gramStart"/>
            <w:r>
              <w:t>)(</w:t>
            </w:r>
            <w:proofErr w:type="gramEnd"/>
            <w:r>
              <w:t>b).</w:t>
            </w:r>
          </w:p>
          <w:p w14:paraId="2F925145" w14:textId="77777777" w:rsidR="007C110B" w:rsidRDefault="007C110B" w:rsidP="004E1DF0">
            <w:pPr>
              <w:pStyle w:val="TableBodyText"/>
            </w:pPr>
            <w:r>
              <w:t xml:space="preserve">Short term capacity outlook and material intra-day changes in capacity:  No change required to rule 178 to cover LNG </w:t>
            </w:r>
            <w:r w:rsidR="00FD2C41">
              <w:t>export</w:t>
            </w:r>
            <w:r>
              <w:t xml:space="preserve"> facilities.</w:t>
            </w:r>
          </w:p>
          <w:p w14:paraId="1B449691" w14:textId="77777777" w:rsidR="007C110B" w:rsidRDefault="007C110B" w:rsidP="004E1DF0">
            <w:pPr>
              <w:pStyle w:val="TableBodyText"/>
            </w:pPr>
            <w:r>
              <w:t xml:space="preserve">Medium term capacity outlook:  No change required to rule 181 to cover LNG </w:t>
            </w:r>
            <w:r w:rsidR="005554E5">
              <w:t>export</w:t>
            </w:r>
            <w:r>
              <w:t xml:space="preserve"> facilities</w:t>
            </w:r>
            <w:r w:rsidR="008411CF">
              <w:t xml:space="preserve"> other than allowing the time for submission to be specified in the BB Procedures where facilities do not provide updates to shippers</w:t>
            </w:r>
            <w:r>
              <w:t>.</w:t>
            </w:r>
          </w:p>
          <w:p w14:paraId="3150FA04" w14:textId="74359BD2" w:rsidR="007C110B" w:rsidRDefault="007C110B" w:rsidP="00EA22EB">
            <w:pPr>
              <w:pStyle w:val="TableBodyText"/>
            </w:pPr>
            <w:r>
              <w:t xml:space="preserve">Daily consumption data: Include a new rule </w:t>
            </w:r>
            <w:r w:rsidR="00EA22EB">
              <w:t>189A</w:t>
            </w:r>
            <w:r>
              <w:t xml:space="preserve"> and provide for LNG export facilities in the new definition of ‘daily consumption data’.</w:t>
            </w:r>
          </w:p>
        </w:tc>
      </w:tr>
      <w:tr w:rsidR="007C110B" w:rsidRPr="00977003" w14:paraId="61220E85" w14:textId="77777777" w:rsidTr="007C110B">
        <w:trPr>
          <w:cantSplit/>
        </w:trPr>
        <w:tc>
          <w:tcPr>
            <w:tcW w:w="1371" w:type="pct"/>
            <w:vMerge/>
          </w:tcPr>
          <w:p w14:paraId="71B24844" w14:textId="77777777" w:rsidR="007C110B" w:rsidRDefault="007C110B" w:rsidP="004E1DF0">
            <w:pPr>
              <w:pStyle w:val="TableBodyText"/>
            </w:pPr>
          </w:p>
        </w:tc>
        <w:tc>
          <w:tcPr>
            <w:tcW w:w="1980" w:type="pct"/>
          </w:tcPr>
          <w:p w14:paraId="5F8B45DF" w14:textId="77777777" w:rsidR="007C110B" w:rsidRDefault="007C110B" w:rsidP="005554E5">
            <w:pPr>
              <w:pStyle w:val="TableBodyText"/>
            </w:pPr>
            <w:r>
              <w:t>Provide for AEMO to exempt an LNG processing facility from the obligation to provide daily consumption data, where (in summary), the LNG processing facility is the only recipient of gas withdrawn at delivery points for the facility.</w:t>
            </w:r>
          </w:p>
        </w:tc>
        <w:tc>
          <w:tcPr>
            <w:tcW w:w="1649" w:type="pct"/>
          </w:tcPr>
          <w:p w14:paraId="7D046EE0" w14:textId="2821B5F3" w:rsidR="005554E5" w:rsidRDefault="007C110B" w:rsidP="004E1DF0">
            <w:pPr>
              <w:pStyle w:val="TableBodyText"/>
            </w:pPr>
            <w:r>
              <w:t>Rule 190.</w:t>
            </w:r>
          </w:p>
          <w:p w14:paraId="2E1E72AC" w14:textId="77777777" w:rsidR="007C110B" w:rsidRDefault="005554E5" w:rsidP="004E1DF0">
            <w:pPr>
              <w:pStyle w:val="TableBodyText"/>
            </w:pPr>
            <w:r>
              <w:t>Details of the exemption application process are to be included in the BB Procedures.</w:t>
            </w:r>
          </w:p>
        </w:tc>
      </w:tr>
      <w:tr w:rsidR="009156A0" w:rsidRPr="00977003" w14:paraId="39794E47" w14:textId="77777777" w:rsidTr="007C110B">
        <w:trPr>
          <w:cantSplit/>
        </w:trPr>
        <w:tc>
          <w:tcPr>
            <w:tcW w:w="1371" w:type="pct"/>
            <w:vMerge w:val="restart"/>
          </w:tcPr>
          <w:p w14:paraId="7293DC94" w14:textId="77777777" w:rsidR="009156A0" w:rsidRPr="007201CF" w:rsidRDefault="009156A0" w:rsidP="009156A0">
            <w:pPr>
              <w:pStyle w:val="TableBodyText"/>
            </w:pPr>
            <w:r w:rsidRPr="007201CF">
              <w:t xml:space="preserve">LNG </w:t>
            </w:r>
            <w:r>
              <w:t xml:space="preserve">exporters to report </w:t>
            </w:r>
            <w:r w:rsidRPr="007201CF">
              <w:t>the volume of LNG exported in each shipment (within 20 business days after the end of the month in which the shipment occurs).</w:t>
            </w:r>
          </w:p>
          <w:p w14:paraId="2D8218EC" w14:textId="77777777" w:rsidR="009156A0" w:rsidRDefault="009156A0" w:rsidP="009156A0">
            <w:pPr>
              <w:pStyle w:val="TableBodyText"/>
            </w:pPr>
            <w:r w:rsidRPr="007201CF">
              <w:t>NT facilities that have an exemption under rule 143A would be exempt from this requirement.</w:t>
            </w:r>
          </w:p>
          <w:p w14:paraId="7302D2A6" w14:textId="77777777" w:rsidR="009156A0" w:rsidRDefault="009156A0" w:rsidP="009156A0">
            <w:pPr>
              <w:pStyle w:val="TableBodyText"/>
            </w:pPr>
            <w:r>
              <w:t>The information would be published on the BB.</w:t>
            </w:r>
          </w:p>
          <w:p w14:paraId="4E581DFE" w14:textId="77777777" w:rsidR="00085E8F" w:rsidRDefault="00085E8F" w:rsidP="009156A0">
            <w:pPr>
              <w:pStyle w:val="TableBodyText"/>
            </w:pPr>
            <w:r w:rsidRPr="00DC205A">
              <w:rPr>
                <w:i/>
              </w:rPr>
              <w:t>Refer to section </w:t>
            </w:r>
            <w:r w:rsidR="006559A0">
              <w:rPr>
                <w:i/>
              </w:rPr>
              <w:t>7.2.1</w:t>
            </w:r>
            <w:r w:rsidRPr="00DC205A">
              <w:rPr>
                <w:i/>
              </w:rPr>
              <w:t xml:space="preserve"> </w:t>
            </w:r>
            <w:r w:rsidR="008A6CF2">
              <w:rPr>
                <w:i/>
              </w:rPr>
              <w:t xml:space="preserve">of this consultation paper </w:t>
            </w:r>
            <w:r w:rsidRPr="00DC205A">
              <w:rPr>
                <w:i/>
              </w:rPr>
              <w:t>for policy clarification.</w:t>
            </w:r>
          </w:p>
        </w:tc>
        <w:tc>
          <w:tcPr>
            <w:tcW w:w="1980" w:type="pct"/>
          </w:tcPr>
          <w:p w14:paraId="2583847F" w14:textId="77777777" w:rsidR="009156A0" w:rsidRDefault="009156A0" w:rsidP="005554E5">
            <w:pPr>
              <w:pStyle w:val="TableBodyText"/>
            </w:pPr>
            <w:r>
              <w:t xml:space="preserve">Define the categories of information that must be provided for LNG </w:t>
            </w:r>
            <w:r w:rsidR="005554E5">
              <w:t>export</w:t>
            </w:r>
            <w:r>
              <w:t xml:space="preserve"> shipments. </w:t>
            </w:r>
          </w:p>
        </w:tc>
        <w:tc>
          <w:tcPr>
            <w:tcW w:w="1649" w:type="pct"/>
          </w:tcPr>
          <w:p w14:paraId="417ED334" w14:textId="77777777" w:rsidR="009156A0" w:rsidRDefault="009156A0" w:rsidP="009156A0">
            <w:pPr>
              <w:pStyle w:val="TableBodyText"/>
            </w:pPr>
            <w:r>
              <w:t>P</w:t>
            </w:r>
            <w:r w:rsidR="005554E5">
              <w:t>aragraph (a</w:t>
            </w:r>
            <w:r>
              <w:t>) of the new definition of ‘LNG shipment data’.</w:t>
            </w:r>
          </w:p>
        </w:tc>
      </w:tr>
      <w:tr w:rsidR="009156A0" w:rsidRPr="00977003" w14:paraId="1812D9C9" w14:textId="77777777" w:rsidTr="007C110B">
        <w:trPr>
          <w:cantSplit/>
        </w:trPr>
        <w:tc>
          <w:tcPr>
            <w:tcW w:w="1371" w:type="pct"/>
            <w:vMerge/>
          </w:tcPr>
          <w:p w14:paraId="7DBCD234" w14:textId="77777777" w:rsidR="009156A0" w:rsidRPr="007201CF" w:rsidRDefault="009156A0" w:rsidP="009156A0">
            <w:pPr>
              <w:pStyle w:val="TableBodyText"/>
            </w:pPr>
          </w:p>
        </w:tc>
        <w:tc>
          <w:tcPr>
            <w:tcW w:w="1980" w:type="pct"/>
          </w:tcPr>
          <w:p w14:paraId="4FD921FB" w14:textId="77777777" w:rsidR="009156A0" w:rsidRDefault="009156A0" w:rsidP="005554E5">
            <w:pPr>
              <w:pStyle w:val="TableBodyText"/>
            </w:pPr>
            <w:r>
              <w:t xml:space="preserve">Provide for the BB reporting entity for an LNG </w:t>
            </w:r>
            <w:r w:rsidR="005554E5">
              <w:t>export</w:t>
            </w:r>
            <w:r>
              <w:t xml:space="preserve"> facility to be responsible for providing the LNG </w:t>
            </w:r>
            <w:r w:rsidR="005554E5">
              <w:t>export</w:t>
            </w:r>
            <w:r>
              <w:t xml:space="preserve"> data to AEMO.</w:t>
            </w:r>
          </w:p>
        </w:tc>
        <w:tc>
          <w:tcPr>
            <w:tcW w:w="1649" w:type="pct"/>
          </w:tcPr>
          <w:p w14:paraId="57F97538" w14:textId="77777777" w:rsidR="009156A0" w:rsidRDefault="009156A0" w:rsidP="009156A0">
            <w:pPr>
              <w:pStyle w:val="TableBodyText"/>
            </w:pPr>
            <w:r>
              <w:t>R</w:t>
            </w:r>
            <w:r w:rsidR="005554E5">
              <w:t xml:space="preserve">ule </w:t>
            </w:r>
            <w:proofErr w:type="gramStart"/>
            <w:r w:rsidR="005554E5">
              <w:t>188A(</w:t>
            </w:r>
            <w:proofErr w:type="gramEnd"/>
            <w:r w:rsidR="005554E5">
              <w:t>1</w:t>
            </w:r>
            <w:r>
              <w:t>)</w:t>
            </w:r>
            <w:r w:rsidR="00825A18">
              <w:t>.</w:t>
            </w:r>
          </w:p>
        </w:tc>
      </w:tr>
      <w:tr w:rsidR="00085E8F" w:rsidRPr="00977003" w14:paraId="68F8F50F" w14:textId="77777777" w:rsidTr="007C110B">
        <w:trPr>
          <w:cantSplit/>
        </w:trPr>
        <w:tc>
          <w:tcPr>
            <w:tcW w:w="1371" w:type="pct"/>
            <w:vMerge/>
          </w:tcPr>
          <w:p w14:paraId="2639B1D6" w14:textId="77777777" w:rsidR="00085E8F" w:rsidRPr="007201CF" w:rsidRDefault="00085E8F" w:rsidP="009156A0">
            <w:pPr>
              <w:pStyle w:val="TableBodyText"/>
            </w:pPr>
          </w:p>
        </w:tc>
        <w:tc>
          <w:tcPr>
            <w:tcW w:w="1980" w:type="pct"/>
          </w:tcPr>
          <w:p w14:paraId="0E6832F7" w14:textId="77777777" w:rsidR="00085E8F" w:rsidRDefault="00085E8F" w:rsidP="00085E8F">
            <w:pPr>
              <w:pStyle w:val="TableBodyText"/>
            </w:pPr>
            <w:r>
              <w:t xml:space="preserve">Provide for the information to be reported to AEMO within 1 business days after the </w:t>
            </w:r>
            <w:r w:rsidRPr="005554E5">
              <w:t>LNG is loaded</w:t>
            </w:r>
            <w:r>
              <w:t>.</w:t>
            </w:r>
          </w:p>
        </w:tc>
        <w:tc>
          <w:tcPr>
            <w:tcW w:w="1649" w:type="pct"/>
          </w:tcPr>
          <w:p w14:paraId="4E77E780" w14:textId="77777777" w:rsidR="00085E8F" w:rsidRDefault="00085E8F" w:rsidP="009156A0">
            <w:pPr>
              <w:pStyle w:val="TableBodyText"/>
            </w:pPr>
            <w:r>
              <w:t xml:space="preserve">Rule </w:t>
            </w:r>
            <w:proofErr w:type="gramStart"/>
            <w:r>
              <w:t>188A(</w:t>
            </w:r>
            <w:proofErr w:type="gramEnd"/>
            <w:r>
              <w:t>1).</w:t>
            </w:r>
          </w:p>
        </w:tc>
      </w:tr>
      <w:tr w:rsidR="009156A0" w:rsidRPr="00977003" w14:paraId="544E5336" w14:textId="77777777" w:rsidTr="007C110B">
        <w:trPr>
          <w:cantSplit/>
        </w:trPr>
        <w:tc>
          <w:tcPr>
            <w:tcW w:w="1371" w:type="pct"/>
            <w:vMerge/>
          </w:tcPr>
          <w:p w14:paraId="31DE3F4E" w14:textId="77777777" w:rsidR="009156A0" w:rsidRPr="007201CF" w:rsidRDefault="009156A0" w:rsidP="009156A0">
            <w:pPr>
              <w:pStyle w:val="TableBodyText"/>
            </w:pPr>
          </w:p>
        </w:tc>
        <w:tc>
          <w:tcPr>
            <w:tcW w:w="1980" w:type="pct"/>
          </w:tcPr>
          <w:p w14:paraId="362F5AAB" w14:textId="77777777" w:rsidR="00194146" w:rsidRDefault="00085E8F" w:rsidP="00085E8F">
            <w:pPr>
              <w:pStyle w:val="TableBodyText"/>
            </w:pPr>
            <w:r>
              <w:t xml:space="preserve">Provide for AEMO to delay publication of the </w:t>
            </w:r>
            <w:r w:rsidR="009156A0">
              <w:t xml:space="preserve">information </w:t>
            </w:r>
            <w:r>
              <w:t xml:space="preserve">until </w:t>
            </w:r>
            <w:r w:rsidR="00194146">
              <w:t xml:space="preserve">20 business days after the </w:t>
            </w:r>
            <w:r w:rsidR="005554E5" w:rsidRPr="005554E5">
              <w:t>end of the month in which the LNG is loaded</w:t>
            </w:r>
            <w:r w:rsidR="009156A0">
              <w:t>.</w:t>
            </w:r>
            <w:r w:rsidR="00194146">
              <w:t xml:space="preserve"> </w:t>
            </w:r>
          </w:p>
        </w:tc>
        <w:tc>
          <w:tcPr>
            <w:tcW w:w="1649" w:type="pct"/>
          </w:tcPr>
          <w:p w14:paraId="51B628F6" w14:textId="77777777" w:rsidR="009156A0" w:rsidRDefault="009156A0" w:rsidP="00085E8F">
            <w:pPr>
              <w:pStyle w:val="TableBodyText"/>
            </w:pPr>
            <w:r>
              <w:t xml:space="preserve">Rule </w:t>
            </w:r>
            <w:r w:rsidR="00085E8F">
              <w:t>194(2(</w:t>
            </w:r>
            <w:proofErr w:type="gramStart"/>
            <w:r w:rsidR="00085E8F">
              <w:t>)(</w:t>
            </w:r>
            <w:proofErr w:type="gramEnd"/>
            <w:r w:rsidR="00085E8F">
              <w:t>d).</w:t>
            </w:r>
          </w:p>
        </w:tc>
      </w:tr>
    </w:tbl>
    <w:p w14:paraId="5BDB2365" w14:textId="77777777" w:rsidR="007B6D21" w:rsidRDefault="007B6D21" w:rsidP="007B6D21">
      <w:pPr>
        <w:pStyle w:val="Heading3"/>
      </w:pPr>
      <w:bookmarkStart w:id="107" w:name="_Ref42240610"/>
      <w:bookmarkStart w:id="108" w:name="_Ref42241030"/>
      <w:r>
        <w:lastRenderedPageBreak/>
        <w:t xml:space="preserve">Policy Clarification - Reporting times for LNG </w:t>
      </w:r>
      <w:bookmarkEnd w:id="107"/>
      <w:r>
        <w:t>shipment information</w:t>
      </w:r>
      <w:bookmarkEnd w:id="108"/>
    </w:p>
    <w:p w14:paraId="00E9BF4C" w14:textId="77777777" w:rsidR="007B6D21" w:rsidRDefault="007B6D21" w:rsidP="000365B9">
      <w:pPr>
        <w:keepNext/>
        <w:rPr>
          <w:rFonts w:eastAsiaTheme="minorHAnsi"/>
        </w:rPr>
      </w:pPr>
      <w:r>
        <w:t xml:space="preserve">The policy position as set out in the DRIS stated that the LNG shipment information would be reported 20 business days after the end of the month in which the shipment occurs. </w:t>
      </w:r>
    </w:p>
    <w:p w14:paraId="225C85C7" w14:textId="77777777" w:rsidR="007B6D21" w:rsidRDefault="007B6D21" w:rsidP="007B6D21">
      <w:r>
        <w:t xml:space="preserve">To reduce the risk that LNG producers will forget to provide the information to AEMO, the policy has been clarified to require: </w:t>
      </w:r>
    </w:p>
    <w:p w14:paraId="5284DB7D" w14:textId="77777777" w:rsidR="007B6D21" w:rsidRDefault="007B6D21" w:rsidP="007B6D21">
      <w:pPr>
        <w:pStyle w:val="ListBullet"/>
      </w:pPr>
      <w:r>
        <w:t xml:space="preserve">LNG exporters to report the LNG shipments to AEMO within 1 business day of the </w:t>
      </w:r>
      <w:r w:rsidR="00E54CFE">
        <w:t xml:space="preserve">LNG </w:t>
      </w:r>
      <w:r>
        <w:t xml:space="preserve">being loaded, which is consistent with the time that </w:t>
      </w:r>
      <w:r w:rsidR="00E54CFE">
        <w:t xml:space="preserve">LNG importers </w:t>
      </w:r>
      <w:r>
        <w:t xml:space="preserve">have to report </w:t>
      </w:r>
      <w:r w:rsidR="00E54CFE">
        <w:t xml:space="preserve">LNG imports </w:t>
      </w:r>
      <w:r>
        <w:t>to AEMO; and</w:t>
      </w:r>
    </w:p>
    <w:p w14:paraId="4DE53897" w14:textId="77777777" w:rsidR="007B6D21" w:rsidRDefault="007B6D21" w:rsidP="007B6D21">
      <w:pPr>
        <w:pStyle w:val="ListBullet"/>
      </w:pPr>
      <w:r>
        <w:t xml:space="preserve">AEMO will be required to publish the information no earlier than 20 business days after the </w:t>
      </w:r>
      <w:r w:rsidR="00E54CFE">
        <w:t>end of the month in which the LNG is loaded</w:t>
      </w:r>
      <w:r>
        <w:t xml:space="preserve">. </w:t>
      </w:r>
    </w:p>
    <w:p w14:paraId="6DB8E9D8" w14:textId="77777777" w:rsidR="007B6D21" w:rsidRPr="007D1E71" w:rsidRDefault="007B6D21" w:rsidP="007B6D21">
      <w:r>
        <w:t xml:space="preserve">If you would like to provide feedback on this issue, please do so in the response template in </w:t>
      </w:r>
      <w:r w:rsidRPr="000B4A0B">
        <w:rPr>
          <w:b/>
          <w:bCs/>
        </w:rPr>
        <w:t>Attachment B</w:t>
      </w:r>
      <w:r w:rsidRPr="000B4A0B">
        <w:t>.</w:t>
      </w:r>
      <w:r>
        <w:t xml:space="preserve"> </w:t>
      </w:r>
    </w:p>
    <w:p w14:paraId="69F0005F" w14:textId="77777777" w:rsidR="00313123" w:rsidRPr="007D1E71" w:rsidRDefault="00313123" w:rsidP="00D40BD3">
      <w:pPr>
        <w:pStyle w:val="BodyText"/>
      </w:pPr>
    </w:p>
    <w:p w14:paraId="374B34EC" w14:textId="77777777" w:rsidR="00682302" w:rsidRPr="00E51706" w:rsidRDefault="00F048FA" w:rsidP="00E51706">
      <w:pPr>
        <w:pStyle w:val="Heading1"/>
      </w:pPr>
      <w:bookmarkStart w:id="109" w:name="_Toc45015292"/>
      <w:r w:rsidRPr="00E51706">
        <w:lastRenderedPageBreak/>
        <w:t>I</w:t>
      </w:r>
      <w:r w:rsidR="00682302" w:rsidRPr="00E51706">
        <w:t>nfrastructure</w:t>
      </w:r>
      <w:bookmarkEnd w:id="109"/>
    </w:p>
    <w:p w14:paraId="5B3A179A" w14:textId="77777777" w:rsidR="00F60C2C" w:rsidRDefault="00F60C2C" w:rsidP="00F60C2C">
      <w:pPr>
        <w:pStyle w:val="BodyText"/>
      </w:pPr>
      <w:r>
        <w:t xml:space="preserve">This section describes the proposed approach in the Rules to implementation of the measures in </w:t>
      </w:r>
      <w:r w:rsidR="00023335">
        <w:t>the endorsed option</w:t>
      </w:r>
      <w:r>
        <w:t xml:space="preserve"> </w:t>
      </w:r>
      <w:r w:rsidR="005D76CF">
        <w:t>relating to i</w:t>
      </w:r>
      <w:r>
        <w:t>nfrastructure.</w:t>
      </w:r>
    </w:p>
    <w:p w14:paraId="5EA84EED" w14:textId="77777777" w:rsidR="00682302" w:rsidRDefault="00682302" w:rsidP="00E54CFE">
      <w:pPr>
        <w:pStyle w:val="Heading2"/>
        <w:spacing w:before="120" w:after="0"/>
      </w:pPr>
      <w:bookmarkStart w:id="110" w:name="_Toc45015293"/>
      <w:r>
        <w:t>Infrastructure developments</w:t>
      </w:r>
      <w:bookmarkEnd w:id="110"/>
    </w:p>
    <w:tbl>
      <w:tblPr>
        <w:tblStyle w:val="ACCCTable11"/>
        <w:tblW w:w="5000" w:type="pct"/>
        <w:tblLook w:val="06A0" w:firstRow="1" w:lastRow="0" w:firstColumn="1" w:lastColumn="0" w:noHBand="1" w:noVBand="1"/>
      </w:tblPr>
      <w:tblGrid>
        <w:gridCol w:w="3827"/>
        <w:gridCol w:w="5570"/>
        <w:gridCol w:w="4562"/>
      </w:tblGrid>
      <w:tr w:rsidR="009156A0" w:rsidRPr="002F7121" w14:paraId="12287600"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371" w:type="pct"/>
            <w:tcBorders>
              <w:bottom w:val="single" w:sz="4" w:space="0" w:color="auto"/>
            </w:tcBorders>
            <w:shd w:val="clear" w:color="auto" w:fill="005595"/>
          </w:tcPr>
          <w:p w14:paraId="79E8CE15" w14:textId="77777777" w:rsidR="009156A0" w:rsidRDefault="00440252" w:rsidP="00187103">
            <w:pPr>
              <w:spacing w:before="20"/>
              <w:rPr>
                <w:rFonts w:cs="Arial"/>
              </w:rPr>
            </w:pPr>
            <w:r>
              <w:rPr>
                <w:rFonts w:cs="Arial"/>
              </w:rPr>
              <w:t>Endorsed</w:t>
            </w:r>
            <w:r w:rsidR="00AD7935">
              <w:rPr>
                <w:rFonts w:cs="Arial"/>
              </w:rPr>
              <w:t xml:space="preserve"> measure</w:t>
            </w:r>
          </w:p>
        </w:tc>
        <w:tc>
          <w:tcPr>
            <w:tcW w:w="1995" w:type="pct"/>
            <w:tcBorders>
              <w:bottom w:val="single" w:sz="4" w:space="0" w:color="auto"/>
            </w:tcBorders>
            <w:shd w:val="clear" w:color="auto" w:fill="005595"/>
            <w:hideMark/>
          </w:tcPr>
          <w:p w14:paraId="733702B9" w14:textId="77777777" w:rsidR="009156A0" w:rsidRPr="002F7121" w:rsidRDefault="009156A0" w:rsidP="00187103">
            <w:pPr>
              <w:spacing w:before="20"/>
              <w:rPr>
                <w:rFonts w:cs="Arial"/>
              </w:rPr>
            </w:pPr>
            <w:r>
              <w:rPr>
                <w:rFonts w:cs="Arial"/>
              </w:rPr>
              <w:t>Proposed approach to implementation</w:t>
            </w:r>
          </w:p>
        </w:tc>
        <w:tc>
          <w:tcPr>
            <w:tcW w:w="1634" w:type="pct"/>
            <w:tcBorders>
              <w:bottom w:val="single" w:sz="4" w:space="0" w:color="auto"/>
            </w:tcBorders>
            <w:shd w:val="clear" w:color="auto" w:fill="005595"/>
            <w:hideMark/>
          </w:tcPr>
          <w:p w14:paraId="2070603B" w14:textId="77777777" w:rsidR="009156A0" w:rsidRPr="002F7121" w:rsidRDefault="0014087B" w:rsidP="00187103">
            <w:pPr>
              <w:spacing w:before="20"/>
              <w:rPr>
                <w:rFonts w:cs="Arial"/>
              </w:rPr>
            </w:pPr>
            <w:r>
              <w:rPr>
                <w:rFonts w:cs="Arial"/>
              </w:rPr>
              <w:t>Proposed amendments</w:t>
            </w:r>
            <w:r w:rsidR="009156A0">
              <w:rPr>
                <w:rFonts w:cs="Arial"/>
              </w:rPr>
              <w:t xml:space="preserve"> in </w:t>
            </w:r>
            <w:r w:rsidR="009156A0" w:rsidRPr="002F7121">
              <w:rPr>
                <w:rFonts w:cs="Arial"/>
              </w:rPr>
              <w:t>Part 18</w:t>
            </w:r>
            <w:r w:rsidR="00825A18">
              <w:rPr>
                <w:rFonts w:cs="Arial"/>
              </w:rPr>
              <w:t xml:space="preserve"> or Part 15B</w:t>
            </w:r>
          </w:p>
        </w:tc>
      </w:tr>
      <w:tr w:rsidR="00526C5C" w:rsidRPr="00977003" w14:paraId="09C9EBD1" w14:textId="77777777" w:rsidTr="00323A97">
        <w:trPr>
          <w:cantSplit/>
        </w:trPr>
        <w:tc>
          <w:tcPr>
            <w:tcW w:w="1371" w:type="pct"/>
            <w:vMerge w:val="restart"/>
          </w:tcPr>
          <w:p w14:paraId="3543AB2D" w14:textId="77777777" w:rsidR="00526C5C" w:rsidRPr="009156A0" w:rsidRDefault="00526C5C" w:rsidP="009156A0">
            <w:pPr>
              <w:pStyle w:val="TableBodyText"/>
            </w:pPr>
            <w:r w:rsidRPr="009156A0">
              <w:t>Entities developing new infrastructure with a nameplate capacity of 10TJ or more to report the following information for both proposed and committed developments:</w:t>
            </w:r>
          </w:p>
          <w:p w14:paraId="000ABAA3" w14:textId="77777777" w:rsidR="00526C5C" w:rsidRPr="009156A0" w:rsidRDefault="00526C5C" w:rsidP="009156A0">
            <w:pPr>
              <w:pStyle w:val="Newtablebullet"/>
            </w:pPr>
            <w:r w:rsidRPr="009156A0">
              <w:t>the type of facility that is proposed or committed;</w:t>
            </w:r>
          </w:p>
          <w:p w14:paraId="36A6B829" w14:textId="77777777" w:rsidR="00526C5C" w:rsidRPr="009156A0" w:rsidRDefault="00526C5C" w:rsidP="009156A0">
            <w:pPr>
              <w:pStyle w:val="Newtablebullet"/>
            </w:pPr>
            <w:r w:rsidRPr="009156A0">
              <w:t>the location of the facility;</w:t>
            </w:r>
          </w:p>
          <w:p w14:paraId="34F3D889" w14:textId="77777777" w:rsidR="00526C5C" w:rsidRPr="009156A0" w:rsidRDefault="00526C5C" w:rsidP="009156A0">
            <w:pPr>
              <w:pStyle w:val="Newtablebullet"/>
            </w:pPr>
            <w:r w:rsidRPr="009156A0">
              <w:t>the proposed name of the facility (if known);</w:t>
            </w:r>
          </w:p>
          <w:p w14:paraId="09C6C681" w14:textId="77777777" w:rsidR="00526C5C" w:rsidRPr="009156A0" w:rsidRDefault="00526C5C" w:rsidP="009156A0">
            <w:pPr>
              <w:pStyle w:val="Newtablebullet"/>
            </w:pPr>
            <w:r w:rsidRPr="009156A0">
              <w:t>the proposed nameplate rating;</w:t>
            </w:r>
          </w:p>
          <w:p w14:paraId="29BA0853" w14:textId="77777777" w:rsidR="00526C5C" w:rsidRPr="009156A0" w:rsidRDefault="00526C5C" w:rsidP="009156A0">
            <w:pPr>
              <w:pStyle w:val="Newtablebullet"/>
            </w:pPr>
            <w:r w:rsidRPr="009156A0">
              <w:t xml:space="preserve">the stage of development, applying an assessment framework determined by AEMO; and </w:t>
            </w:r>
          </w:p>
          <w:p w14:paraId="60DE1A3D" w14:textId="77777777" w:rsidR="00526C5C" w:rsidRDefault="00526C5C" w:rsidP="009156A0">
            <w:pPr>
              <w:pStyle w:val="Newtablebullet"/>
            </w:pPr>
            <w:proofErr w:type="gramStart"/>
            <w:r w:rsidRPr="009156A0">
              <w:t>the</w:t>
            </w:r>
            <w:proofErr w:type="gramEnd"/>
            <w:r w:rsidRPr="009156A0">
              <w:t xml:space="preserve"> proposed commissioning date, or date range.</w:t>
            </w:r>
          </w:p>
          <w:p w14:paraId="43A177F1" w14:textId="77777777" w:rsidR="00F60C2C" w:rsidRDefault="00F60C2C" w:rsidP="00F60C2C">
            <w:pPr>
              <w:pStyle w:val="TableBodyText"/>
            </w:pPr>
            <w:r>
              <w:t>The information is to be published on the BB.</w:t>
            </w:r>
          </w:p>
        </w:tc>
        <w:tc>
          <w:tcPr>
            <w:tcW w:w="1995" w:type="pct"/>
          </w:tcPr>
          <w:p w14:paraId="248333F7" w14:textId="77777777" w:rsidR="00526C5C" w:rsidRDefault="00526C5C" w:rsidP="00AF235B">
            <w:pPr>
              <w:pStyle w:val="TableBodyText"/>
            </w:pPr>
            <w:r>
              <w:t>Bring projects for the development of new</w:t>
            </w:r>
            <w:r w:rsidR="00F60C2C">
              <w:t xml:space="preserve"> BB</w:t>
            </w:r>
            <w:r>
              <w:t xml:space="preserve"> facilities or the expansion of existing </w:t>
            </w:r>
            <w:r w:rsidR="00F60C2C">
              <w:t xml:space="preserve">BB </w:t>
            </w:r>
            <w:r>
              <w:t>facilities within the scope of Part 18, when the project satisfies the criteria for being a ‘proposed’ or ‘committed’ devel</w:t>
            </w:r>
            <w:r w:rsidR="00AF235B">
              <w:t>opment under the BB Procedures.</w:t>
            </w:r>
          </w:p>
        </w:tc>
        <w:tc>
          <w:tcPr>
            <w:tcW w:w="1634" w:type="pct"/>
          </w:tcPr>
          <w:p w14:paraId="586D5548" w14:textId="77777777" w:rsidR="00526C5C" w:rsidRDefault="00526C5C" w:rsidP="004E1DF0">
            <w:pPr>
              <w:pStyle w:val="TableBodyText"/>
            </w:pPr>
            <w:r>
              <w:t>New definitions of ‘facility development project’ and ‘facility developer’.</w:t>
            </w:r>
          </w:p>
          <w:p w14:paraId="756DA117" w14:textId="77777777" w:rsidR="009907D4" w:rsidRDefault="009907D4" w:rsidP="009907D4">
            <w:pPr>
              <w:pStyle w:val="TableBodyText"/>
            </w:pPr>
            <w:r>
              <w:t xml:space="preserve">As these are defined using the term ‘BB facility’, the </w:t>
            </w:r>
            <w:r w:rsidR="00985E36">
              <w:t>10 </w:t>
            </w:r>
            <w:r>
              <w:t>TJ reporting thresholds defined in rule 141(1) will apply.</w:t>
            </w:r>
          </w:p>
        </w:tc>
      </w:tr>
      <w:tr w:rsidR="00526C5C" w:rsidRPr="00977003" w14:paraId="36D5AB33" w14:textId="77777777" w:rsidTr="00323A97">
        <w:trPr>
          <w:cantSplit/>
        </w:trPr>
        <w:tc>
          <w:tcPr>
            <w:tcW w:w="1371" w:type="pct"/>
            <w:vMerge/>
          </w:tcPr>
          <w:p w14:paraId="2268592A" w14:textId="77777777" w:rsidR="00526C5C" w:rsidRDefault="00526C5C" w:rsidP="004E1DF0">
            <w:pPr>
              <w:pStyle w:val="TableBodyText"/>
            </w:pPr>
          </w:p>
        </w:tc>
        <w:tc>
          <w:tcPr>
            <w:tcW w:w="1995" w:type="pct"/>
          </w:tcPr>
          <w:p w14:paraId="1831687E" w14:textId="77777777" w:rsidR="00B8265D" w:rsidRDefault="00526C5C" w:rsidP="00B8265D">
            <w:pPr>
              <w:pStyle w:val="TableBodyText"/>
            </w:pPr>
            <w:r>
              <w:t>Require the facility developer for a facility development project to register for the Bulletin Board and to register as the BB reporting entity for its facility development project.</w:t>
            </w:r>
          </w:p>
        </w:tc>
        <w:tc>
          <w:tcPr>
            <w:tcW w:w="1634" w:type="pct"/>
          </w:tcPr>
          <w:p w14:paraId="3A826125" w14:textId="77777777" w:rsidR="00526C5C" w:rsidRDefault="00AF235B" w:rsidP="00F60C2C">
            <w:pPr>
              <w:pStyle w:val="TableBodyText"/>
            </w:pPr>
            <w:r>
              <w:t>R</w:t>
            </w:r>
            <w:r w:rsidR="00526C5C">
              <w:t>ule</w:t>
            </w:r>
            <w:r>
              <w:t> 152 in new Subdivision 3.1 provides for registration.</w:t>
            </w:r>
          </w:p>
        </w:tc>
      </w:tr>
      <w:tr w:rsidR="00B8265D" w:rsidRPr="00977003" w14:paraId="40C92BAD" w14:textId="77777777" w:rsidTr="00323A97">
        <w:trPr>
          <w:cantSplit/>
        </w:trPr>
        <w:tc>
          <w:tcPr>
            <w:tcW w:w="1371" w:type="pct"/>
            <w:vMerge/>
          </w:tcPr>
          <w:p w14:paraId="3E158670" w14:textId="77777777" w:rsidR="00B8265D" w:rsidRDefault="00B8265D" w:rsidP="004E1DF0">
            <w:pPr>
              <w:pStyle w:val="TableBodyText"/>
            </w:pPr>
          </w:p>
        </w:tc>
        <w:tc>
          <w:tcPr>
            <w:tcW w:w="1995" w:type="pct"/>
          </w:tcPr>
          <w:p w14:paraId="5AD35865" w14:textId="77777777" w:rsidR="00B8265D" w:rsidRDefault="00B8265D" w:rsidP="004E1DF0">
            <w:pPr>
              <w:pStyle w:val="TableBodyText"/>
            </w:pPr>
            <w:r>
              <w:t>Identify who is the BB reporting entity for a facility development project and what is meant by ‘its’ facility development project to clarify that this denotes registration as the BB reporting entity, not ownership.</w:t>
            </w:r>
          </w:p>
        </w:tc>
        <w:tc>
          <w:tcPr>
            <w:tcW w:w="1634" w:type="pct"/>
          </w:tcPr>
          <w:p w14:paraId="78F2EF22" w14:textId="77777777" w:rsidR="00B8265D" w:rsidRDefault="00B8265D" w:rsidP="00B8265D">
            <w:pPr>
              <w:pStyle w:val="TableBodyText"/>
            </w:pPr>
            <w:r>
              <w:t>New paragraph (e) in the definition of ‘BB reporting entity’.</w:t>
            </w:r>
          </w:p>
          <w:p w14:paraId="1ACCE064" w14:textId="77777777" w:rsidR="00B8265D" w:rsidRDefault="00B8265D" w:rsidP="00B8265D">
            <w:pPr>
              <w:pStyle w:val="TableBodyText"/>
            </w:pPr>
            <w:r>
              <w:t>New paragraph (c) in the interpretation provision in rule 141(4).</w:t>
            </w:r>
          </w:p>
        </w:tc>
      </w:tr>
      <w:tr w:rsidR="00825A18" w:rsidRPr="00977003" w14:paraId="33B2AB00" w14:textId="77777777" w:rsidTr="00323A97">
        <w:trPr>
          <w:cantSplit/>
        </w:trPr>
        <w:tc>
          <w:tcPr>
            <w:tcW w:w="1371" w:type="pct"/>
            <w:vMerge/>
          </w:tcPr>
          <w:p w14:paraId="009D7367" w14:textId="77777777" w:rsidR="00825A18" w:rsidRDefault="00825A18" w:rsidP="00825A18">
            <w:pPr>
              <w:pStyle w:val="TableBodyText"/>
            </w:pPr>
          </w:p>
        </w:tc>
        <w:tc>
          <w:tcPr>
            <w:tcW w:w="1995" w:type="pct"/>
          </w:tcPr>
          <w:p w14:paraId="3360EAF2" w14:textId="77777777" w:rsidR="00825A18" w:rsidRDefault="00825A18" w:rsidP="00825A18">
            <w:pPr>
              <w:pStyle w:val="TableBodyText"/>
            </w:pPr>
            <w:r>
              <w:t>Provide for one facility developer to report on behalf of the other facility developers if there is more than one facility developer for a facility development project.</w:t>
            </w:r>
          </w:p>
        </w:tc>
        <w:tc>
          <w:tcPr>
            <w:tcW w:w="1634" w:type="pct"/>
          </w:tcPr>
          <w:p w14:paraId="2822060E" w14:textId="77777777" w:rsidR="00825A18" w:rsidRDefault="00825A18" w:rsidP="00825A18">
            <w:pPr>
              <w:pStyle w:val="TableBodyText"/>
            </w:pPr>
            <w:r>
              <w:t>New definitions of ‘facility developer group’ and ‘responsible facility developer’.</w:t>
            </w:r>
          </w:p>
          <w:p w14:paraId="3C4F18A5" w14:textId="77777777" w:rsidR="00825A18" w:rsidRDefault="00606FE4" w:rsidP="00825A18">
            <w:pPr>
              <w:pStyle w:val="TableBodyText"/>
            </w:pPr>
            <w:r>
              <w:t xml:space="preserve">New </w:t>
            </w:r>
            <w:proofErr w:type="spellStart"/>
            <w:r>
              <w:t>subrules</w:t>
            </w:r>
            <w:proofErr w:type="spellEnd"/>
            <w:r>
              <w:t xml:space="preserve"> 152</w:t>
            </w:r>
            <w:r w:rsidR="00825A18">
              <w:t xml:space="preserve">(3) and (4) and rule 155 deal with registration as part of a </w:t>
            </w:r>
            <w:r>
              <w:t>facility developer</w:t>
            </w:r>
            <w:r w:rsidR="00825A18">
              <w:t xml:space="preserve"> group.</w:t>
            </w:r>
          </w:p>
          <w:p w14:paraId="4171540F" w14:textId="77777777" w:rsidR="00825A18" w:rsidRDefault="00825A18" w:rsidP="00825A18">
            <w:pPr>
              <w:pStyle w:val="TableBodyText"/>
            </w:pPr>
            <w:r>
              <w:t xml:space="preserve">New rule 158 deals with information to be provided for group registrations and changes to group registrations. </w:t>
            </w:r>
          </w:p>
        </w:tc>
      </w:tr>
      <w:tr w:rsidR="00825A18" w:rsidRPr="00977003" w14:paraId="719E4AA0" w14:textId="77777777" w:rsidTr="00323A97">
        <w:trPr>
          <w:cantSplit/>
        </w:trPr>
        <w:tc>
          <w:tcPr>
            <w:tcW w:w="1371" w:type="pct"/>
            <w:vMerge/>
          </w:tcPr>
          <w:p w14:paraId="6856F9E3" w14:textId="77777777" w:rsidR="00825A18" w:rsidRDefault="00825A18" w:rsidP="00825A18">
            <w:pPr>
              <w:pStyle w:val="TableBodyText"/>
            </w:pPr>
          </w:p>
        </w:tc>
        <w:tc>
          <w:tcPr>
            <w:tcW w:w="1995" w:type="pct"/>
          </w:tcPr>
          <w:p w14:paraId="6BBD5FF7" w14:textId="77777777" w:rsidR="00825A18" w:rsidRDefault="00825A18" w:rsidP="00825A18">
            <w:pPr>
              <w:pStyle w:val="TableBodyText"/>
            </w:pPr>
            <w:r>
              <w:t xml:space="preserve">Require the BB reporting entity for a facility development project to report information to AEMO about the project, as provided for in the recommendation. </w:t>
            </w:r>
          </w:p>
          <w:p w14:paraId="5B177326" w14:textId="77777777" w:rsidR="00825A18" w:rsidRDefault="00825A18" w:rsidP="00825A18">
            <w:pPr>
              <w:pStyle w:val="TableBodyText"/>
            </w:pPr>
            <w:r>
              <w:t>The information is to be reported on registration and annually thereafter. The information must be updated if no longer accurate.</w:t>
            </w:r>
          </w:p>
        </w:tc>
        <w:tc>
          <w:tcPr>
            <w:tcW w:w="1634" w:type="pct"/>
          </w:tcPr>
          <w:p w14:paraId="2DA972B7" w14:textId="77777777" w:rsidR="00825A18" w:rsidRDefault="00825A18" w:rsidP="00825A18">
            <w:pPr>
              <w:pStyle w:val="TableBodyText"/>
            </w:pPr>
            <w:r>
              <w:t>New rule 190F.</w:t>
            </w:r>
          </w:p>
          <w:p w14:paraId="58A29E43" w14:textId="77777777" w:rsidR="006212A9" w:rsidRDefault="006212A9" w:rsidP="006212A9">
            <w:pPr>
              <w:pStyle w:val="TableBodyText"/>
            </w:pPr>
            <w:r>
              <w:t>As a consequential change, remove the obligation in rule 168(1</w:t>
            </w:r>
            <w:proofErr w:type="gramStart"/>
            <w:r>
              <w:t>)(</w:t>
            </w:r>
            <w:proofErr w:type="gramEnd"/>
            <w:r>
              <w:t xml:space="preserve">b) for a BB reporting entity to provide </w:t>
            </w:r>
            <w:r w:rsidRPr="006212A9">
              <w:t xml:space="preserve">information about any planned permanent capacity expansion due to modification of </w:t>
            </w:r>
            <w:r>
              <w:t>a</w:t>
            </w:r>
            <w:r w:rsidRPr="006212A9">
              <w:t xml:space="preserve"> BB facility.</w:t>
            </w:r>
          </w:p>
        </w:tc>
      </w:tr>
      <w:tr w:rsidR="00825A18" w:rsidRPr="00977003" w14:paraId="66EC6C77" w14:textId="77777777" w:rsidTr="00323A97">
        <w:trPr>
          <w:cantSplit/>
        </w:trPr>
        <w:tc>
          <w:tcPr>
            <w:tcW w:w="1371" w:type="pct"/>
            <w:vMerge/>
          </w:tcPr>
          <w:p w14:paraId="60A1D79B" w14:textId="77777777" w:rsidR="00825A18" w:rsidRDefault="00825A18" w:rsidP="00825A18">
            <w:pPr>
              <w:pStyle w:val="TableBodyText"/>
            </w:pPr>
          </w:p>
        </w:tc>
        <w:tc>
          <w:tcPr>
            <w:tcW w:w="1995" w:type="pct"/>
          </w:tcPr>
          <w:p w14:paraId="3BD93C56" w14:textId="77777777" w:rsidR="00825A18" w:rsidRDefault="00825A18" w:rsidP="00825A18">
            <w:pPr>
              <w:pStyle w:val="TableBodyText"/>
            </w:pPr>
            <w:r>
              <w:t>Provide for AEMO to publish the framework for assessing the stage of development as part of the BB Procedures.</w:t>
            </w:r>
          </w:p>
        </w:tc>
        <w:tc>
          <w:tcPr>
            <w:tcW w:w="1634" w:type="pct"/>
          </w:tcPr>
          <w:p w14:paraId="17EC7FB8" w14:textId="77777777" w:rsidR="00825A18" w:rsidRDefault="00825A18" w:rsidP="00825A18">
            <w:pPr>
              <w:pStyle w:val="TableBodyText"/>
            </w:pPr>
            <w:r w:rsidRPr="00D847C3">
              <w:t>Amend the list of matters to be included in the BB Procedures in Part 15B.</w:t>
            </w:r>
          </w:p>
        </w:tc>
      </w:tr>
      <w:tr w:rsidR="00825A18" w:rsidRPr="00977003" w14:paraId="5F599E4A" w14:textId="77777777" w:rsidTr="00323A97">
        <w:trPr>
          <w:cantSplit/>
        </w:trPr>
        <w:tc>
          <w:tcPr>
            <w:tcW w:w="1371" w:type="pct"/>
            <w:vMerge/>
          </w:tcPr>
          <w:p w14:paraId="1709FB08" w14:textId="77777777" w:rsidR="00825A18" w:rsidRDefault="00825A18" w:rsidP="00825A18">
            <w:pPr>
              <w:pStyle w:val="TableBodyText"/>
            </w:pPr>
          </w:p>
        </w:tc>
        <w:tc>
          <w:tcPr>
            <w:tcW w:w="1995" w:type="pct"/>
          </w:tcPr>
          <w:p w14:paraId="74F027A9" w14:textId="77777777" w:rsidR="00825A18" w:rsidRDefault="00825A18" w:rsidP="00825A18">
            <w:pPr>
              <w:pStyle w:val="TableBodyText"/>
            </w:pPr>
            <w:r>
              <w:t>Specify the BB information standard for information about facility development projects.</w:t>
            </w:r>
          </w:p>
        </w:tc>
        <w:tc>
          <w:tcPr>
            <w:tcW w:w="1634" w:type="pct"/>
          </w:tcPr>
          <w:p w14:paraId="3C2E82B8" w14:textId="77777777" w:rsidR="00825A18" w:rsidRDefault="00825A18" w:rsidP="00825A18">
            <w:pPr>
              <w:pStyle w:val="TableBodyText"/>
            </w:pPr>
            <w:r>
              <w:t>Add a new paragraph (d) to the BB information standard in rule 165(2).</w:t>
            </w:r>
          </w:p>
        </w:tc>
      </w:tr>
    </w:tbl>
    <w:p w14:paraId="0C1A67BC" w14:textId="77777777" w:rsidR="00682302" w:rsidRDefault="00DC4D79" w:rsidP="00DC4D79">
      <w:pPr>
        <w:pStyle w:val="Heading2"/>
      </w:pPr>
      <w:bookmarkStart w:id="111" w:name="_Ref37926563"/>
      <w:bookmarkStart w:id="112" w:name="_Toc45015294"/>
      <w:r w:rsidRPr="00A120B8">
        <w:rPr>
          <w:rFonts w:cs="Arial"/>
        </w:rPr>
        <w:lastRenderedPageBreak/>
        <w:t xml:space="preserve">36-month </w:t>
      </w:r>
      <w:r>
        <w:rPr>
          <w:rFonts w:cs="Arial"/>
        </w:rPr>
        <w:t xml:space="preserve">uncontracted capacity </w:t>
      </w:r>
      <w:r w:rsidRPr="00A120B8">
        <w:rPr>
          <w:rFonts w:cs="Arial"/>
        </w:rPr>
        <w:t>outlook</w:t>
      </w:r>
      <w:r>
        <w:rPr>
          <w:rFonts w:cs="Arial"/>
        </w:rPr>
        <w:t>s</w:t>
      </w:r>
      <w:r w:rsidR="009156A0">
        <w:rPr>
          <w:rFonts w:cs="Arial"/>
        </w:rPr>
        <w:t xml:space="preserve"> – storage and compression</w:t>
      </w:r>
      <w:bookmarkEnd w:id="111"/>
      <w:bookmarkEnd w:id="112"/>
    </w:p>
    <w:tbl>
      <w:tblPr>
        <w:tblStyle w:val="ACCCTable11"/>
        <w:tblW w:w="5000" w:type="pct"/>
        <w:tblLayout w:type="fixed"/>
        <w:tblLook w:val="06A0" w:firstRow="1" w:lastRow="0" w:firstColumn="1" w:lastColumn="0" w:noHBand="1" w:noVBand="1"/>
      </w:tblPr>
      <w:tblGrid>
        <w:gridCol w:w="3970"/>
        <w:gridCol w:w="5385"/>
        <w:gridCol w:w="4604"/>
      </w:tblGrid>
      <w:tr w:rsidR="009156A0" w:rsidRPr="002F7121" w14:paraId="06F88380"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bottom w:val="single" w:sz="4" w:space="0" w:color="auto"/>
            </w:tcBorders>
            <w:shd w:val="clear" w:color="auto" w:fill="005595"/>
          </w:tcPr>
          <w:p w14:paraId="6C0A4B85" w14:textId="77777777" w:rsidR="009156A0" w:rsidRDefault="00440252" w:rsidP="00187103">
            <w:pPr>
              <w:spacing w:before="20"/>
              <w:rPr>
                <w:rFonts w:cs="Arial"/>
              </w:rPr>
            </w:pPr>
            <w:r>
              <w:rPr>
                <w:rFonts w:cs="Arial"/>
              </w:rPr>
              <w:t xml:space="preserve">Endorsed </w:t>
            </w:r>
            <w:r w:rsidR="00AD7935">
              <w:rPr>
                <w:rFonts w:cs="Arial"/>
              </w:rPr>
              <w:t>measure</w:t>
            </w:r>
          </w:p>
        </w:tc>
        <w:tc>
          <w:tcPr>
            <w:tcW w:w="1929" w:type="pct"/>
            <w:tcBorders>
              <w:bottom w:val="single" w:sz="4" w:space="0" w:color="auto"/>
            </w:tcBorders>
            <w:shd w:val="clear" w:color="auto" w:fill="005595"/>
            <w:hideMark/>
          </w:tcPr>
          <w:p w14:paraId="62001E4E" w14:textId="77777777" w:rsidR="009156A0" w:rsidRPr="002F7121" w:rsidRDefault="009156A0" w:rsidP="00187103">
            <w:pPr>
              <w:spacing w:before="20"/>
              <w:rPr>
                <w:rFonts w:cs="Arial"/>
              </w:rPr>
            </w:pPr>
            <w:r>
              <w:rPr>
                <w:rFonts w:cs="Arial"/>
              </w:rPr>
              <w:t>Proposed approach to implementation</w:t>
            </w:r>
          </w:p>
        </w:tc>
        <w:tc>
          <w:tcPr>
            <w:tcW w:w="1649" w:type="pct"/>
            <w:tcBorders>
              <w:bottom w:val="single" w:sz="4" w:space="0" w:color="auto"/>
            </w:tcBorders>
            <w:shd w:val="clear" w:color="auto" w:fill="005595"/>
            <w:hideMark/>
          </w:tcPr>
          <w:p w14:paraId="3997933E" w14:textId="77777777" w:rsidR="009156A0" w:rsidRPr="002F7121" w:rsidRDefault="0014087B" w:rsidP="00187103">
            <w:pPr>
              <w:spacing w:before="20"/>
              <w:rPr>
                <w:rFonts w:cs="Arial"/>
              </w:rPr>
            </w:pPr>
            <w:r>
              <w:rPr>
                <w:rFonts w:cs="Arial"/>
              </w:rPr>
              <w:t>Proposed amendments</w:t>
            </w:r>
            <w:r w:rsidR="009156A0">
              <w:rPr>
                <w:rFonts w:cs="Arial"/>
              </w:rPr>
              <w:t xml:space="preserve"> in </w:t>
            </w:r>
            <w:r w:rsidR="009156A0" w:rsidRPr="002F7121">
              <w:rPr>
                <w:rFonts w:cs="Arial"/>
              </w:rPr>
              <w:t>Part 18</w:t>
            </w:r>
          </w:p>
        </w:tc>
      </w:tr>
      <w:tr w:rsidR="00454807" w:rsidRPr="00977003" w14:paraId="696A420D" w14:textId="77777777" w:rsidTr="00323A97">
        <w:trPr>
          <w:cantSplit/>
        </w:trPr>
        <w:tc>
          <w:tcPr>
            <w:tcW w:w="1422" w:type="pct"/>
            <w:vMerge w:val="restart"/>
          </w:tcPr>
          <w:p w14:paraId="06D96E0A" w14:textId="77777777" w:rsidR="00454807" w:rsidRDefault="00454807" w:rsidP="004E1DF0">
            <w:pPr>
              <w:pStyle w:val="TableBodyText"/>
            </w:pPr>
            <w:r w:rsidRPr="009156A0">
              <w:t>Storage and stand-alone compression facility operators to report a 36-month uncontracted capacity outlook and a list of users with contracted capacity.</w:t>
            </w:r>
          </w:p>
        </w:tc>
        <w:tc>
          <w:tcPr>
            <w:tcW w:w="1929" w:type="pct"/>
          </w:tcPr>
          <w:p w14:paraId="5E5F335F" w14:textId="77777777" w:rsidR="00454807" w:rsidRPr="00977003" w:rsidRDefault="00454807" w:rsidP="004E1DF0">
            <w:pPr>
              <w:pStyle w:val="TableBodyText"/>
            </w:pPr>
            <w:r>
              <w:t>Bring compression service facilities that meet the reporting threshold within the scope of Part 18.</w:t>
            </w:r>
          </w:p>
        </w:tc>
        <w:tc>
          <w:tcPr>
            <w:tcW w:w="1649" w:type="pct"/>
          </w:tcPr>
          <w:p w14:paraId="0542B721" w14:textId="77777777" w:rsidR="00454807" w:rsidRDefault="00454807" w:rsidP="004E1DF0">
            <w:pPr>
              <w:pStyle w:val="TableBodyText"/>
            </w:pPr>
            <w:r>
              <w:t>Define ‘stand-alone compression service facility’ by reference to the definition in Part 24 of the Rules. The term ‘designated compression service facility’ is defined in the Law.</w:t>
            </w:r>
          </w:p>
          <w:p w14:paraId="6B782AE0" w14:textId="77777777" w:rsidR="00454807" w:rsidRDefault="00454807" w:rsidP="004E1DF0">
            <w:pPr>
              <w:pStyle w:val="TableBodyText"/>
            </w:pPr>
            <w:r>
              <w:t>Add a new definition of ‘BB compression facility’ to cover stand-alone and designated compression service facilities that meet the reporting threshold and include a ‘BB compression facility’ as a type of ‘BB facility’.</w:t>
            </w:r>
          </w:p>
          <w:p w14:paraId="7C11D4EC" w14:textId="77777777" w:rsidR="00454807" w:rsidRDefault="00454807" w:rsidP="004E1DF0">
            <w:pPr>
              <w:pStyle w:val="TableBodyText"/>
            </w:pPr>
            <w:r>
              <w:t>Specify the reporting threshold for compression service facilities in the ‘reporting threshold’ definition.</w:t>
            </w:r>
          </w:p>
          <w:p w14:paraId="5322642F" w14:textId="77777777" w:rsidR="00454807" w:rsidRPr="00977003" w:rsidRDefault="00454807" w:rsidP="00D847C3">
            <w:pPr>
              <w:pStyle w:val="TableBodyText"/>
            </w:pPr>
            <w:r>
              <w:t>Add other definitions required for the new provisions:  ‘compression delivery point’, ‘compression facility operator’</w:t>
            </w:r>
            <w:r w:rsidR="00D847C3">
              <w:t xml:space="preserve"> and</w:t>
            </w:r>
            <w:r>
              <w:t xml:space="preserve"> ‘compression receipt point’.</w:t>
            </w:r>
          </w:p>
        </w:tc>
      </w:tr>
      <w:tr w:rsidR="00454807" w:rsidRPr="00977003" w14:paraId="1046603A" w14:textId="77777777" w:rsidTr="00323A97">
        <w:trPr>
          <w:cantSplit/>
        </w:trPr>
        <w:tc>
          <w:tcPr>
            <w:tcW w:w="1422" w:type="pct"/>
            <w:vMerge/>
          </w:tcPr>
          <w:p w14:paraId="2C74EAE7" w14:textId="77777777" w:rsidR="00454807" w:rsidRDefault="00454807" w:rsidP="004E1DF0">
            <w:pPr>
              <w:pStyle w:val="TableBodyText"/>
            </w:pPr>
          </w:p>
        </w:tc>
        <w:tc>
          <w:tcPr>
            <w:tcW w:w="1929" w:type="pct"/>
          </w:tcPr>
          <w:p w14:paraId="1C647544" w14:textId="77777777" w:rsidR="00454807" w:rsidRDefault="00454807" w:rsidP="004E1DF0">
            <w:pPr>
              <w:pStyle w:val="TableBodyText"/>
            </w:pPr>
            <w:r>
              <w:t>Require the operator of a BB compression facility to register with AEMO under Part 18.</w:t>
            </w:r>
          </w:p>
        </w:tc>
        <w:tc>
          <w:tcPr>
            <w:tcW w:w="1649" w:type="pct"/>
          </w:tcPr>
          <w:p w14:paraId="54F360E8" w14:textId="77777777" w:rsidR="00454807" w:rsidRDefault="00454807" w:rsidP="004E1DF0">
            <w:pPr>
              <w:pStyle w:val="TableBodyText"/>
            </w:pPr>
            <w:r>
              <w:t>Include the compression service provider for a compression service facility in the ‘facility operator’ definition.</w:t>
            </w:r>
          </w:p>
          <w:p w14:paraId="17D98EC2" w14:textId="77777777" w:rsidR="00454807" w:rsidRDefault="00454807" w:rsidP="00AF235B">
            <w:pPr>
              <w:pStyle w:val="TableBodyText"/>
            </w:pPr>
            <w:r>
              <w:t>Rule 150 in new Subdivision 3.1 will require all facility operators to register.</w:t>
            </w:r>
          </w:p>
        </w:tc>
      </w:tr>
      <w:tr w:rsidR="00454807" w:rsidRPr="00977003" w14:paraId="0932DF38" w14:textId="77777777" w:rsidTr="00323A97">
        <w:trPr>
          <w:cantSplit/>
        </w:trPr>
        <w:tc>
          <w:tcPr>
            <w:tcW w:w="1422" w:type="pct"/>
            <w:vMerge/>
          </w:tcPr>
          <w:p w14:paraId="76E649F0" w14:textId="77777777" w:rsidR="00454807" w:rsidRDefault="00454807" w:rsidP="004E1DF0">
            <w:pPr>
              <w:pStyle w:val="TableBodyText"/>
            </w:pPr>
          </w:p>
        </w:tc>
        <w:tc>
          <w:tcPr>
            <w:tcW w:w="1929" w:type="pct"/>
          </w:tcPr>
          <w:p w14:paraId="7BAF7737" w14:textId="77777777" w:rsidR="00454807" w:rsidRPr="00977003" w:rsidRDefault="00454807" w:rsidP="004E1DF0">
            <w:pPr>
              <w:pStyle w:val="TableBodyText"/>
            </w:pPr>
            <w:r>
              <w:t>Amend the rules to extend the 12-month outlook of uncontracted storage capacity to 36 months.</w:t>
            </w:r>
          </w:p>
        </w:tc>
        <w:tc>
          <w:tcPr>
            <w:tcW w:w="1649" w:type="pct"/>
          </w:tcPr>
          <w:p w14:paraId="157D8314" w14:textId="77777777" w:rsidR="00454807" w:rsidRDefault="00454807" w:rsidP="00F73582">
            <w:pPr>
              <w:pStyle w:val="TableBodyText"/>
            </w:pPr>
            <w:r>
              <w:t>A new definition of ‘uncontracted primary capacity’ extends to uncontracted primary storage capacity.</w:t>
            </w:r>
          </w:p>
          <w:p w14:paraId="0B1A40C1" w14:textId="77777777" w:rsidR="00454807" w:rsidRPr="00977003" w:rsidRDefault="00454807" w:rsidP="00AF235B">
            <w:pPr>
              <w:pStyle w:val="TableBodyText"/>
            </w:pPr>
            <w:r>
              <w:t>Rule 175 has been amended to cover all 36-month uncontracted primary capacity outlooks.</w:t>
            </w:r>
          </w:p>
        </w:tc>
      </w:tr>
      <w:tr w:rsidR="00454807" w:rsidRPr="00977003" w14:paraId="234A8944" w14:textId="77777777" w:rsidTr="00323A97">
        <w:trPr>
          <w:cantSplit/>
        </w:trPr>
        <w:tc>
          <w:tcPr>
            <w:tcW w:w="1422" w:type="pct"/>
            <w:vMerge/>
          </w:tcPr>
          <w:p w14:paraId="7FAA162C" w14:textId="77777777" w:rsidR="00454807" w:rsidRDefault="00454807" w:rsidP="004E1DF0">
            <w:pPr>
              <w:pStyle w:val="TableBodyText"/>
            </w:pPr>
          </w:p>
        </w:tc>
        <w:tc>
          <w:tcPr>
            <w:tcW w:w="1929" w:type="pct"/>
          </w:tcPr>
          <w:p w14:paraId="3B2183FB" w14:textId="77777777" w:rsidR="00454807" w:rsidRDefault="00454807" w:rsidP="007E7443">
            <w:pPr>
              <w:pStyle w:val="TableBodyText"/>
            </w:pPr>
            <w:r>
              <w:t xml:space="preserve">Provide for 36-month outlook of uncontracted capacity in relation to BB compression facilities.  </w:t>
            </w:r>
          </w:p>
        </w:tc>
        <w:tc>
          <w:tcPr>
            <w:tcW w:w="1649" w:type="pct"/>
          </w:tcPr>
          <w:p w14:paraId="0FD1008A" w14:textId="77777777" w:rsidR="00454807" w:rsidRDefault="00454807" w:rsidP="00454807">
            <w:pPr>
              <w:pStyle w:val="TableBodyText"/>
            </w:pPr>
            <w:r>
              <w:t>A new definition of ‘uncontracted primary capacity’ extends to uncontracted primary compression capacity.</w:t>
            </w:r>
          </w:p>
          <w:p w14:paraId="600E6521" w14:textId="77777777" w:rsidR="00454807" w:rsidRDefault="00454807" w:rsidP="00454807">
            <w:pPr>
              <w:pStyle w:val="TableBodyText"/>
            </w:pPr>
            <w:r>
              <w:t>Rule 175 has been amended to cover all 36-month uncontracted primary capacity outlooks.</w:t>
            </w:r>
          </w:p>
        </w:tc>
      </w:tr>
      <w:tr w:rsidR="00454807" w:rsidRPr="00977003" w14:paraId="49AB01A1" w14:textId="77777777" w:rsidTr="00323A97">
        <w:trPr>
          <w:cantSplit/>
        </w:trPr>
        <w:tc>
          <w:tcPr>
            <w:tcW w:w="1422" w:type="pct"/>
            <w:vMerge/>
          </w:tcPr>
          <w:p w14:paraId="7D80CD37" w14:textId="77777777" w:rsidR="00454807" w:rsidRDefault="00454807" w:rsidP="004E1DF0">
            <w:pPr>
              <w:pStyle w:val="TableBodyText"/>
            </w:pPr>
          </w:p>
        </w:tc>
        <w:tc>
          <w:tcPr>
            <w:tcW w:w="1929" w:type="pct"/>
          </w:tcPr>
          <w:p w14:paraId="514DBD2D" w14:textId="77777777" w:rsidR="00454807" w:rsidRDefault="00454807" w:rsidP="007E7443">
            <w:pPr>
              <w:pStyle w:val="TableBodyText"/>
            </w:pPr>
            <w:r>
              <w:t>Provide for s</w:t>
            </w:r>
            <w:r w:rsidRPr="009156A0">
              <w:t>torage and stand-alone compression facility operators to report a list of users with contracted capacity</w:t>
            </w:r>
            <w:r>
              <w:t>.</w:t>
            </w:r>
          </w:p>
        </w:tc>
        <w:tc>
          <w:tcPr>
            <w:tcW w:w="1649" w:type="pct"/>
          </w:tcPr>
          <w:p w14:paraId="2E5F4D7A" w14:textId="77777777" w:rsidR="00454807" w:rsidRPr="00454807" w:rsidRDefault="00454807" w:rsidP="007E7443">
            <w:pPr>
              <w:pStyle w:val="TableBodyText"/>
            </w:pPr>
            <w:r w:rsidRPr="00454807">
              <w:t>New definition of ‘primary compression capacity</w:t>
            </w:r>
            <w:r w:rsidR="00D847C3">
              <w:t>’</w:t>
            </w:r>
            <w:r w:rsidRPr="00454807">
              <w:t>.</w:t>
            </w:r>
          </w:p>
          <w:p w14:paraId="192C0AE7" w14:textId="77777777" w:rsidR="00454807" w:rsidRPr="007E7443" w:rsidRDefault="00454807" w:rsidP="00D847C3">
            <w:pPr>
              <w:pStyle w:val="TableBodyText"/>
              <w:rPr>
                <w:highlight w:val="yellow"/>
              </w:rPr>
            </w:pPr>
            <w:r>
              <w:t xml:space="preserve">Rule 172 </w:t>
            </w:r>
            <w:r w:rsidR="00D847C3">
              <w:t>would be</w:t>
            </w:r>
            <w:r>
              <w:t xml:space="preserve"> amended to cover all reporting of shippers with contracted primary capacity</w:t>
            </w:r>
            <w:r w:rsidRPr="00454807">
              <w:t>.</w:t>
            </w:r>
            <w:r>
              <w:t xml:space="preserve"> </w:t>
            </w:r>
          </w:p>
        </w:tc>
      </w:tr>
    </w:tbl>
    <w:p w14:paraId="406A62CB" w14:textId="77777777" w:rsidR="00526C5C" w:rsidRDefault="00526C5C" w:rsidP="00E54CFE">
      <w:pPr>
        <w:pStyle w:val="Heading2"/>
        <w:spacing w:before="120" w:after="120"/>
      </w:pPr>
      <w:bookmarkStart w:id="113" w:name="_Toc45015295"/>
      <w:r>
        <w:rPr>
          <w:rFonts w:cs="Arial"/>
        </w:rPr>
        <w:lastRenderedPageBreak/>
        <w:t>Stand-alone compression facilities</w:t>
      </w:r>
      <w:bookmarkEnd w:id="113"/>
    </w:p>
    <w:tbl>
      <w:tblPr>
        <w:tblStyle w:val="ACCCTable11"/>
        <w:tblW w:w="5000" w:type="pct"/>
        <w:tblLayout w:type="fixed"/>
        <w:tblLook w:val="06A0" w:firstRow="1" w:lastRow="0" w:firstColumn="1" w:lastColumn="0" w:noHBand="1" w:noVBand="1"/>
      </w:tblPr>
      <w:tblGrid>
        <w:gridCol w:w="3970"/>
        <w:gridCol w:w="5385"/>
        <w:gridCol w:w="4604"/>
      </w:tblGrid>
      <w:tr w:rsidR="00526C5C" w:rsidRPr="002F7121" w14:paraId="6AE91DBB"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bottom w:val="single" w:sz="4" w:space="0" w:color="auto"/>
            </w:tcBorders>
            <w:shd w:val="clear" w:color="auto" w:fill="005595"/>
          </w:tcPr>
          <w:p w14:paraId="4C5CCF66" w14:textId="77777777" w:rsidR="00526C5C"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1F8D6B1A" w14:textId="77777777" w:rsidR="00526C5C" w:rsidRPr="002F7121" w:rsidRDefault="00526C5C" w:rsidP="00187103">
            <w:pPr>
              <w:spacing w:before="20"/>
              <w:rPr>
                <w:rFonts w:cs="Arial"/>
              </w:rPr>
            </w:pPr>
            <w:r>
              <w:rPr>
                <w:rFonts w:cs="Arial"/>
              </w:rPr>
              <w:t>Proposed approach to implementation</w:t>
            </w:r>
          </w:p>
        </w:tc>
        <w:tc>
          <w:tcPr>
            <w:tcW w:w="1649" w:type="pct"/>
            <w:tcBorders>
              <w:bottom w:val="single" w:sz="4" w:space="0" w:color="auto"/>
            </w:tcBorders>
            <w:shd w:val="clear" w:color="auto" w:fill="005595"/>
            <w:hideMark/>
          </w:tcPr>
          <w:p w14:paraId="0F527F44" w14:textId="77777777" w:rsidR="00526C5C" w:rsidRPr="002F7121" w:rsidRDefault="0014087B" w:rsidP="00187103">
            <w:pPr>
              <w:spacing w:before="20"/>
              <w:rPr>
                <w:rFonts w:cs="Arial"/>
              </w:rPr>
            </w:pPr>
            <w:r>
              <w:rPr>
                <w:rFonts w:cs="Arial"/>
              </w:rPr>
              <w:t>Proposed amendments</w:t>
            </w:r>
            <w:r w:rsidR="00526C5C">
              <w:rPr>
                <w:rFonts w:cs="Arial"/>
              </w:rPr>
              <w:t xml:space="preserve"> in </w:t>
            </w:r>
            <w:r w:rsidR="00526C5C" w:rsidRPr="002F7121">
              <w:rPr>
                <w:rFonts w:cs="Arial"/>
              </w:rPr>
              <w:t>Part 18</w:t>
            </w:r>
          </w:p>
        </w:tc>
      </w:tr>
      <w:tr w:rsidR="007E7443" w:rsidRPr="00977003" w14:paraId="2B2A5DB5" w14:textId="77777777" w:rsidTr="00323A97">
        <w:trPr>
          <w:cantSplit/>
        </w:trPr>
        <w:tc>
          <w:tcPr>
            <w:tcW w:w="1422" w:type="pct"/>
            <w:vMerge w:val="restart"/>
          </w:tcPr>
          <w:p w14:paraId="0C267A76" w14:textId="77777777" w:rsidR="007E7443" w:rsidRDefault="007E7443" w:rsidP="00F026C8">
            <w:pPr>
              <w:pStyle w:val="TableBodyText"/>
            </w:pPr>
            <w:r w:rsidRPr="009156A0">
              <w:t>Stand-alone compression facility operators to report equivalent operational information to pipelines.</w:t>
            </w:r>
          </w:p>
        </w:tc>
        <w:tc>
          <w:tcPr>
            <w:tcW w:w="1929" w:type="pct"/>
          </w:tcPr>
          <w:p w14:paraId="3B34A728" w14:textId="77777777" w:rsidR="007E7443" w:rsidRDefault="007E7443" w:rsidP="00F026C8">
            <w:pPr>
              <w:pStyle w:val="TableBodyText"/>
            </w:pPr>
            <w:r>
              <w:t>Bring compression service facilities that meet the reporting threshold within the scope of Part 18.</w:t>
            </w:r>
          </w:p>
          <w:p w14:paraId="6DFD7C66" w14:textId="77777777" w:rsidR="007E7443" w:rsidRPr="00977003" w:rsidRDefault="007E7443" w:rsidP="00AF235B">
            <w:pPr>
              <w:pStyle w:val="TableBodyText"/>
            </w:pPr>
            <w:r>
              <w:t>Require the operator of a BB compression facility to register with AEMO under Part 18.</w:t>
            </w:r>
          </w:p>
        </w:tc>
        <w:tc>
          <w:tcPr>
            <w:tcW w:w="1649" w:type="pct"/>
          </w:tcPr>
          <w:p w14:paraId="309A5136" w14:textId="77777777" w:rsidR="007E7443" w:rsidRPr="00977003" w:rsidRDefault="007E7443" w:rsidP="00D847C3">
            <w:pPr>
              <w:pStyle w:val="TableBodyText"/>
            </w:pPr>
            <w:r>
              <w:t>Refer to the table at section </w:t>
            </w:r>
            <w:r w:rsidR="00D847C3">
              <w:fldChar w:fldCharType="begin"/>
            </w:r>
            <w:r w:rsidR="00D847C3">
              <w:instrText xml:space="preserve"> REF _Ref37926563 \r \h </w:instrText>
            </w:r>
            <w:r w:rsidR="00D847C3">
              <w:fldChar w:fldCharType="separate"/>
            </w:r>
            <w:r w:rsidR="00844010">
              <w:t>8.2</w:t>
            </w:r>
            <w:r w:rsidR="00D847C3">
              <w:fldChar w:fldCharType="end"/>
            </w:r>
            <w:r>
              <w:t>.</w:t>
            </w:r>
          </w:p>
        </w:tc>
      </w:tr>
      <w:tr w:rsidR="007E7443" w:rsidRPr="00977003" w14:paraId="28C415AE" w14:textId="77777777" w:rsidTr="00323A97">
        <w:trPr>
          <w:cantSplit/>
        </w:trPr>
        <w:tc>
          <w:tcPr>
            <w:tcW w:w="1422" w:type="pct"/>
            <w:vMerge/>
          </w:tcPr>
          <w:p w14:paraId="1359C179" w14:textId="77777777" w:rsidR="007E7443" w:rsidRPr="009156A0" w:rsidRDefault="007E7443" w:rsidP="007E7443">
            <w:pPr>
              <w:pStyle w:val="TableBodyText"/>
            </w:pPr>
          </w:p>
        </w:tc>
        <w:tc>
          <w:tcPr>
            <w:tcW w:w="1929" w:type="pct"/>
          </w:tcPr>
          <w:p w14:paraId="755FF4D4" w14:textId="77777777" w:rsidR="007E7443" w:rsidRDefault="007E7443" w:rsidP="007E7443">
            <w:pPr>
              <w:pStyle w:val="TableBodyText"/>
            </w:pPr>
            <w:r>
              <w:t xml:space="preserve">Provide for the daily capacity and nameplate rating of a compression service facility to be defined by reference to </w:t>
            </w:r>
            <w:r w:rsidRPr="007E7443">
              <w:t>the quantity of natural gas that can be compressed by the compression service facility on a gas day</w:t>
            </w:r>
            <w:r>
              <w:t>.</w:t>
            </w:r>
          </w:p>
        </w:tc>
        <w:tc>
          <w:tcPr>
            <w:tcW w:w="1649" w:type="pct"/>
          </w:tcPr>
          <w:p w14:paraId="7D4059DB" w14:textId="77777777" w:rsidR="007E7443" w:rsidRDefault="007E7443" w:rsidP="007E7443">
            <w:pPr>
              <w:pStyle w:val="TableBodyText"/>
            </w:pPr>
            <w:r>
              <w:t>Amendments to the definition of ‘daily capacity’ in rule 141(1) and ‘nameplate rating’ in rule 141(2</w:t>
            </w:r>
            <w:proofErr w:type="gramStart"/>
            <w:r>
              <w:t>)(</w:t>
            </w:r>
            <w:proofErr w:type="gramEnd"/>
            <w:r>
              <w:t>a).</w:t>
            </w:r>
          </w:p>
        </w:tc>
      </w:tr>
      <w:tr w:rsidR="007E7443" w:rsidRPr="00977003" w14:paraId="40431FFB" w14:textId="77777777" w:rsidTr="007E7443">
        <w:trPr>
          <w:cantSplit/>
          <w:trHeight w:val="5541"/>
        </w:trPr>
        <w:tc>
          <w:tcPr>
            <w:tcW w:w="1422" w:type="pct"/>
            <w:vMerge/>
          </w:tcPr>
          <w:p w14:paraId="05807614" w14:textId="77777777" w:rsidR="007E7443" w:rsidRPr="009156A0" w:rsidRDefault="007E7443" w:rsidP="007E7443">
            <w:pPr>
              <w:pStyle w:val="TableBodyText"/>
            </w:pPr>
          </w:p>
        </w:tc>
        <w:tc>
          <w:tcPr>
            <w:tcW w:w="1929" w:type="pct"/>
          </w:tcPr>
          <w:p w14:paraId="2C3E83C8" w14:textId="77777777" w:rsidR="007E7443" w:rsidRDefault="007E7443" w:rsidP="007E7443">
            <w:pPr>
              <w:pStyle w:val="TableBodyText"/>
            </w:pPr>
            <w:r>
              <w:t xml:space="preserve">Amend the provisions describing information to be provided in relation to BB facilities in Division 5, to the extent required to deal with BB compression facilities separately from other facilities and to </w:t>
            </w:r>
            <w:r w:rsidR="00454807">
              <w:t xml:space="preserve">require </w:t>
            </w:r>
            <w:r>
              <w:t>these to report:</w:t>
            </w:r>
          </w:p>
          <w:p w14:paraId="75525111" w14:textId="77777777" w:rsidR="007E7443" w:rsidRDefault="00454807" w:rsidP="007E7443">
            <w:pPr>
              <w:pStyle w:val="Newtablebullet"/>
            </w:pPr>
            <w:r>
              <w:t>nameplate rating information</w:t>
            </w:r>
            <w:r w:rsidR="00D847C3">
              <w:t>;</w:t>
            </w:r>
          </w:p>
          <w:p w14:paraId="71FCE8F7" w14:textId="77777777" w:rsidR="007E7443" w:rsidRDefault="00454807" w:rsidP="007E7443">
            <w:pPr>
              <w:pStyle w:val="Newtablebullet"/>
            </w:pPr>
            <w:r>
              <w:t>detailed facility information</w:t>
            </w:r>
            <w:r w:rsidR="00D847C3">
              <w:t>;</w:t>
            </w:r>
          </w:p>
          <w:p w14:paraId="0E824C3C" w14:textId="77777777" w:rsidR="007E7443" w:rsidRDefault="007E7443" w:rsidP="007E7443">
            <w:pPr>
              <w:pStyle w:val="Newtablebullet"/>
            </w:pPr>
            <w:r>
              <w:t>primary compression cap</w:t>
            </w:r>
            <w:r w:rsidR="00454807">
              <w:t>acity</w:t>
            </w:r>
            <w:r w:rsidR="00D847C3">
              <w:t>;</w:t>
            </w:r>
          </w:p>
          <w:p w14:paraId="37B3610E" w14:textId="77777777" w:rsidR="007E7443" w:rsidRDefault="007E7443" w:rsidP="007E7443">
            <w:pPr>
              <w:pStyle w:val="Newtablebullet"/>
            </w:pPr>
            <w:r>
              <w:t xml:space="preserve">short term capacity </w:t>
            </w:r>
            <w:r w:rsidRPr="007E7443">
              <w:t>outlooks</w:t>
            </w:r>
            <w:r w:rsidR="00D847C3">
              <w:t>;</w:t>
            </w:r>
          </w:p>
          <w:p w14:paraId="779F25F5" w14:textId="77777777" w:rsidR="007E7443" w:rsidRDefault="00454807" w:rsidP="007E7443">
            <w:pPr>
              <w:pStyle w:val="Newtablebullet"/>
            </w:pPr>
            <w:proofErr w:type="spellStart"/>
            <w:r>
              <w:t>linepack</w:t>
            </w:r>
            <w:proofErr w:type="spellEnd"/>
            <w:r>
              <w:t xml:space="preserve"> adequacy indicators</w:t>
            </w:r>
            <w:r w:rsidR="00D847C3">
              <w:t>;</w:t>
            </w:r>
          </w:p>
          <w:p w14:paraId="2F8019F9" w14:textId="77777777" w:rsidR="007E7443" w:rsidRDefault="00454807" w:rsidP="007E7443">
            <w:pPr>
              <w:pStyle w:val="Newtablebullet"/>
            </w:pPr>
            <w:r>
              <w:t>medium term capacity outlooks</w:t>
            </w:r>
            <w:r w:rsidR="00D847C3">
              <w:t>;</w:t>
            </w:r>
          </w:p>
          <w:p w14:paraId="60712392" w14:textId="77777777" w:rsidR="007E7443" w:rsidRDefault="007E7443" w:rsidP="007E7443">
            <w:pPr>
              <w:pStyle w:val="Newtablebullet"/>
            </w:pPr>
            <w:r>
              <w:t>nominat</w:t>
            </w:r>
            <w:r w:rsidR="00454807">
              <w:t>ed and forecast use information</w:t>
            </w:r>
            <w:r w:rsidR="00D847C3">
              <w:t>; and</w:t>
            </w:r>
          </w:p>
          <w:p w14:paraId="6F6E8821" w14:textId="77777777" w:rsidR="007E7443" w:rsidRDefault="007E7443" w:rsidP="007E7443">
            <w:pPr>
              <w:pStyle w:val="Newtablebullet"/>
            </w:pPr>
            <w:proofErr w:type="gramStart"/>
            <w:r>
              <w:t>daily</w:t>
            </w:r>
            <w:proofErr w:type="gramEnd"/>
            <w:r>
              <w:t xml:space="preserve"> production data.</w:t>
            </w:r>
          </w:p>
        </w:tc>
        <w:tc>
          <w:tcPr>
            <w:tcW w:w="1649" w:type="pct"/>
          </w:tcPr>
          <w:p w14:paraId="7E694FFF" w14:textId="77777777" w:rsidR="007E7443" w:rsidRDefault="007E7443" w:rsidP="007E7443">
            <w:pPr>
              <w:pStyle w:val="TableBodyText"/>
            </w:pPr>
            <w:r>
              <w:t>Nameplate rating information:  Include new rule 168(2B), and amendments to the definition of ‘daily capacity’ in rule 141(1) and ‘nameplate rating’ in rule 141(2</w:t>
            </w:r>
            <w:proofErr w:type="gramStart"/>
            <w:r>
              <w:t>)(</w:t>
            </w:r>
            <w:proofErr w:type="gramEnd"/>
            <w:r>
              <w:t>e).</w:t>
            </w:r>
          </w:p>
          <w:p w14:paraId="292EED23" w14:textId="77777777" w:rsidR="007E7443" w:rsidRDefault="007E7443" w:rsidP="007E7443">
            <w:pPr>
              <w:pStyle w:val="TableBodyText"/>
            </w:pPr>
            <w:r>
              <w:t>Detailed facility information: Amend rule 169(4</w:t>
            </w:r>
            <w:proofErr w:type="gramStart"/>
            <w:r>
              <w:t>)(</w:t>
            </w:r>
            <w:proofErr w:type="gramEnd"/>
            <w:r>
              <w:t>b).</w:t>
            </w:r>
          </w:p>
          <w:p w14:paraId="084C292A" w14:textId="77777777" w:rsidR="007E7443" w:rsidRDefault="007E7443" w:rsidP="007E7443">
            <w:pPr>
              <w:pStyle w:val="TableBodyText"/>
            </w:pPr>
            <w:r>
              <w:t xml:space="preserve">Primary compression capacity: </w:t>
            </w:r>
            <w:r w:rsidR="00454807">
              <w:t xml:space="preserve">Include primary compression capacity in the new definition of ‘primary capacity’ and require reporting under amended rule </w:t>
            </w:r>
            <w:r>
              <w:t>17</w:t>
            </w:r>
            <w:r w:rsidR="00454807">
              <w:t>2</w:t>
            </w:r>
            <w:r>
              <w:t>.</w:t>
            </w:r>
          </w:p>
          <w:p w14:paraId="6CD3F4BD" w14:textId="77777777" w:rsidR="007E7443" w:rsidRDefault="007E7443" w:rsidP="007E7443">
            <w:pPr>
              <w:pStyle w:val="TableBodyText"/>
            </w:pPr>
            <w:r>
              <w:t>Secondary trade data: Amend rule 174(1) and the new definition of ‘secondary compression facility’.</w:t>
            </w:r>
          </w:p>
          <w:p w14:paraId="1A60F79D" w14:textId="77777777" w:rsidR="007E7443" w:rsidRDefault="007E7443" w:rsidP="007E7443">
            <w:pPr>
              <w:pStyle w:val="TableBodyText"/>
            </w:pPr>
            <w:r>
              <w:t>Short term capacity outlook: No change required to rule 178 to extend it to BB compression facilities.</w:t>
            </w:r>
          </w:p>
          <w:p w14:paraId="15080CBE" w14:textId="77777777" w:rsidR="007E7443" w:rsidRDefault="007E7443" w:rsidP="007E7443">
            <w:pPr>
              <w:pStyle w:val="TableBodyText"/>
            </w:pPr>
            <w:proofErr w:type="spellStart"/>
            <w:r>
              <w:t>Linepack</w:t>
            </w:r>
            <w:proofErr w:type="spellEnd"/>
            <w:r>
              <w:t xml:space="preserve"> adequacy indicator for all BB compression facilities: Amend ‘LCA flag’ and insert a new rule 180.</w:t>
            </w:r>
          </w:p>
          <w:p w14:paraId="70DD8C2B" w14:textId="77777777" w:rsidR="007E7443" w:rsidRDefault="007E7443" w:rsidP="007E7443">
            <w:pPr>
              <w:pStyle w:val="TableBodyText"/>
            </w:pPr>
            <w:r>
              <w:t>Medium term capacity outlook: No change required to rule 181 to extend it to BB compression facilities</w:t>
            </w:r>
            <w:r w:rsidR="008411CF">
              <w:t xml:space="preserve"> other than allowing the time for submission to be specified in the BB Procedures where facilities do not provide updates to shippers</w:t>
            </w:r>
            <w:r>
              <w:t>.</w:t>
            </w:r>
          </w:p>
          <w:p w14:paraId="7E5741D5" w14:textId="77777777" w:rsidR="007E7443" w:rsidRDefault="007E7443" w:rsidP="007E7443">
            <w:pPr>
              <w:pStyle w:val="TableBodyText"/>
            </w:pPr>
            <w:r>
              <w:t>Nominated and forecast use of compression facilities: Insert new rule 184.</w:t>
            </w:r>
          </w:p>
          <w:p w14:paraId="74857E17" w14:textId="77777777" w:rsidR="00FA6980" w:rsidRDefault="007E7443" w:rsidP="00101C0C">
            <w:pPr>
              <w:pStyle w:val="TableBodyText"/>
            </w:pPr>
            <w:r>
              <w:t>Daily production and storage data: Include a reference to BB compression facilities in rule 188(1), and amend the definition of ‘daily production data’.</w:t>
            </w:r>
          </w:p>
        </w:tc>
      </w:tr>
    </w:tbl>
    <w:p w14:paraId="6A2EC21D" w14:textId="77777777" w:rsidR="009156A0" w:rsidRPr="00E314C9" w:rsidRDefault="009156A0" w:rsidP="00E314C9">
      <w:pPr>
        <w:pStyle w:val="Heading2"/>
      </w:pPr>
      <w:bookmarkStart w:id="114" w:name="_Ref36744555"/>
      <w:bookmarkStart w:id="115" w:name="_Toc45015296"/>
      <w:r w:rsidRPr="00E314C9">
        <w:lastRenderedPageBreak/>
        <w:t>36-month uncontracted capacity outlooks – production facilities</w:t>
      </w:r>
      <w:bookmarkEnd w:id="114"/>
      <w:bookmarkEnd w:id="115"/>
    </w:p>
    <w:tbl>
      <w:tblPr>
        <w:tblStyle w:val="ACCCTable11"/>
        <w:tblW w:w="5000" w:type="pct"/>
        <w:tblLayout w:type="fixed"/>
        <w:tblLook w:val="06A0" w:firstRow="1" w:lastRow="0" w:firstColumn="1" w:lastColumn="0" w:noHBand="1" w:noVBand="1"/>
      </w:tblPr>
      <w:tblGrid>
        <w:gridCol w:w="3970"/>
        <w:gridCol w:w="5243"/>
        <w:gridCol w:w="4746"/>
      </w:tblGrid>
      <w:tr w:rsidR="009156A0" w:rsidRPr="002F7121" w14:paraId="3CED7373"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bottom w:val="single" w:sz="4" w:space="0" w:color="auto"/>
            </w:tcBorders>
            <w:shd w:val="clear" w:color="auto" w:fill="005595"/>
          </w:tcPr>
          <w:p w14:paraId="1ED9BBE3" w14:textId="77777777" w:rsidR="009156A0" w:rsidRDefault="00440252" w:rsidP="00187103">
            <w:pPr>
              <w:spacing w:before="20"/>
              <w:rPr>
                <w:rFonts w:cs="Arial"/>
              </w:rPr>
            </w:pPr>
            <w:r>
              <w:rPr>
                <w:rFonts w:cs="Arial"/>
              </w:rPr>
              <w:t>Endorsed</w:t>
            </w:r>
            <w:r w:rsidR="00AD7935">
              <w:rPr>
                <w:rFonts w:cs="Arial"/>
              </w:rPr>
              <w:t xml:space="preserve"> measure</w:t>
            </w:r>
          </w:p>
        </w:tc>
        <w:tc>
          <w:tcPr>
            <w:tcW w:w="1878" w:type="pct"/>
            <w:tcBorders>
              <w:bottom w:val="single" w:sz="4" w:space="0" w:color="auto"/>
            </w:tcBorders>
            <w:shd w:val="clear" w:color="auto" w:fill="005595"/>
            <w:hideMark/>
          </w:tcPr>
          <w:p w14:paraId="2209B5C7" w14:textId="77777777" w:rsidR="009156A0" w:rsidRPr="002F7121" w:rsidRDefault="009156A0" w:rsidP="00187103">
            <w:pPr>
              <w:spacing w:before="20"/>
              <w:rPr>
                <w:rFonts w:cs="Arial"/>
              </w:rPr>
            </w:pPr>
            <w:r>
              <w:rPr>
                <w:rFonts w:cs="Arial"/>
              </w:rPr>
              <w:t>Proposed approach to implementation</w:t>
            </w:r>
          </w:p>
        </w:tc>
        <w:tc>
          <w:tcPr>
            <w:tcW w:w="1700" w:type="pct"/>
            <w:tcBorders>
              <w:bottom w:val="single" w:sz="4" w:space="0" w:color="auto"/>
            </w:tcBorders>
            <w:shd w:val="clear" w:color="auto" w:fill="005595"/>
            <w:hideMark/>
          </w:tcPr>
          <w:p w14:paraId="698F639D" w14:textId="77777777" w:rsidR="009156A0" w:rsidRPr="002F7121" w:rsidRDefault="0014087B" w:rsidP="00187103">
            <w:pPr>
              <w:spacing w:before="20"/>
              <w:rPr>
                <w:rFonts w:cs="Arial"/>
              </w:rPr>
            </w:pPr>
            <w:r>
              <w:rPr>
                <w:rFonts w:cs="Arial"/>
              </w:rPr>
              <w:t>Proposed amendments</w:t>
            </w:r>
            <w:r w:rsidR="009156A0">
              <w:rPr>
                <w:rFonts w:cs="Arial"/>
              </w:rPr>
              <w:t xml:space="preserve"> in </w:t>
            </w:r>
            <w:r w:rsidR="009156A0" w:rsidRPr="002F7121">
              <w:rPr>
                <w:rFonts w:cs="Arial"/>
              </w:rPr>
              <w:t>Part 18</w:t>
            </w:r>
          </w:p>
        </w:tc>
      </w:tr>
      <w:tr w:rsidR="007E7443" w:rsidRPr="00977003" w14:paraId="54AFEDDA" w14:textId="77777777" w:rsidTr="007E7443">
        <w:trPr>
          <w:cantSplit/>
          <w:trHeight w:val="1736"/>
        </w:trPr>
        <w:tc>
          <w:tcPr>
            <w:tcW w:w="1422" w:type="pct"/>
          </w:tcPr>
          <w:p w14:paraId="7C72CE74" w14:textId="77777777" w:rsidR="007E7443" w:rsidRPr="00187E44" w:rsidRDefault="007E7443" w:rsidP="00187E44">
            <w:pPr>
              <w:pStyle w:val="TableBodyText"/>
            </w:pPr>
            <w:r w:rsidRPr="00187E44">
              <w:t>Production facilities (excluding the NT facilities that have an exemption under rule 143A) to report a 36-month uncontracted capacity outlook.</w:t>
            </w:r>
          </w:p>
        </w:tc>
        <w:tc>
          <w:tcPr>
            <w:tcW w:w="1878" w:type="pct"/>
          </w:tcPr>
          <w:p w14:paraId="5B672383" w14:textId="77777777" w:rsidR="001B4015" w:rsidRPr="00187E44" w:rsidRDefault="007E7443" w:rsidP="00187E44">
            <w:pPr>
              <w:pStyle w:val="TableBodyText"/>
            </w:pPr>
            <w:r w:rsidRPr="00187E44">
              <w:t>Provide for 36-month outlook of uncontracted capacity in relation to BB production facilities</w:t>
            </w:r>
            <w:r w:rsidR="00756A01" w:rsidRPr="00187E44">
              <w:t>.</w:t>
            </w:r>
            <w:r w:rsidR="00507356" w:rsidRPr="00187E44">
              <w:t xml:space="preserve"> </w:t>
            </w:r>
          </w:p>
          <w:p w14:paraId="1ECA3DAC" w14:textId="77777777" w:rsidR="007E7443" w:rsidRPr="00187E44" w:rsidRDefault="001B4015" w:rsidP="00187E44">
            <w:pPr>
              <w:pStyle w:val="TableBodyText"/>
            </w:pPr>
            <w:r w:rsidRPr="00187E44">
              <w:t>Note that the term ‘uncontracted capacity’ is defined as primary capacity that the facility operator has available for sale or will have available for sale</w:t>
            </w:r>
            <w:r w:rsidR="00FF11E1" w:rsidRPr="00187E44">
              <w:t>,</w:t>
            </w:r>
            <w:r w:rsidRPr="00187E44">
              <w:t xml:space="preserve"> </w:t>
            </w:r>
            <w:r w:rsidR="00FF11E1" w:rsidRPr="00187E44">
              <w:t>s</w:t>
            </w:r>
            <w:r w:rsidRPr="00187E44">
              <w:t xml:space="preserve">o for those </w:t>
            </w:r>
            <w:r w:rsidR="00507356" w:rsidRPr="00187E44">
              <w:t>production facilit</w:t>
            </w:r>
            <w:r w:rsidRPr="00187E44">
              <w:t xml:space="preserve">ies that are not providing third party access, </w:t>
            </w:r>
            <w:r w:rsidR="00FF11E1" w:rsidRPr="00187E44">
              <w:t xml:space="preserve">the uncontracted capacity will be reported as zero. </w:t>
            </w:r>
          </w:p>
          <w:p w14:paraId="4FACA43C" w14:textId="304DF17D" w:rsidR="007E7443" w:rsidRPr="00187E44" w:rsidRDefault="007E7443" w:rsidP="00496477">
            <w:pPr>
              <w:pStyle w:val="TableBodyText"/>
            </w:pPr>
            <w:r w:rsidRPr="00187E44">
              <w:t xml:space="preserve">BB facilities upstream of a WPP connection point are exempt from registration under Part 18 (unless a BB application notice is </w:t>
            </w:r>
            <w:r w:rsidR="00496477">
              <w:t>issued</w:t>
            </w:r>
            <w:r w:rsidRPr="00187E44">
              <w:t xml:space="preserve">) under existing rule </w:t>
            </w:r>
            <w:proofErr w:type="gramStart"/>
            <w:r w:rsidRPr="00187E44">
              <w:t>143A(</w:t>
            </w:r>
            <w:proofErr w:type="gramEnd"/>
            <w:r w:rsidRPr="00187E44">
              <w:t xml:space="preserve">2). This would </w:t>
            </w:r>
            <w:r w:rsidR="005718FE" w:rsidRPr="00187E44">
              <w:t xml:space="preserve">extend to the </w:t>
            </w:r>
            <w:r w:rsidRPr="00187E44">
              <w:t>gas processing element of an exempt NT LNG facility.</w:t>
            </w:r>
          </w:p>
        </w:tc>
        <w:tc>
          <w:tcPr>
            <w:tcW w:w="1700" w:type="pct"/>
          </w:tcPr>
          <w:p w14:paraId="2D2566D8" w14:textId="77777777" w:rsidR="00454807" w:rsidRPr="00187E44" w:rsidRDefault="00454807" w:rsidP="00187E44">
            <w:pPr>
              <w:pStyle w:val="TableBodyText"/>
            </w:pPr>
            <w:r w:rsidRPr="00187E44">
              <w:t>A new definition of ‘uncontracted primary capacity’ extends to uncontracted primary production capacity.</w:t>
            </w:r>
          </w:p>
          <w:p w14:paraId="0EE7262B" w14:textId="77777777" w:rsidR="007E7443" w:rsidRPr="00187E44" w:rsidRDefault="00454807" w:rsidP="00187E44">
            <w:pPr>
              <w:pStyle w:val="TableBodyText"/>
            </w:pPr>
            <w:r w:rsidRPr="00187E44">
              <w:t xml:space="preserve">Rule 175 </w:t>
            </w:r>
            <w:r w:rsidR="00D847C3" w:rsidRPr="00187E44">
              <w:t>would be</w:t>
            </w:r>
            <w:r w:rsidRPr="00187E44">
              <w:t xml:space="preserve"> amended to cover all 36-month uncontracted primary capacity outlooks.</w:t>
            </w:r>
          </w:p>
        </w:tc>
      </w:tr>
    </w:tbl>
    <w:p w14:paraId="7C44A0CE" w14:textId="77777777" w:rsidR="00526C5C" w:rsidRPr="00E314C9" w:rsidRDefault="00526C5C" w:rsidP="00E314C9">
      <w:pPr>
        <w:pStyle w:val="Heading2"/>
      </w:pPr>
      <w:bookmarkStart w:id="116" w:name="_Toc4502377"/>
      <w:bookmarkStart w:id="117" w:name="_Toc45015297"/>
      <w:bookmarkEnd w:id="116"/>
      <w:r w:rsidRPr="00E314C9">
        <w:t>Materiality threshold</w:t>
      </w:r>
      <w:bookmarkEnd w:id="117"/>
    </w:p>
    <w:tbl>
      <w:tblPr>
        <w:tblStyle w:val="ACCCTable11"/>
        <w:tblW w:w="5000" w:type="pct"/>
        <w:tblLayout w:type="fixed"/>
        <w:tblLook w:val="06A0" w:firstRow="1" w:lastRow="0" w:firstColumn="1" w:lastColumn="0" w:noHBand="1" w:noVBand="1"/>
      </w:tblPr>
      <w:tblGrid>
        <w:gridCol w:w="3970"/>
        <w:gridCol w:w="5385"/>
        <w:gridCol w:w="4604"/>
      </w:tblGrid>
      <w:tr w:rsidR="00526C5C" w:rsidRPr="002F7121" w14:paraId="31175D76"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bottom w:val="single" w:sz="4" w:space="0" w:color="auto"/>
            </w:tcBorders>
            <w:shd w:val="clear" w:color="auto" w:fill="005595"/>
          </w:tcPr>
          <w:p w14:paraId="6FD9EC27" w14:textId="77777777" w:rsidR="00526C5C"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164594F9" w14:textId="77777777" w:rsidR="00526C5C" w:rsidRPr="002F7121" w:rsidRDefault="00526C5C" w:rsidP="00187103">
            <w:pPr>
              <w:spacing w:before="20"/>
              <w:rPr>
                <w:rFonts w:cs="Arial"/>
              </w:rPr>
            </w:pPr>
            <w:r>
              <w:rPr>
                <w:rFonts w:cs="Arial"/>
              </w:rPr>
              <w:t>Proposed approach to implementation</w:t>
            </w:r>
          </w:p>
        </w:tc>
        <w:tc>
          <w:tcPr>
            <w:tcW w:w="1649" w:type="pct"/>
            <w:tcBorders>
              <w:bottom w:val="single" w:sz="4" w:space="0" w:color="auto"/>
            </w:tcBorders>
            <w:shd w:val="clear" w:color="auto" w:fill="005595"/>
            <w:hideMark/>
          </w:tcPr>
          <w:p w14:paraId="0670D13A" w14:textId="77777777" w:rsidR="00526C5C" w:rsidRPr="002F7121" w:rsidRDefault="0014087B" w:rsidP="00187103">
            <w:pPr>
              <w:spacing w:before="20"/>
              <w:rPr>
                <w:rFonts w:cs="Arial"/>
              </w:rPr>
            </w:pPr>
            <w:r>
              <w:rPr>
                <w:rFonts w:cs="Arial"/>
              </w:rPr>
              <w:t>Proposed amendments</w:t>
            </w:r>
            <w:r w:rsidR="00526C5C">
              <w:rPr>
                <w:rFonts w:cs="Arial"/>
              </w:rPr>
              <w:t xml:space="preserve"> in </w:t>
            </w:r>
            <w:r w:rsidR="00526C5C" w:rsidRPr="002F7121">
              <w:rPr>
                <w:rFonts w:cs="Arial"/>
              </w:rPr>
              <w:t>Part 18</w:t>
            </w:r>
          </w:p>
        </w:tc>
      </w:tr>
      <w:tr w:rsidR="006212A9" w:rsidRPr="00977003" w14:paraId="4B92F9AA" w14:textId="77777777" w:rsidTr="00323A97">
        <w:trPr>
          <w:cantSplit/>
        </w:trPr>
        <w:tc>
          <w:tcPr>
            <w:tcW w:w="1422" w:type="pct"/>
            <w:vMerge w:val="restart"/>
          </w:tcPr>
          <w:p w14:paraId="686944F7" w14:textId="77777777" w:rsidR="006212A9" w:rsidRPr="00187E44" w:rsidRDefault="006212A9" w:rsidP="00187E44">
            <w:pPr>
              <w:pStyle w:val="TableBodyText"/>
            </w:pPr>
            <w:r w:rsidRPr="00187E44">
              <w:t>Materiality threshold used for the reporting of intra-day changes on the BB to be changed to the maximum of A and B, where A is the minimum of 30 TJ and 10% of nameplate capacity and B is 5 TJ.</w:t>
            </w:r>
          </w:p>
        </w:tc>
        <w:tc>
          <w:tcPr>
            <w:tcW w:w="1929" w:type="pct"/>
          </w:tcPr>
          <w:p w14:paraId="2987B46A" w14:textId="77777777" w:rsidR="006212A9" w:rsidRPr="00187E44" w:rsidRDefault="006212A9" w:rsidP="00187E44">
            <w:pPr>
              <w:pStyle w:val="TableBodyText"/>
            </w:pPr>
            <w:r w:rsidRPr="00187E44">
              <w:t>Amend the definition.</w:t>
            </w:r>
          </w:p>
        </w:tc>
        <w:tc>
          <w:tcPr>
            <w:tcW w:w="1649" w:type="pct"/>
          </w:tcPr>
          <w:p w14:paraId="56210393" w14:textId="77777777" w:rsidR="006212A9" w:rsidRPr="00187E44" w:rsidRDefault="006212A9" w:rsidP="006212A9">
            <w:pPr>
              <w:pStyle w:val="TableBodyText"/>
            </w:pPr>
            <w:r w:rsidRPr="00187E44">
              <w:t>Amend paragraphs (c) and (d) of the definition of ‘material change’ in rule 141(1).</w:t>
            </w:r>
          </w:p>
        </w:tc>
      </w:tr>
      <w:tr w:rsidR="006212A9" w:rsidRPr="00977003" w14:paraId="69E1E753" w14:textId="77777777" w:rsidTr="00323A97">
        <w:trPr>
          <w:cantSplit/>
        </w:trPr>
        <w:tc>
          <w:tcPr>
            <w:tcW w:w="1422" w:type="pct"/>
            <w:vMerge/>
          </w:tcPr>
          <w:p w14:paraId="6080D1BD" w14:textId="77777777" w:rsidR="006212A9" w:rsidRPr="00187E44" w:rsidRDefault="006212A9" w:rsidP="00187E44">
            <w:pPr>
              <w:pStyle w:val="TableBodyText"/>
            </w:pPr>
          </w:p>
        </w:tc>
        <w:tc>
          <w:tcPr>
            <w:tcW w:w="1929" w:type="pct"/>
          </w:tcPr>
          <w:p w14:paraId="48FB177A" w14:textId="77777777" w:rsidR="006212A9" w:rsidRPr="00187E44" w:rsidRDefault="006212A9" w:rsidP="00180008">
            <w:pPr>
              <w:pStyle w:val="TableBodyText"/>
            </w:pPr>
            <w:r>
              <w:t>Amend the use of the materiality threshold in rule 168 so that it triggers an obligation to update nameplate rating information</w:t>
            </w:r>
            <w:r w:rsidR="00180008">
              <w:t xml:space="preserve">. Other </w:t>
            </w:r>
            <w:r>
              <w:t>information unde</w:t>
            </w:r>
            <w:r w:rsidR="00180008">
              <w:t>r that rule which would be subject to the accuracy trigger</w:t>
            </w:r>
            <w:r>
              <w:t>.</w:t>
            </w:r>
          </w:p>
        </w:tc>
        <w:tc>
          <w:tcPr>
            <w:tcW w:w="1649" w:type="pct"/>
          </w:tcPr>
          <w:p w14:paraId="63C078A9" w14:textId="77777777" w:rsidR="006212A9" w:rsidRPr="00187E44" w:rsidRDefault="006212A9" w:rsidP="006212A9">
            <w:pPr>
              <w:pStyle w:val="TableBodyText"/>
            </w:pPr>
            <w:r>
              <w:t>Amend rule 168(4) and delete rule 168(5).</w:t>
            </w:r>
          </w:p>
        </w:tc>
      </w:tr>
    </w:tbl>
    <w:p w14:paraId="1A7445A1" w14:textId="77777777" w:rsidR="00E54CFE" w:rsidRDefault="00E54CFE" w:rsidP="00E54CFE">
      <w:pPr>
        <w:pStyle w:val="BodyText"/>
      </w:pPr>
      <w:r>
        <w:br w:type="page"/>
      </w:r>
    </w:p>
    <w:p w14:paraId="799FE93B" w14:textId="77777777" w:rsidR="00101C0C" w:rsidRDefault="00101C0C" w:rsidP="00E54CFE">
      <w:pPr>
        <w:pStyle w:val="Heading2"/>
      </w:pPr>
      <w:bookmarkStart w:id="118" w:name="_Ref42241048"/>
      <w:bookmarkStart w:id="119" w:name="_Toc45015298"/>
      <w:r>
        <w:lastRenderedPageBreak/>
        <w:t xml:space="preserve">Policy Clarification – Facility Operators reporting of </w:t>
      </w:r>
      <w:r w:rsidR="00CF640C">
        <w:t xml:space="preserve">nominations and </w:t>
      </w:r>
      <w:r>
        <w:t>forecast nominations</w:t>
      </w:r>
      <w:bookmarkEnd w:id="118"/>
      <w:bookmarkEnd w:id="119"/>
    </w:p>
    <w:p w14:paraId="06C38209" w14:textId="77777777" w:rsidR="00101C0C" w:rsidRPr="00D02C4F" w:rsidRDefault="00101C0C" w:rsidP="00F87105">
      <w:pPr>
        <w:spacing w:before="120"/>
      </w:pPr>
      <w:r>
        <w:t xml:space="preserve">Since the DRIS was published, </w:t>
      </w:r>
      <w:r w:rsidR="00A31F64">
        <w:t xml:space="preserve">it has become clear that </w:t>
      </w:r>
      <w:r>
        <w:t>some facilities are not providing third party access where the user does not make nominations to the facility operator</w:t>
      </w:r>
      <w:r w:rsidR="00A31F64">
        <w:t xml:space="preserve"> (i.e. </w:t>
      </w:r>
      <w:r>
        <w:t>because they are one and the same person</w:t>
      </w:r>
      <w:r w:rsidR="00A31F64">
        <w:t>)</w:t>
      </w:r>
      <w:r>
        <w:t xml:space="preserve">. </w:t>
      </w:r>
      <w:r w:rsidR="00A31F64">
        <w:t>T</w:t>
      </w:r>
      <w:r>
        <w:t xml:space="preserve">his has </w:t>
      </w:r>
      <w:r w:rsidR="00A31F64">
        <w:t xml:space="preserve">reportedly </w:t>
      </w:r>
      <w:r>
        <w:t xml:space="preserve">resulted in no information on the forecast use of </w:t>
      </w:r>
      <w:r w:rsidR="00A31F64">
        <w:t xml:space="preserve">some </w:t>
      </w:r>
      <w:r>
        <w:t>facilities being reported</w:t>
      </w:r>
      <w:r w:rsidRPr="00D02C4F">
        <w:t>, even though the facilities are being used</w:t>
      </w:r>
      <w:r w:rsidR="00E54CFE">
        <w:t>, which is inconsistent with the intent of these BB provisions</w:t>
      </w:r>
      <w:r w:rsidR="00A31F64">
        <w:t>.</w:t>
      </w:r>
    </w:p>
    <w:p w14:paraId="156041A7" w14:textId="77777777" w:rsidR="00E54CFE" w:rsidRPr="00560069" w:rsidRDefault="00A31F64" w:rsidP="00E54CFE">
      <w:pPr>
        <w:pStyle w:val="BodyText"/>
      </w:pPr>
      <w:r>
        <w:t xml:space="preserve">To address this gap, </w:t>
      </w:r>
      <w:r w:rsidR="00565254">
        <w:t xml:space="preserve">the rules </w:t>
      </w:r>
      <w:r w:rsidR="00E3632E">
        <w:t xml:space="preserve">relating to nominated and forecast use of </w:t>
      </w:r>
      <w:r w:rsidR="0067142B">
        <w:t xml:space="preserve">storage, pipeline, production and LNG import facilities </w:t>
      </w:r>
      <w:r w:rsidR="00565254">
        <w:t xml:space="preserve">have been </w:t>
      </w:r>
      <w:r w:rsidR="0067142B">
        <w:t xml:space="preserve">clarified </w:t>
      </w:r>
      <w:r w:rsidR="00565254">
        <w:t xml:space="preserve">to require </w:t>
      </w:r>
      <w:r w:rsidR="00101C0C" w:rsidRPr="006F4514">
        <w:t>fa</w:t>
      </w:r>
      <w:r w:rsidR="00101C0C">
        <w:t xml:space="preserve">cility operators </w:t>
      </w:r>
      <w:r w:rsidR="00565254">
        <w:t xml:space="preserve">to </w:t>
      </w:r>
      <w:r w:rsidR="00101C0C">
        <w:t xml:space="preserve">report </w:t>
      </w:r>
      <w:r w:rsidR="00651A4A">
        <w:t xml:space="preserve">either the </w:t>
      </w:r>
      <w:r w:rsidR="003B5BC0">
        <w:t xml:space="preserve">nominations </w:t>
      </w:r>
      <w:r w:rsidR="00040142">
        <w:t xml:space="preserve">for gas day D and forecast nominations for gas day D+1 to D+6 </w:t>
      </w:r>
      <w:r w:rsidR="00E3632E">
        <w:t>provided by BB shippers</w:t>
      </w:r>
      <w:r w:rsidR="00040142">
        <w:t>,</w:t>
      </w:r>
      <w:r w:rsidR="00E3632E">
        <w:t xml:space="preserve"> </w:t>
      </w:r>
      <w:r w:rsidR="0067142B">
        <w:t xml:space="preserve">or their </w:t>
      </w:r>
      <w:r w:rsidR="00B261CC">
        <w:t xml:space="preserve">own </w:t>
      </w:r>
      <w:r w:rsidR="00BB3462">
        <w:t xml:space="preserve">forecast </w:t>
      </w:r>
      <w:r w:rsidR="00040142">
        <w:t xml:space="preserve">for these gas days </w:t>
      </w:r>
      <w:r w:rsidR="00B261CC">
        <w:t xml:space="preserve">where that information is </w:t>
      </w:r>
      <w:r w:rsidR="00040142">
        <w:t xml:space="preserve">not </w:t>
      </w:r>
      <w:r w:rsidR="00101C0C" w:rsidRPr="006F4514">
        <w:t xml:space="preserve">provided by the </w:t>
      </w:r>
      <w:r w:rsidR="00B261CC">
        <w:t xml:space="preserve">BB </w:t>
      </w:r>
      <w:r w:rsidR="00101C0C" w:rsidRPr="006F4514">
        <w:t xml:space="preserve">shippers. </w:t>
      </w:r>
      <w:r w:rsidR="00101C0C">
        <w:t>A</w:t>
      </w:r>
      <w:r w:rsidR="00101C0C" w:rsidRPr="006F4514">
        <w:t xml:space="preserve">n equivalent obligation already applies to compression facility operators, so it is </w:t>
      </w:r>
      <w:r w:rsidR="00101C0C">
        <w:t>proposed to extend this</w:t>
      </w:r>
      <w:r w:rsidR="00101C0C" w:rsidRPr="006F4514">
        <w:t xml:space="preserve"> obligation to </w:t>
      </w:r>
      <w:r w:rsidR="00101C0C">
        <w:t>cover</w:t>
      </w:r>
      <w:r w:rsidR="00101C0C" w:rsidRPr="006F4514">
        <w:t xml:space="preserve"> storage, pipel</w:t>
      </w:r>
      <w:r w:rsidR="00101C0C">
        <w:t xml:space="preserve">ine and production facilities. </w:t>
      </w:r>
      <w:r w:rsidR="00E54CFE">
        <w:t xml:space="preserve">The table in section </w:t>
      </w:r>
      <w:r w:rsidR="00E54CFE">
        <w:fldChar w:fldCharType="begin"/>
      </w:r>
      <w:r w:rsidR="00E54CFE">
        <w:instrText xml:space="preserve"> REF _Ref41655331 \r \h </w:instrText>
      </w:r>
      <w:r w:rsidR="00E54CFE">
        <w:fldChar w:fldCharType="separate"/>
      </w:r>
      <w:r w:rsidR="00844010">
        <w:t>11</w:t>
      </w:r>
      <w:r w:rsidR="00E54CFE">
        <w:fldChar w:fldCharType="end"/>
      </w:r>
      <w:r w:rsidR="00E54CFE">
        <w:t xml:space="preserve"> provides more information about how this change will be implemented.</w:t>
      </w:r>
    </w:p>
    <w:p w14:paraId="28C367DB" w14:textId="77777777" w:rsidR="00CF640C" w:rsidRPr="007D1E71" w:rsidRDefault="00CF640C" w:rsidP="00CF640C">
      <w:r>
        <w:t xml:space="preserve">If you would like to provide feedback on this issue, please respond in the template provided in </w:t>
      </w:r>
      <w:r w:rsidRPr="00E54CFE">
        <w:rPr>
          <w:b/>
          <w:bCs/>
        </w:rPr>
        <w:t xml:space="preserve">Attachment </w:t>
      </w:r>
      <w:r w:rsidR="00E54CFE" w:rsidRPr="00E54CFE">
        <w:rPr>
          <w:b/>
          <w:bCs/>
        </w:rPr>
        <w:t>B</w:t>
      </w:r>
      <w:r>
        <w:t xml:space="preserve">. </w:t>
      </w:r>
    </w:p>
    <w:p w14:paraId="6B73FB45" w14:textId="77777777" w:rsidR="00CF640C" w:rsidRDefault="00CF640C" w:rsidP="00E43796">
      <w:pPr>
        <w:pStyle w:val="TableBodyText"/>
        <w:sectPr w:rsidR="00CF640C" w:rsidSect="00B82823">
          <w:pgSz w:w="16839" w:h="11907" w:orient="landscape" w:code="9"/>
          <w:pgMar w:top="1440" w:right="1440" w:bottom="1134" w:left="1440" w:header="567" w:footer="275" w:gutter="0"/>
          <w:cols w:space="708"/>
          <w:docGrid w:linePitch="360"/>
        </w:sectPr>
      </w:pPr>
    </w:p>
    <w:p w14:paraId="5B7B878B" w14:textId="77777777" w:rsidR="008A645C" w:rsidRPr="00E51706" w:rsidRDefault="008A645C" w:rsidP="008A645C">
      <w:pPr>
        <w:pStyle w:val="Heading1"/>
      </w:pPr>
      <w:bookmarkStart w:id="120" w:name="_Ref36545166"/>
      <w:bookmarkStart w:id="121" w:name="_Toc45015299"/>
      <w:r>
        <w:lastRenderedPageBreak/>
        <w:t>GSOO</w:t>
      </w:r>
      <w:bookmarkEnd w:id="120"/>
      <w:bookmarkEnd w:id="121"/>
    </w:p>
    <w:p w14:paraId="2D0BB48B" w14:textId="77777777" w:rsidR="00B54A23" w:rsidRDefault="00B54A23" w:rsidP="00B54A23">
      <w:pPr>
        <w:pStyle w:val="BodyText"/>
      </w:pPr>
      <w:bookmarkStart w:id="122" w:name="_Ref36736042"/>
      <w:r>
        <w:t xml:space="preserve">This section describes the proposed approach in the Rules to implementation of the measures </w:t>
      </w:r>
      <w:r w:rsidR="001F4DBB">
        <w:t xml:space="preserve">relating to the </w:t>
      </w:r>
      <w:r>
        <w:t>GSOO.</w:t>
      </w:r>
    </w:p>
    <w:p w14:paraId="3519F231" w14:textId="77777777" w:rsidR="00526C5C" w:rsidRDefault="00526C5C" w:rsidP="00526C5C">
      <w:pPr>
        <w:pStyle w:val="Heading2"/>
      </w:pPr>
      <w:bookmarkStart w:id="123" w:name="_Toc45015300"/>
      <w:r>
        <w:rPr>
          <w:rFonts w:cs="Arial"/>
        </w:rPr>
        <w:t>Mandatory GSOO survey</w:t>
      </w:r>
      <w:bookmarkEnd w:id="122"/>
      <w:bookmarkEnd w:id="123"/>
    </w:p>
    <w:tbl>
      <w:tblPr>
        <w:tblStyle w:val="ACCCTable11"/>
        <w:tblW w:w="5000" w:type="pct"/>
        <w:tblLook w:val="06A0" w:firstRow="1" w:lastRow="0" w:firstColumn="1" w:lastColumn="0" w:noHBand="1" w:noVBand="1"/>
      </w:tblPr>
      <w:tblGrid>
        <w:gridCol w:w="3970"/>
        <w:gridCol w:w="5385"/>
        <w:gridCol w:w="4604"/>
      </w:tblGrid>
      <w:tr w:rsidR="00526C5C" w:rsidRPr="002F7121" w14:paraId="6234F79C"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bottom w:val="single" w:sz="4" w:space="0" w:color="auto"/>
            </w:tcBorders>
            <w:shd w:val="clear" w:color="auto" w:fill="005595"/>
          </w:tcPr>
          <w:p w14:paraId="3F6D1665" w14:textId="77777777" w:rsidR="00526C5C" w:rsidRDefault="00440252" w:rsidP="00187103">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5700FD4D" w14:textId="77777777" w:rsidR="00526C5C" w:rsidRPr="002F7121" w:rsidRDefault="00526C5C" w:rsidP="00187103">
            <w:pPr>
              <w:spacing w:before="20"/>
              <w:rPr>
                <w:rFonts w:cs="Arial"/>
              </w:rPr>
            </w:pPr>
            <w:r>
              <w:rPr>
                <w:rFonts w:cs="Arial"/>
              </w:rPr>
              <w:t>Proposed approach to implementation</w:t>
            </w:r>
          </w:p>
        </w:tc>
        <w:tc>
          <w:tcPr>
            <w:tcW w:w="1649" w:type="pct"/>
            <w:tcBorders>
              <w:bottom w:val="single" w:sz="4" w:space="0" w:color="auto"/>
            </w:tcBorders>
            <w:shd w:val="clear" w:color="auto" w:fill="005595"/>
            <w:hideMark/>
          </w:tcPr>
          <w:p w14:paraId="5C02604B" w14:textId="77777777" w:rsidR="00526C5C" w:rsidRPr="002F7121" w:rsidRDefault="0014087B" w:rsidP="00187103">
            <w:pPr>
              <w:spacing w:before="20"/>
              <w:rPr>
                <w:rFonts w:cs="Arial"/>
              </w:rPr>
            </w:pPr>
            <w:r>
              <w:rPr>
                <w:rFonts w:cs="Arial"/>
              </w:rPr>
              <w:t>Proposed amendments</w:t>
            </w:r>
            <w:r w:rsidR="00526C5C">
              <w:rPr>
                <w:rFonts w:cs="Arial"/>
              </w:rPr>
              <w:t xml:space="preserve"> in </w:t>
            </w:r>
            <w:r w:rsidR="00B54A23">
              <w:rPr>
                <w:rFonts w:cs="Arial"/>
              </w:rPr>
              <w:t>Part 15D</w:t>
            </w:r>
          </w:p>
        </w:tc>
      </w:tr>
      <w:tr w:rsidR="001B4860" w:rsidRPr="00977003" w14:paraId="4921C53E" w14:textId="77777777" w:rsidTr="00323A97">
        <w:trPr>
          <w:cantSplit/>
        </w:trPr>
        <w:tc>
          <w:tcPr>
            <w:tcW w:w="1422" w:type="pct"/>
            <w:vMerge w:val="restart"/>
          </w:tcPr>
          <w:p w14:paraId="250BF7C3" w14:textId="77777777" w:rsidR="001B4860" w:rsidRDefault="001B4860" w:rsidP="00526C5C">
            <w:pPr>
              <w:pStyle w:val="TableBodyText"/>
            </w:pPr>
            <w:r w:rsidRPr="00526C5C">
              <w:t>Amend the NGL and NGR to allow AEMO to collect information through a mandatory survey The NT LNG facilities that have an exemption under rule 143A would be exempt from having to complete the mandatory survey.</w:t>
            </w:r>
          </w:p>
        </w:tc>
        <w:tc>
          <w:tcPr>
            <w:tcW w:w="1929" w:type="pct"/>
          </w:tcPr>
          <w:p w14:paraId="572CB061" w14:textId="77777777" w:rsidR="001B4860" w:rsidRPr="00977003" w:rsidRDefault="001B4860" w:rsidP="00526C5C">
            <w:pPr>
              <w:pStyle w:val="TableBodyText"/>
            </w:pPr>
            <w:r>
              <w:t>Include new definitions to support the operation of the GSOO survey.</w:t>
            </w:r>
          </w:p>
        </w:tc>
        <w:tc>
          <w:tcPr>
            <w:tcW w:w="1649" w:type="pct"/>
          </w:tcPr>
          <w:p w14:paraId="68777072" w14:textId="77777777" w:rsidR="001B4860" w:rsidRPr="00977003" w:rsidRDefault="00D847C3" w:rsidP="00D847C3">
            <w:pPr>
              <w:pStyle w:val="TableBodyText"/>
            </w:pPr>
            <w:r>
              <w:t>R</w:t>
            </w:r>
            <w:r w:rsidR="001B4860">
              <w:t>ule 135K.</w:t>
            </w:r>
          </w:p>
        </w:tc>
      </w:tr>
      <w:tr w:rsidR="00EB55A0" w:rsidRPr="00977003" w14:paraId="355644A0" w14:textId="77777777" w:rsidTr="00323A97">
        <w:trPr>
          <w:cantSplit/>
        </w:trPr>
        <w:tc>
          <w:tcPr>
            <w:tcW w:w="1422" w:type="pct"/>
            <w:vMerge/>
          </w:tcPr>
          <w:p w14:paraId="21D9CABB" w14:textId="77777777" w:rsidR="00EB55A0" w:rsidRPr="00526C5C" w:rsidRDefault="00EB55A0" w:rsidP="00526C5C">
            <w:pPr>
              <w:pStyle w:val="TableBodyText"/>
            </w:pPr>
          </w:p>
        </w:tc>
        <w:tc>
          <w:tcPr>
            <w:tcW w:w="1929" w:type="pct"/>
          </w:tcPr>
          <w:p w14:paraId="3B4331D0" w14:textId="59D84066" w:rsidR="00EB55A0" w:rsidRDefault="00EB55A0" w:rsidP="00526C5C">
            <w:pPr>
              <w:pStyle w:val="TableBodyText"/>
            </w:pPr>
            <w:r>
              <w:t>Replace references to ‘gas production facilities’ with references to ‘gas processing plants’ to reflect the use of that term in the NGL.</w:t>
            </w:r>
          </w:p>
        </w:tc>
        <w:tc>
          <w:tcPr>
            <w:tcW w:w="1649" w:type="pct"/>
          </w:tcPr>
          <w:p w14:paraId="1BDAD627" w14:textId="7F3FBEC6" w:rsidR="00EB55A0" w:rsidRDefault="00EB55A0" w:rsidP="00D847C3">
            <w:pPr>
              <w:pStyle w:val="TableBodyText"/>
            </w:pPr>
            <w:r>
              <w:t>As required in Part 15D.</w:t>
            </w:r>
          </w:p>
        </w:tc>
      </w:tr>
      <w:tr w:rsidR="001B4860" w:rsidRPr="00977003" w14:paraId="1D0501D9" w14:textId="77777777" w:rsidTr="00323A97">
        <w:trPr>
          <w:cantSplit/>
        </w:trPr>
        <w:tc>
          <w:tcPr>
            <w:tcW w:w="1422" w:type="pct"/>
            <w:vMerge/>
          </w:tcPr>
          <w:p w14:paraId="2F98B0B8" w14:textId="77777777" w:rsidR="001B4860" w:rsidRPr="00526C5C" w:rsidRDefault="001B4860" w:rsidP="00526C5C">
            <w:pPr>
              <w:pStyle w:val="TableBodyText"/>
            </w:pPr>
          </w:p>
        </w:tc>
        <w:tc>
          <w:tcPr>
            <w:tcW w:w="1929" w:type="pct"/>
          </w:tcPr>
          <w:p w14:paraId="0FC04A7A" w14:textId="39360374" w:rsidR="00454807" w:rsidRDefault="001B4860" w:rsidP="00496477">
            <w:pPr>
              <w:pStyle w:val="TableBodyText"/>
            </w:pPr>
            <w:r>
              <w:t>Specify who must participate in a GSOO survey. The provision would allow AEMO to specify who must respond in the GSOO Procedures.</w:t>
            </w:r>
          </w:p>
        </w:tc>
        <w:tc>
          <w:tcPr>
            <w:tcW w:w="1649" w:type="pct"/>
          </w:tcPr>
          <w:p w14:paraId="5EF5F6AC" w14:textId="77777777" w:rsidR="00454807" w:rsidRDefault="00D847C3" w:rsidP="00D847C3">
            <w:pPr>
              <w:pStyle w:val="TableBodyText"/>
            </w:pPr>
            <w:r>
              <w:t>N</w:t>
            </w:r>
            <w:r w:rsidR="001B4860">
              <w:t>ew definition of ‘GSOO reporting entity’.</w:t>
            </w:r>
          </w:p>
        </w:tc>
      </w:tr>
      <w:tr w:rsidR="00D847C3" w:rsidRPr="00977003" w14:paraId="1FF38465" w14:textId="77777777" w:rsidTr="00323A97">
        <w:trPr>
          <w:cantSplit/>
        </w:trPr>
        <w:tc>
          <w:tcPr>
            <w:tcW w:w="1422" w:type="pct"/>
            <w:vMerge/>
          </w:tcPr>
          <w:p w14:paraId="6424A1BE" w14:textId="77777777" w:rsidR="00D847C3" w:rsidRPr="00526C5C" w:rsidRDefault="00D847C3" w:rsidP="00526C5C">
            <w:pPr>
              <w:pStyle w:val="TableBodyText"/>
            </w:pPr>
          </w:p>
        </w:tc>
        <w:tc>
          <w:tcPr>
            <w:tcW w:w="1929" w:type="pct"/>
          </w:tcPr>
          <w:p w14:paraId="6C5DF3E7" w14:textId="77777777" w:rsidR="00D847C3" w:rsidRDefault="00D847C3" w:rsidP="00D847C3">
            <w:pPr>
              <w:pStyle w:val="TableBodyText"/>
            </w:pPr>
            <w:r>
              <w:t>The operator of an exempt NT facility would be exempt in relation to the exempt NT facility.</w:t>
            </w:r>
          </w:p>
          <w:p w14:paraId="6B62C4C0" w14:textId="77777777" w:rsidR="00D847C3" w:rsidRDefault="00D847C3" w:rsidP="00D847C3">
            <w:pPr>
              <w:pStyle w:val="TableBodyText"/>
            </w:pPr>
            <w:r>
              <w:t>The field owner of an offshore field supplying gas only to an exempt NT facility would be exempt from the GSOO arrangements.</w:t>
            </w:r>
          </w:p>
        </w:tc>
        <w:tc>
          <w:tcPr>
            <w:tcW w:w="1649" w:type="pct"/>
          </w:tcPr>
          <w:p w14:paraId="4722DFE1" w14:textId="77777777" w:rsidR="00D847C3" w:rsidRDefault="00D847C3" w:rsidP="00526C5C">
            <w:pPr>
              <w:pStyle w:val="TableBodyText"/>
            </w:pPr>
            <w:r>
              <w:t xml:space="preserve">Rules </w:t>
            </w:r>
            <w:proofErr w:type="gramStart"/>
            <w:r>
              <w:t>135KA(</w:t>
            </w:r>
            <w:proofErr w:type="gramEnd"/>
            <w:r>
              <w:t>2), (3) and (4). These provisions would rely on the exemptions in rule 143A in Part 18.</w:t>
            </w:r>
          </w:p>
        </w:tc>
      </w:tr>
      <w:tr w:rsidR="001B4860" w:rsidRPr="00977003" w14:paraId="5BC26FD2" w14:textId="77777777" w:rsidTr="00323A97">
        <w:trPr>
          <w:cantSplit/>
        </w:trPr>
        <w:tc>
          <w:tcPr>
            <w:tcW w:w="1422" w:type="pct"/>
            <w:vMerge/>
          </w:tcPr>
          <w:p w14:paraId="5C2ADF5F" w14:textId="77777777" w:rsidR="001B4860" w:rsidRPr="00526C5C" w:rsidRDefault="001B4860" w:rsidP="00526C5C">
            <w:pPr>
              <w:pStyle w:val="TableBodyText"/>
            </w:pPr>
          </w:p>
        </w:tc>
        <w:tc>
          <w:tcPr>
            <w:tcW w:w="1929" w:type="pct"/>
          </w:tcPr>
          <w:p w14:paraId="73C820B1" w14:textId="53815B13" w:rsidR="00496477" w:rsidRPr="00977003" w:rsidRDefault="001B4860" w:rsidP="0032629B">
            <w:pPr>
              <w:pStyle w:val="TableBodyText"/>
            </w:pPr>
            <w:r>
              <w:t>Include a provision requiring participation in GSOO surveys by GSOO reporting entities.</w:t>
            </w:r>
          </w:p>
        </w:tc>
        <w:tc>
          <w:tcPr>
            <w:tcW w:w="1649" w:type="pct"/>
          </w:tcPr>
          <w:p w14:paraId="5F9B16B1" w14:textId="77777777" w:rsidR="001B4860" w:rsidRPr="00977003" w:rsidRDefault="001B4860" w:rsidP="00B54A23">
            <w:pPr>
              <w:pStyle w:val="TableBodyText"/>
            </w:pPr>
            <w:r>
              <w:t>Part 15D, rule 135KE and the definition of ‘GSOO reporting entity’.</w:t>
            </w:r>
          </w:p>
        </w:tc>
      </w:tr>
      <w:tr w:rsidR="00496477" w:rsidRPr="00977003" w14:paraId="4039EB5D" w14:textId="77777777" w:rsidTr="00323A97">
        <w:trPr>
          <w:cantSplit/>
        </w:trPr>
        <w:tc>
          <w:tcPr>
            <w:tcW w:w="1422" w:type="pct"/>
            <w:vMerge/>
          </w:tcPr>
          <w:p w14:paraId="3F285035" w14:textId="77777777" w:rsidR="00496477" w:rsidRPr="00526C5C" w:rsidRDefault="00496477" w:rsidP="00526C5C">
            <w:pPr>
              <w:pStyle w:val="TableBodyText"/>
            </w:pPr>
          </w:p>
        </w:tc>
        <w:tc>
          <w:tcPr>
            <w:tcW w:w="1929" w:type="pct"/>
          </w:tcPr>
          <w:p w14:paraId="248FBF58" w14:textId="2D498717" w:rsidR="0032629B" w:rsidRDefault="0032629B" w:rsidP="00496477">
            <w:pPr>
              <w:pStyle w:val="TableBodyText"/>
            </w:pPr>
            <w:r>
              <w:t>Include a provi</w:t>
            </w:r>
            <w:r w:rsidR="00167649">
              <w:t>s</w:t>
            </w:r>
            <w:r>
              <w:t>ion requiring a GSOO repor</w:t>
            </w:r>
            <w:r w:rsidR="00167649">
              <w:t>t</w:t>
            </w:r>
            <w:r>
              <w:t>ing entity to provide information that is has in its possession or control and requested in the GSOO survey.</w:t>
            </w:r>
          </w:p>
          <w:p w14:paraId="0899C777" w14:textId="5B9786DD" w:rsidR="00496477" w:rsidRDefault="00496477" w:rsidP="00167649">
            <w:pPr>
              <w:pStyle w:val="TableBodyText"/>
            </w:pPr>
            <w:r>
              <w:t xml:space="preserve">Specify that Part 15D does not require a GSOO reporting entity to disclose information to AEMO if the information is not required to be disclosed due to the operation of subsection 91DB(4)(a) or (b) of the </w:t>
            </w:r>
            <w:r w:rsidRPr="00EB55A0">
              <w:t>NGL</w:t>
            </w:r>
            <w:r w:rsidRPr="00496477">
              <w:t>, which preserve legal professional privilege and the privilege against self</w:t>
            </w:r>
            <w:r w:rsidR="00167649">
              <w:t>-</w:t>
            </w:r>
            <w:r w:rsidRPr="00496477">
              <w:t>incrimination</w:t>
            </w:r>
            <w:r>
              <w:t>.</w:t>
            </w:r>
          </w:p>
        </w:tc>
        <w:tc>
          <w:tcPr>
            <w:tcW w:w="1649" w:type="pct"/>
          </w:tcPr>
          <w:p w14:paraId="0E85DB47" w14:textId="24D51718" w:rsidR="00496477" w:rsidRDefault="00EB55A0" w:rsidP="00B54A23">
            <w:pPr>
              <w:pStyle w:val="TableBodyText"/>
            </w:pPr>
            <w:r>
              <w:t xml:space="preserve">Part 15D, rule </w:t>
            </w:r>
            <w:proofErr w:type="gramStart"/>
            <w:r>
              <w:t>135KE(</w:t>
            </w:r>
            <w:proofErr w:type="gramEnd"/>
            <w:r>
              <w:t>4).</w:t>
            </w:r>
          </w:p>
        </w:tc>
      </w:tr>
      <w:tr w:rsidR="001B4860" w:rsidRPr="00977003" w14:paraId="10AA312D" w14:textId="77777777" w:rsidTr="00323A97">
        <w:trPr>
          <w:cantSplit/>
        </w:trPr>
        <w:tc>
          <w:tcPr>
            <w:tcW w:w="1422" w:type="pct"/>
            <w:vMerge/>
          </w:tcPr>
          <w:p w14:paraId="4D48BE3B" w14:textId="77777777" w:rsidR="001B4860" w:rsidRPr="00526C5C" w:rsidRDefault="001B4860" w:rsidP="00526C5C">
            <w:pPr>
              <w:pStyle w:val="TableBodyText"/>
            </w:pPr>
          </w:p>
        </w:tc>
        <w:tc>
          <w:tcPr>
            <w:tcW w:w="1929" w:type="pct"/>
          </w:tcPr>
          <w:p w14:paraId="7AB6A955" w14:textId="77777777" w:rsidR="001B4860" w:rsidRPr="00977003" w:rsidRDefault="001B4860" w:rsidP="00C643F5">
            <w:pPr>
              <w:pStyle w:val="TableBodyText"/>
            </w:pPr>
            <w:r>
              <w:t>Specify the information standard for</w:t>
            </w:r>
            <w:r w:rsidR="00454807">
              <w:t xml:space="preserve"> responses to the GSOO survey. </w:t>
            </w:r>
            <w:r>
              <w:t xml:space="preserve">This </w:t>
            </w:r>
            <w:r w:rsidR="00C643F5">
              <w:t xml:space="preserve">reflects the </w:t>
            </w:r>
            <w:r>
              <w:t>BB information standard in Part 18</w:t>
            </w:r>
            <w:r w:rsidR="00C643F5">
              <w:t xml:space="preserve"> but has been modified to reflect the different context in which it applies. In addition</w:t>
            </w:r>
            <w:r w:rsidR="00B35DC2">
              <w:t>,</w:t>
            </w:r>
            <w:r w:rsidR="00C643F5">
              <w:t xml:space="preserve"> the standard deals expressly with forecasts</w:t>
            </w:r>
            <w:r w:rsidR="00B35DC2">
              <w:t>.</w:t>
            </w:r>
          </w:p>
        </w:tc>
        <w:tc>
          <w:tcPr>
            <w:tcW w:w="1649" w:type="pct"/>
          </w:tcPr>
          <w:p w14:paraId="4C8B2228" w14:textId="77777777" w:rsidR="001B4860" w:rsidRPr="00977003" w:rsidRDefault="001B4860" w:rsidP="00B54A23">
            <w:pPr>
              <w:pStyle w:val="TableBodyText"/>
            </w:pPr>
            <w:r>
              <w:t xml:space="preserve">Part 15D, rules </w:t>
            </w:r>
            <w:proofErr w:type="gramStart"/>
            <w:r>
              <w:t>135KG(</w:t>
            </w:r>
            <w:proofErr w:type="gramEnd"/>
            <w:r>
              <w:t>3) and (4).</w:t>
            </w:r>
          </w:p>
        </w:tc>
      </w:tr>
      <w:tr w:rsidR="001B4860" w:rsidRPr="00977003" w14:paraId="2EE11139" w14:textId="77777777" w:rsidTr="00323A97">
        <w:trPr>
          <w:cantSplit/>
        </w:trPr>
        <w:tc>
          <w:tcPr>
            <w:tcW w:w="1422" w:type="pct"/>
            <w:vMerge/>
          </w:tcPr>
          <w:p w14:paraId="6C2D3A40" w14:textId="77777777" w:rsidR="001B4860" w:rsidRPr="00526C5C" w:rsidRDefault="001B4860" w:rsidP="00526C5C">
            <w:pPr>
              <w:pStyle w:val="TableBodyText"/>
            </w:pPr>
          </w:p>
        </w:tc>
        <w:tc>
          <w:tcPr>
            <w:tcW w:w="1929" w:type="pct"/>
          </w:tcPr>
          <w:p w14:paraId="1E209E37" w14:textId="682F5813" w:rsidR="001B4860" w:rsidRPr="00977003" w:rsidRDefault="001B4860" w:rsidP="00EB55A0">
            <w:pPr>
              <w:pStyle w:val="TableBodyText"/>
            </w:pPr>
            <w:r>
              <w:t xml:space="preserve">Provide for the GSOO Procedures to include the definition of GSOO reporting entities. </w:t>
            </w:r>
          </w:p>
        </w:tc>
        <w:tc>
          <w:tcPr>
            <w:tcW w:w="1649" w:type="pct"/>
          </w:tcPr>
          <w:p w14:paraId="64626C49" w14:textId="06D491E7" w:rsidR="001B4860" w:rsidRPr="00977003" w:rsidRDefault="001B4860" w:rsidP="00526C5C">
            <w:pPr>
              <w:pStyle w:val="TableBodyText"/>
            </w:pPr>
            <w:r>
              <w:t xml:space="preserve">Part 15D, new rule </w:t>
            </w:r>
            <w:proofErr w:type="gramStart"/>
            <w:r>
              <w:t>135KF</w:t>
            </w:r>
            <w:r w:rsidR="00EB55A0">
              <w:t>(</w:t>
            </w:r>
            <w:proofErr w:type="gramEnd"/>
            <w:r w:rsidR="00EB55A0">
              <w:t>1)</w:t>
            </w:r>
            <w:r>
              <w:t>.</w:t>
            </w:r>
          </w:p>
        </w:tc>
      </w:tr>
      <w:tr w:rsidR="001B4860" w:rsidRPr="00977003" w14:paraId="4A338050" w14:textId="77777777" w:rsidTr="00323A97">
        <w:trPr>
          <w:cantSplit/>
        </w:trPr>
        <w:tc>
          <w:tcPr>
            <w:tcW w:w="1422" w:type="pct"/>
            <w:vMerge/>
          </w:tcPr>
          <w:p w14:paraId="0B5E9658" w14:textId="77777777" w:rsidR="001B4860" w:rsidRPr="00526C5C" w:rsidRDefault="001B4860" w:rsidP="00526C5C">
            <w:pPr>
              <w:pStyle w:val="TableBodyText"/>
            </w:pPr>
          </w:p>
        </w:tc>
        <w:tc>
          <w:tcPr>
            <w:tcW w:w="1929" w:type="pct"/>
          </w:tcPr>
          <w:p w14:paraId="50C33CD0" w14:textId="77777777" w:rsidR="0032629B" w:rsidRDefault="0032629B" w:rsidP="0032629B">
            <w:pPr>
              <w:pStyle w:val="TableBodyText"/>
            </w:pPr>
            <w:r>
              <w:t>Provide for the GSOO Procedures to specify matters such as the time to respond to a GSOO survey and the manner and form in which the information is to be provided.</w:t>
            </w:r>
          </w:p>
          <w:p w14:paraId="46BA7141" w14:textId="7B52B00F" w:rsidR="001B4860" w:rsidRPr="00977003" w:rsidRDefault="001B4860" w:rsidP="00526C5C">
            <w:pPr>
              <w:pStyle w:val="TableBodyText"/>
            </w:pPr>
          </w:p>
        </w:tc>
        <w:tc>
          <w:tcPr>
            <w:tcW w:w="1649" w:type="pct"/>
          </w:tcPr>
          <w:p w14:paraId="18D5CF90" w14:textId="77777777" w:rsidR="0032629B" w:rsidRDefault="0032629B" w:rsidP="0032629B">
            <w:pPr>
              <w:pStyle w:val="TableBodyText"/>
            </w:pPr>
            <w:r>
              <w:t xml:space="preserve">Part 15D, rule </w:t>
            </w:r>
            <w:proofErr w:type="gramStart"/>
            <w:r>
              <w:t>135KF(</w:t>
            </w:r>
            <w:proofErr w:type="gramEnd"/>
            <w:r>
              <w:t>2).</w:t>
            </w:r>
          </w:p>
          <w:p w14:paraId="7997A8CC" w14:textId="6114405D" w:rsidR="001B4860" w:rsidRPr="00977003" w:rsidRDefault="001B4860" w:rsidP="00526C5C">
            <w:pPr>
              <w:pStyle w:val="TableBodyText"/>
            </w:pPr>
          </w:p>
        </w:tc>
      </w:tr>
      <w:tr w:rsidR="001B4860" w:rsidRPr="00977003" w14:paraId="6D878CF7" w14:textId="77777777" w:rsidTr="00323A97">
        <w:trPr>
          <w:cantSplit/>
        </w:trPr>
        <w:tc>
          <w:tcPr>
            <w:tcW w:w="1422" w:type="pct"/>
            <w:vMerge/>
          </w:tcPr>
          <w:p w14:paraId="34CE4D9D" w14:textId="77777777" w:rsidR="001B4860" w:rsidRPr="00526C5C" w:rsidRDefault="001B4860" w:rsidP="00526C5C">
            <w:pPr>
              <w:pStyle w:val="TableBodyText"/>
            </w:pPr>
          </w:p>
        </w:tc>
        <w:tc>
          <w:tcPr>
            <w:tcW w:w="1929" w:type="pct"/>
          </w:tcPr>
          <w:p w14:paraId="69843DA0" w14:textId="5D264AE7" w:rsidR="0032629B" w:rsidRDefault="0032629B" w:rsidP="00B54A23">
            <w:pPr>
              <w:pStyle w:val="TableBodyText"/>
            </w:pPr>
            <w:r>
              <w:t>Specify other matters to be included in the GSOO Procedures.</w:t>
            </w:r>
          </w:p>
        </w:tc>
        <w:tc>
          <w:tcPr>
            <w:tcW w:w="1649" w:type="pct"/>
          </w:tcPr>
          <w:p w14:paraId="113D08CE" w14:textId="57FEF1B7" w:rsidR="0032629B" w:rsidRPr="00FC7CF5" w:rsidRDefault="0032629B" w:rsidP="0032629B">
            <w:pPr>
              <w:pStyle w:val="TableBodyText"/>
            </w:pPr>
            <w:r w:rsidRPr="00FC7CF5">
              <w:t xml:space="preserve">Part 15B, new rule </w:t>
            </w:r>
            <w:proofErr w:type="gramStart"/>
            <w:r w:rsidRPr="00FC7CF5">
              <w:t>135E</w:t>
            </w:r>
            <w:r>
              <w:t>A(</w:t>
            </w:r>
            <w:proofErr w:type="gramEnd"/>
            <w:r>
              <w:t>6).</w:t>
            </w:r>
          </w:p>
        </w:tc>
      </w:tr>
      <w:tr w:rsidR="001B4860" w:rsidRPr="00977003" w14:paraId="60DD3EEE" w14:textId="77777777" w:rsidTr="00323A97">
        <w:trPr>
          <w:cantSplit/>
        </w:trPr>
        <w:tc>
          <w:tcPr>
            <w:tcW w:w="1422" w:type="pct"/>
            <w:vMerge/>
          </w:tcPr>
          <w:p w14:paraId="0437E089" w14:textId="77777777" w:rsidR="001B4860" w:rsidRPr="00526C5C" w:rsidRDefault="001B4860" w:rsidP="00526C5C">
            <w:pPr>
              <w:pStyle w:val="TableBodyText"/>
            </w:pPr>
          </w:p>
        </w:tc>
        <w:tc>
          <w:tcPr>
            <w:tcW w:w="1929" w:type="pct"/>
          </w:tcPr>
          <w:p w14:paraId="6EADA489" w14:textId="77777777" w:rsidR="001B4860" w:rsidRDefault="001B4860" w:rsidP="00B54A23">
            <w:pPr>
              <w:pStyle w:val="TableBodyText"/>
            </w:pPr>
            <w:r>
              <w:t>Provide that AEMO is not required to verify the information provided.</w:t>
            </w:r>
          </w:p>
        </w:tc>
        <w:tc>
          <w:tcPr>
            <w:tcW w:w="1649" w:type="pct"/>
          </w:tcPr>
          <w:p w14:paraId="168E0186" w14:textId="67D0A9AC" w:rsidR="001B4860" w:rsidRDefault="001B4860" w:rsidP="00EB55A0">
            <w:pPr>
              <w:pStyle w:val="TableBodyText"/>
            </w:pPr>
            <w:r>
              <w:t xml:space="preserve">Part 15D, rule </w:t>
            </w:r>
            <w:proofErr w:type="gramStart"/>
            <w:r>
              <w:t>135KG(</w:t>
            </w:r>
            <w:proofErr w:type="gramEnd"/>
            <w:r>
              <w:t>5).</w:t>
            </w:r>
          </w:p>
        </w:tc>
      </w:tr>
      <w:tr w:rsidR="001B4860" w:rsidRPr="00977003" w14:paraId="0FF4234B" w14:textId="77777777" w:rsidTr="00323A97">
        <w:trPr>
          <w:cantSplit/>
        </w:trPr>
        <w:tc>
          <w:tcPr>
            <w:tcW w:w="1422" w:type="pct"/>
            <w:vMerge/>
          </w:tcPr>
          <w:p w14:paraId="22C414B8" w14:textId="77777777" w:rsidR="001B4860" w:rsidRPr="00526C5C" w:rsidRDefault="001B4860" w:rsidP="00526C5C">
            <w:pPr>
              <w:pStyle w:val="TableBodyText"/>
            </w:pPr>
          </w:p>
        </w:tc>
        <w:tc>
          <w:tcPr>
            <w:tcW w:w="1929" w:type="pct"/>
          </w:tcPr>
          <w:p w14:paraId="575B8BAB" w14:textId="4B0A1C67" w:rsidR="001B4860" w:rsidRDefault="001B4860" w:rsidP="001B4860">
            <w:pPr>
              <w:pStyle w:val="TableBodyText"/>
            </w:pPr>
            <w:r>
              <w:t>Provide that AEMO may use information provided in response to a GSOO survey for preparation of the GSOO, but provide for protected information to be disclose</w:t>
            </w:r>
            <w:r w:rsidR="00EB55A0">
              <w:t>d</w:t>
            </w:r>
            <w:r>
              <w:t xml:space="preserve"> only on an anonymised and aggregated basis. </w:t>
            </w:r>
          </w:p>
        </w:tc>
        <w:tc>
          <w:tcPr>
            <w:tcW w:w="1649" w:type="pct"/>
          </w:tcPr>
          <w:p w14:paraId="6E09FB21" w14:textId="77777777" w:rsidR="001B4860" w:rsidRDefault="001B4860" w:rsidP="00526C5C">
            <w:pPr>
              <w:pStyle w:val="TableBodyText"/>
            </w:pPr>
            <w:r>
              <w:t>Part 15D, rule 135KH.</w:t>
            </w:r>
          </w:p>
        </w:tc>
      </w:tr>
    </w:tbl>
    <w:p w14:paraId="23FAA2EE" w14:textId="77777777" w:rsidR="00526C5C" w:rsidRDefault="00526C5C" w:rsidP="00526C5C">
      <w:pPr>
        <w:pStyle w:val="Heading2"/>
      </w:pPr>
      <w:bookmarkStart w:id="124" w:name="_Toc45015301"/>
      <w:r>
        <w:rPr>
          <w:rFonts w:cs="Arial"/>
        </w:rPr>
        <w:t xml:space="preserve">Extend the </w:t>
      </w:r>
      <w:r w:rsidR="00B54A23">
        <w:rPr>
          <w:rFonts w:cs="Arial"/>
        </w:rPr>
        <w:t xml:space="preserve">coverage of the </w:t>
      </w:r>
      <w:r>
        <w:rPr>
          <w:rFonts w:cs="Arial"/>
        </w:rPr>
        <w:t xml:space="preserve">GSOO to the </w:t>
      </w:r>
      <w:bookmarkEnd w:id="124"/>
      <w:r w:rsidR="007D6C01">
        <w:rPr>
          <w:rFonts w:cs="Arial"/>
        </w:rPr>
        <w:t>NT</w:t>
      </w:r>
    </w:p>
    <w:tbl>
      <w:tblPr>
        <w:tblStyle w:val="ACCCTable11"/>
        <w:tblW w:w="5000" w:type="pct"/>
        <w:tblLayout w:type="fixed"/>
        <w:tblLook w:val="06A0" w:firstRow="1" w:lastRow="0" w:firstColumn="1" w:lastColumn="0" w:noHBand="1" w:noVBand="1"/>
      </w:tblPr>
      <w:tblGrid>
        <w:gridCol w:w="3970"/>
        <w:gridCol w:w="5385"/>
        <w:gridCol w:w="4604"/>
      </w:tblGrid>
      <w:tr w:rsidR="00526C5C" w:rsidRPr="002F7121" w14:paraId="5CDCD41E" w14:textId="77777777" w:rsidTr="00C57CF8">
        <w:trPr>
          <w:cnfStyle w:val="100000000000" w:firstRow="1" w:lastRow="0" w:firstColumn="0" w:lastColumn="0" w:oddVBand="0" w:evenVBand="0" w:oddHBand="0" w:evenHBand="0" w:firstRowFirstColumn="0" w:firstRowLastColumn="0" w:lastRowFirstColumn="0" w:lastRowLastColumn="0"/>
          <w:cantSplit/>
          <w:tblHeader/>
        </w:trPr>
        <w:tc>
          <w:tcPr>
            <w:tcW w:w="1422" w:type="pct"/>
            <w:tcBorders>
              <w:bottom w:val="single" w:sz="4" w:space="0" w:color="auto"/>
            </w:tcBorders>
            <w:shd w:val="clear" w:color="auto" w:fill="005595"/>
          </w:tcPr>
          <w:p w14:paraId="61493E27" w14:textId="77777777" w:rsidR="00526C5C" w:rsidRDefault="00440252" w:rsidP="00E314C9">
            <w:pPr>
              <w:spacing w:before="20"/>
              <w:rPr>
                <w:rFonts w:cs="Arial"/>
              </w:rPr>
            </w:pPr>
            <w:r>
              <w:rPr>
                <w:rFonts w:cs="Arial"/>
              </w:rPr>
              <w:t>Endorsed</w:t>
            </w:r>
            <w:r w:rsidR="00AD7935">
              <w:rPr>
                <w:rFonts w:cs="Arial"/>
              </w:rPr>
              <w:t xml:space="preserve"> measure</w:t>
            </w:r>
          </w:p>
        </w:tc>
        <w:tc>
          <w:tcPr>
            <w:tcW w:w="1929" w:type="pct"/>
            <w:tcBorders>
              <w:bottom w:val="single" w:sz="4" w:space="0" w:color="auto"/>
            </w:tcBorders>
            <w:shd w:val="clear" w:color="auto" w:fill="005595"/>
            <w:hideMark/>
          </w:tcPr>
          <w:p w14:paraId="51E25920" w14:textId="77777777" w:rsidR="00526C5C" w:rsidRPr="002F7121" w:rsidRDefault="00526C5C" w:rsidP="00E314C9">
            <w:pPr>
              <w:spacing w:before="20"/>
              <w:rPr>
                <w:rFonts w:cs="Arial"/>
              </w:rPr>
            </w:pPr>
            <w:r>
              <w:rPr>
                <w:rFonts w:cs="Arial"/>
              </w:rPr>
              <w:t>Proposed approach to implementation</w:t>
            </w:r>
          </w:p>
        </w:tc>
        <w:tc>
          <w:tcPr>
            <w:tcW w:w="1649" w:type="pct"/>
            <w:tcBorders>
              <w:bottom w:val="single" w:sz="4" w:space="0" w:color="auto"/>
            </w:tcBorders>
            <w:shd w:val="clear" w:color="auto" w:fill="005595"/>
            <w:hideMark/>
          </w:tcPr>
          <w:p w14:paraId="7381FD3C" w14:textId="77777777" w:rsidR="00526C5C" w:rsidRPr="002F7121" w:rsidRDefault="0014087B" w:rsidP="00E314C9">
            <w:pPr>
              <w:spacing w:before="20"/>
              <w:rPr>
                <w:rFonts w:cs="Arial"/>
              </w:rPr>
            </w:pPr>
            <w:r>
              <w:rPr>
                <w:rFonts w:cs="Arial"/>
              </w:rPr>
              <w:t>Proposed amendments</w:t>
            </w:r>
            <w:r w:rsidR="00526C5C">
              <w:rPr>
                <w:rFonts w:cs="Arial"/>
              </w:rPr>
              <w:t xml:space="preserve"> in </w:t>
            </w:r>
            <w:r w:rsidR="00526C5C" w:rsidRPr="002F7121">
              <w:rPr>
                <w:rFonts w:cs="Arial"/>
              </w:rPr>
              <w:t>Part 18</w:t>
            </w:r>
          </w:p>
        </w:tc>
      </w:tr>
      <w:tr w:rsidR="00526C5C" w:rsidRPr="00977003" w14:paraId="2E9634EA" w14:textId="77777777" w:rsidTr="00323A97">
        <w:trPr>
          <w:cantSplit/>
        </w:trPr>
        <w:tc>
          <w:tcPr>
            <w:tcW w:w="1422" w:type="pct"/>
          </w:tcPr>
          <w:p w14:paraId="1EC25D57" w14:textId="77777777" w:rsidR="00526C5C" w:rsidRDefault="00526C5C" w:rsidP="00F026C8">
            <w:pPr>
              <w:pStyle w:val="TableBodyText"/>
            </w:pPr>
            <w:r w:rsidRPr="00526C5C">
              <w:t xml:space="preserve">Extend the coverage of GSOO to the </w:t>
            </w:r>
            <w:r w:rsidR="007D6C01">
              <w:t>NT</w:t>
            </w:r>
            <w:r w:rsidRPr="00526C5C">
              <w:t>.</w:t>
            </w:r>
          </w:p>
        </w:tc>
        <w:tc>
          <w:tcPr>
            <w:tcW w:w="1929" w:type="pct"/>
          </w:tcPr>
          <w:p w14:paraId="21838F4D" w14:textId="77777777" w:rsidR="00526C5C" w:rsidRPr="00977003" w:rsidRDefault="00454807" w:rsidP="00E429BC">
            <w:pPr>
              <w:pStyle w:val="TableBodyText"/>
            </w:pPr>
            <w:r>
              <w:t xml:space="preserve">Delete rule </w:t>
            </w:r>
            <w:proofErr w:type="gramStart"/>
            <w:r>
              <w:t>135KA(</w:t>
            </w:r>
            <w:proofErr w:type="gramEnd"/>
            <w:r>
              <w:t xml:space="preserve">2) and replace it with new provisions that exempt </w:t>
            </w:r>
            <w:r w:rsidR="00E429BC">
              <w:t xml:space="preserve">from the GSOO survey </w:t>
            </w:r>
            <w:r>
              <w:t xml:space="preserve">the operators of exempt NT facilities and offshore fields supplying </w:t>
            </w:r>
            <w:r w:rsidR="00D847C3">
              <w:t xml:space="preserve">only </w:t>
            </w:r>
            <w:r>
              <w:t>those facilities.</w:t>
            </w:r>
          </w:p>
        </w:tc>
        <w:tc>
          <w:tcPr>
            <w:tcW w:w="1649" w:type="pct"/>
          </w:tcPr>
          <w:p w14:paraId="4F1D3565" w14:textId="77777777" w:rsidR="00526C5C" w:rsidRPr="00977003" w:rsidRDefault="00D847C3" w:rsidP="00454807">
            <w:pPr>
              <w:pStyle w:val="TableBodyText"/>
            </w:pPr>
            <w:r>
              <w:t xml:space="preserve">Rules </w:t>
            </w:r>
            <w:proofErr w:type="gramStart"/>
            <w:r>
              <w:t>135KA(</w:t>
            </w:r>
            <w:proofErr w:type="gramEnd"/>
            <w:r>
              <w:t>2), (3) and (4). These provisions would rely on the exemptions in rule 143A in Part 18.</w:t>
            </w:r>
          </w:p>
        </w:tc>
      </w:tr>
    </w:tbl>
    <w:p w14:paraId="5378CAF3" w14:textId="77777777" w:rsidR="00223694" w:rsidRDefault="00223694" w:rsidP="008A645C">
      <w:pPr>
        <w:pStyle w:val="BodyText"/>
      </w:pPr>
    </w:p>
    <w:p w14:paraId="5C0EB33A" w14:textId="77777777" w:rsidR="0038200B" w:rsidRPr="00E51706" w:rsidRDefault="0038200B" w:rsidP="0038200B">
      <w:pPr>
        <w:pStyle w:val="Heading1"/>
      </w:pPr>
      <w:bookmarkStart w:id="125" w:name="_Ref36545243"/>
      <w:bookmarkStart w:id="126" w:name="_Toc45015302"/>
      <w:r>
        <w:lastRenderedPageBreak/>
        <w:t>Transitional arrangements</w:t>
      </w:r>
      <w:bookmarkEnd w:id="125"/>
      <w:bookmarkEnd w:id="126"/>
    </w:p>
    <w:p w14:paraId="3AFEA7F0" w14:textId="482822E4" w:rsidR="0038200B" w:rsidRDefault="0038200B" w:rsidP="0038200B">
      <w:pPr>
        <w:pStyle w:val="BodyText"/>
      </w:pPr>
      <w:r>
        <w:t>This section provides a guide to the transitional arrangements</w:t>
      </w:r>
      <w:r w:rsidR="00E43796">
        <w:t>.</w:t>
      </w:r>
      <w:r w:rsidR="00C743E0">
        <w:t xml:space="preserve"> If you would like to provide feedback on any of these transitional arrangements, please do so in the response template in </w:t>
      </w:r>
      <w:r w:rsidR="00C743E0" w:rsidRPr="000B4A0B">
        <w:rPr>
          <w:b/>
          <w:bCs/>
        </w:rPr>
        <w:t>Attachment B</w:t>
      </w:r>
      <w:r w:rsidR="00C743E0">
        <w:rPr>
          <w:b/>
          <w:bCs/>
        </w:rPr>
        <w:t>.</w:t>
      </w:r>
      <w:r w:rsidR="00C743E0">
        <w:t xml:space="preserve"> </w:t>
      </w:r>
    </w:p>
    <w:p w14:paraId="567D834B" w14:textId="77777777" w:rsidR="00323A97" w:rsidRDefault="00E43796" w:rsidP="00323A97">
      <w:pPr>
        <w:pStyle w:val="Heading2"/>
      </w:pPr>
      <w:bookmarkStart w:id="127" w:name="_Toc45015303"/>
      <w:r>
        <w:t>Transitional provisions</w:t>
      </w:r>
      <w:bookmarkEnd w:id="127"/>
    </w:p>
    <w:tbl>
      <w:tblPr>
        <w:tblStyle w:val="ACCCTable11"/>
        <w:tblW w:w="5000" w:type="pct"/>
        <w:tblLayout w:type="fixed"/>
        <w:tblLook w:val="06A0" w:firstRow="1" w:lastRow="0" w:firstColumn="1" w:lastColumn="0" w:noHBand="1" w:noVBand="1"/>
      </w:tblPr>
      <w:tblGrid>
        <w:gridCol w:w="3970"/>
        <w:gridCol w:w="5385"/>
        <w:gridCol w:w="4604"/>
      </w:tblGrid>
      <w:tr w:rsidR="00323A97" w:rsidRPr="002F7121" w14:paraId="68FEFC34" w14:textId="77777777" w:rsidTr="00C57CF8">
        <w:trPr>
          <w:cnfStyle w:val="100000000000" w:firstRow="1" w:lastRow="0" w:firstColumn="0" w:lastColumn="0" w:oddVBand="0" w:evenVBand="0" w:oddHBand="0" w:evenHBand="0" w:firstRowFirstColumn="0" w:firstRowLastColumn="0" w:lastRowFirstColumn="0" w:lastRowLastColumn="0"/>
          <w:cantSplit/>
          <w:trHeight w:val="101"/>
          <w:tblHeader/>
        </w:trPr>
        <w:tc>
          <w:tcPr>
            <w:tcW w:w="1422" w:type="pct"/>
            <w:tcBorders>
              <w:bottom w:val="single" w:sz="4" w:space="0" w:color="auto"/>
            </w:tcBorders>
            <w:shd w:val="clear" w:color="auto" w:fill="005595"/>
          </w:tcPr>
          <w:p w14:paraId="2822BDAC" w14:textId="77777777" w:rsidR="00323A97" w:rsidRDefault="00BD6D2B" w:rsidP="00187103">
            <w:pPr>
              <w:spacing w:before="40" w:after="40"/>
              <w:rPr>
                <w:rFonts w:cs="Arial"/>
              </w:rPr>
            </w:pPr>
            <w:r>
              <w:rPr>
                <w:rFonts w:cs="Arial"/>
              </w:rPr>
              <w:t>Transitional measure</w:t>
            </w:r>
          </w:p>
        </w:tc>
        <w:tc>
          <w:tcPr>
            <w:tcW w:w="1929" w:type="pct"/>
            <w:tcBorders>
              <w:bottom w:val="single" w:sz="4" w:space="0" w:color="auto"/>
            </w:tcBorders>
            <w:shd w:val="clear" w:color="auto" w:fill="005595"/>
            <w:hideMark/>
          </w:tcPr>
          <w:p w14:paraId="57D338C3" w14:textId="77777777" w:rsidR="00323A97" w:rsidRPr="002F7121" w:rsidRDefault="00E43796" w:rsidP="00187103">
            <w:pPr>
              <w:spacing w:before="40" w:after="40"/>
              <w:rPr>
                <w:rFonts w:cs="Arial"/>
              </w:rPr>
            </w:pPr>
            <w:r>
              <w:rPr>
                <w:rFonts w:cs="Arial"/>
              </w:rPr>
              <w:t>Proposed approach to i</w:t>
            </w:r>
            <w:r w:rsidR="00323A97">
              <w:rPr>
                <w:rFonts w:cs="Arial"/>
              </w:rPr>
              <w:t>mplemen</w:t>
            </w:r>
            <w:r>
              <w:rPr>
                <w:rFonts w:cs="Arial"/>
              </w:rPr>
              <w:t>t</w:t>
            </w:r>
            <w:r w:rsidR="00323A97">
              <w:rPr>
                <w:rFonts w:cs="Arial"/>
              </w:rPr>
              <w:t>ation</w:t>
            </w:r>
          </w:p>
        </w:tc>
        <w:tc>
          <w:tcPr>
            <w:tcW w:w="1649" w:type="pct"/>
            <w:tcBorders>
              <w:bottom w:val="single" w:sz="4" w:space="0" w:color="auto"/>
            </w:tcBorders>
            <w:shd w:val="clear" w:color="auto" w:fill="005595"/>
            <w:hideMark/>
          </w:tcPr>
          <w:p w14:paraId="5D358367" w14:textId="77777777" w:rsidR="00323A97" w:rsidRPr="002F7121" w:rsidRDefault="0014087B" w:rsidP="00187103">
            <w:pPr>
              <w:spacing w:before="40" w:after="40"/>
              <w:rPr>
                <w:rFonts w:cs="Arial"/>
              </w:rPr>
            </w:pPr>
            <w:r>
              <w:rPr>
                <w:rFonts w:cs="Arial"/>
              </w:rPr>
              <w:t>Proposed amendments</w:t>
            </w:r>
            <w:r w:rsidR="00323A97">
              <w:rPr>
                <w:rFonts w:cs="Arial"/>
              </w:rPr>
              <w:t xml:space="preserve"> </w:t>
            </w:r>
            <w:r w:rsidR="008934EC">
              <w:rPr>
                <w:rFonts w:cs="Arial"/>
              </w:rPr>
              <w:t>to Schedule 1</w:t>
            </w:r>
          </w:p>
        </w:tc>
      </w:tr>
      <w:tr w:rsidR="00323A97" w:rsidRPr="00977003" w14:paraId="69DD8635" w14:textId="77777777" w:rsidTr="00F026C8">
        <w:trPr>
          <w:cantSplit/>
        </w:trPr>
        <w:tc>
          <w:tcPr>
            <w:tcW w:w="1422" w:type="pct"/>
          </w:tcPr>
          <w:p w14:paraId="191E456A" w14:textId="77777777" w:rsidR="00323A97" w:rsidRPr="00BD6D2B" w:rsidRDefault="00BD6D2B" w:rsidP="00BD6D2B">
            <w:pPr>
              <w:pStyle w:val="TableBodyText"/>
            </w:pPr>
            <w:r>
              <w:t>Commencement date for the transitional rules</w:t>
            </w:r>
          </w:p>
        </w:tc>
        <w:tc>
          <w:tcPr>
            <w:tcW w:w="1929" w:type="pct"/>
          </w:tcPr>
          <w:p w14:paraId="3959A3EA" w14:textId="77777777" w:rsidR="008934EC" w:rsidRDefault="008934EC" w:rsidP="008934EC">
            <w:pPr>
              <w:pStyle w:val="TableBodyText"/>
            </w:pPr>
            <w:r>
              <w:t>The transitional rules will come into effect when the Minister makes the package of Rules under proposed new section 294FA of the Law.</w:t>
            </w:r>
          </w:p>
          <w:p w14:paraId="3EF20885" w14:textId="77777777" w:rsidR="00D847C3" w:rsidRPr="00BD6D2B" w:rsidRDefault="00D847C3" w:rsidP="00D847C3">
            <w:pPr>
              <w:pStyle w:val="TableBodyText"/>
            </w:pPr>
            <w:r>
              <w:t>The transitional rules would be in a separate schedule to the Rules package and that schedule will come into effect when the amendment Rule is made.</w:t>
            </w:r>
          </w:p>
        </w:tc>
        <w:tc>
          <w:tcPr>
            <w:tcW w:w="1649" w:type="pct"/>
          </w:tcPr>
          <w:p w14:paraId="663DBF37" w14:textId="77777777" w:rsidR="00323A97" w:rsidRPr="00BD6D2B" w:rsidRDefault="00D847C3" w:rsidP="008934EC">
            <w:pPr>
              <w:pStyle w:val="TableBodyText"/>
            </w:pPr>
            <w:r>
              <w:t>Not applicable – to be covered in the amending Rule when made by the Minister.</w:t>
            </w:r>
          </w:p>
        </w:tc>
      </w:tr>
      <w:tr w:rsidR="008934EC" w:rsidRPr="00977003" w14:paraId="34F70E6F" w14:textId="77777777" w:rsidTr="00F026C8">
        <w:trPr>
          <w:cantSplit/>
        </w:trPr>
        <w:tc>
          <w:tcPr>
            <w:tcW w:w="1422" w:type="pct"/>
          </w:tcPr>
          <w:p w14:paraId="7272884D" w14:textId="77777777" w:rsidR="008934EC" w:rsidRDefault="008934EC" w:rsidP="00BD6D2B">
            <w:pPr>
              <w:pStyle w:val="TableBodyText"/>
            </w:pPr>
            <w:r>
              <w:t>Commencement date for the balance of the Rules package.</w:t>
            </w:r>
          </w:p>
        </w:tc>
        <w:tc>
          <w:tcPr>
            <w:tcW w:w="1929" w:type="pct"/>
          </w:tcPr>
          <w:p w14:paraId="2EE3E524" w14:textId="77777777" w:rsidR="008934EC" w:rsidRDefault="008934EC" w:rsidP="008934EC">
            <w:pPr>
              <w:pStyle w:val="TableBodyText"/>
            </w:pPr>
            <w:r>
              <w:t>The balance of the rules package will come into effect on a date to be determined in 2021.</w:t>
            </w:r>
          </w:p>
          <w:p w14:paraId="77DA5098" w14:textId="77777777" w:rsidR="00D847C3" w:rsidRDefault="00D847C3" w:rsidP="008934EC">
            <w:pPr>
              <w:pStyle w:val="TableBodyText"/>
            </w:pPr>
            <w:r>
              <w:t>The balance of the Rules package will be in one or more schedules to the Minister-made Rule. The Minister made Rule will specify the commencement date.</w:t>
            </w:r>
          </w:p>
          <w:p w14:paraId="0D52D21B" w14:textId="77777777" w:rsidR="00991AF9" w:rsidRDefault="00991AF9" w:rsidP="00D847C3">
            <w:pPr>
              <w:pStyle w:val="TableBodyText"/>
            </w:pPr>
            <w:r>
              <w:t>This wi</w:t>
            </w:r>
            <w:r w:rsidR="00D847C3">
              <w:t>l</w:t>
            </w:r>
            <w:r>
              <w:t xml:space="preserve">l enable AEMO to </w:t>
            </w:r>
            <w:r w:rsidR="00D847C3">
              <w:t xml:space="preserve">conduct a GSOO survey for </w:t>
            </w:r>
            <w:r>
              <w:t xml:space="preserve">the GSOO to be published in </w:t>
            </w:r>
            <w:r w:rsidR="00D847C3">
              <w:t xml:space="preserve">March </w:t>
            </w:r>
            <w:r>
              <w:t>2022.</w:t>
            </w:r>
          </w:p>
        </w:tc>
        <w:tc>
          <w:tcPr>
            <w:tcW w:w="1649" w:type="pct"/>
          </w:tcPr>
          <w:p w14:paraId="3D530517" w14:textId="77777777" w:rsidR="008934EC" w:rsidRDefault="00D847C3" w:rsidP="008934EC">
            <w:pPr>
              <w:pStyle w:val="TableBodyText"/>
            </w:pPr>
            <w:r>
              <w:t>Not applicable – to be covered in the amending Rule when made by the Minister.</w:t>
            </w:r>
          </w:p>
        </w:tc>
      </w:tr>
      <w:tr w:rsidR="008934EC" w:rsidRPr="00977003" w14:paraId="32DD37BA" w14:textId="77777777" w:rsidTr="00F026C8">
        <w:trPr>
          <w:cantSplit/>
        </w:trPr>
        <w:tc>
          <w:tcPr>
            <w:tcW w:w="1422" w:type="pct"/>
          </w:tcPr>
          <w:p w14:paraId="04F19251" w14:textId="77777777" w:rsidR="008934EC" w:rsidRDefault="008934EC" w:rsidP="00BD6D2B">
            <w:pPr>
              <w:pStyle w:val="TableBodyText"/>
            </w:pPr>
            <w:r>
              <w:t>Amendments to the BB Procedures</w:t>
            </w:r>
          </w:p>
        </w:tc>
        <w:tc>
          <w:tcPr>
            <w:tcW w:w="1929" w:type="pct"/>
          </w:tcPr>
          <w:p w14:paraId="4286E6AC" w14:textId="6A8BE620" w:rsidR="00991AF9" w:rsidRPr="009E6EC5" w:rsidRDefault="00E429BC" w:rsidP="008934EC">
            <w:pPr>
              <w:pStyle w:val="TableBodyText"/>
            </w:pPr>
            <w:r w:rsidRPr="009E6EC5">
              <w:t xml:space="preserve">Provide for </w:t>
            </w:r>
            <w:r w:rsidR="008934EC" w:rsidRPr="009E6EC5">
              <w:t xml:space="preserve">AEMO </w:t>
            </w:r>
            <w:r w:rsidRPr="009E6EC5">
              <w:t xml:space="preserve">to </w:t>
            </w:r>
            <w:r w:rsidR="008934EC" w:rsidRPr="009E6EC5">
              <w:t>review</w:t>
            </w:r>
            <w:r w:rsidR="00C70064">
              <w:t>,</w:t>
            </w:r>
            <w:r w:rsidR="008934EC" w:rsidRPr="009E6EC5">
              <w:t xml:space="preserve"> amend </w:t>
            </w:r>
            <w:r w:rsidR="00C70064">
              <w:t xml:space="preserve">and publish </w:t>
            </w:r>
            <w:r w:rsidR="008934EC" w:rsidRPr="009E6EC5">
              <w:t>the BB Procedures to take into account the Rules package</w:t>
            </w:r>
            <w:r w:rsidR="00991AF9" w:rsidRPr="009E6EC5">
              <w:t>.</w:t>
            </w:r>
          </w:p>
          <w:p w14:paraId="4C4C25A2" w14:textId="77777777" w:rsidR="00991AF9" w:rsidRPr="009E6EC5" w:rsidRDefault="00991AF9" w:rsidP="00991AF9">
            <w:pPr>
              <w:pStyle w:val="TableBodyText"/>
            </w:pPr>
            <w:r w:rsidRPr="009E6EC5">
              <w:t xml:space="preserve">This would </w:t>
            </w:r>
            <w:r w:rsidR="008934EC" w:rsidRPr="009E6EC5">
              <w:t xml:space="preserve">be completed at least 3 months before the commencement date. </w:t>
            </w:r>
          </w:p>
        </w:tc>
        <w:tc>
          <w:tcPr>
            <w:tcW w:w="1649" w:type="pct"/>
          </w:tcPr>
          <w:p w14:paraId="204C86D4" w14:textId="77777777" w:rsidR="008934EC" w:rsidRPr="008934EC" w:rsidRDefault="00991AF9" w:rsidP="008934EC">
            <w:pPr>
              <w:pStyle w:val="TableBodyText"/>
            </w:pPr>
            <w:r>
              <w:t>Schedule 1, Part 15, rule 76.</w:t>
            </w:r>
          </w:p>
        </w:tc>
      </w:tr>
      <w:tr w:rsidR="008934EC" w:rsidRPr="00977003" w14:paraId="7E27A606" w14:textId="77777777" w:rsidTr="00991AF9">
        <w:trPr>
          <w:cantSplit/>
          <w:trHeight w:val="1001"/>
        </w:trPr>
        <w:tc>
          <w:tcPr>
            <w:tcW w:w="1422" w:type="pct"/>
          </w:tcPr>
          <w:p w14:paraId="6BAFA3B3" w14:textId="77777777" w:rsidR="008934EC" w:rsidRDefault="008934EC" w:rsidP="00BD6D2B">
            <w:pPr>
              <w:pStyle w:val="TableBodyText"/>
            </w:pPr>
            <w:r>
              <w:t>New GSOO Procedures</w:t>
            </w:r>
          </w:p>
        </w:tc>
        <w:tc>
          <w:tcPr>
            <w:tcW w:w="1929" w:type="pct"/>
          </w:tcPr>
          <w:p w14:paraId="4C27EEA8" w14:textId="77777777" w:rsidR="00991AF9" w:rsidRPr="009E6EC5" w:rsidRDefault="00E429BC" w:rsidP="00991AF9">
            <w:pPr>
              <w:pStyle w:val="TableBodyText"/>
            </w:pPr>
            <w:r w:rsidRPr="009E6EC5">
              <w:t xml:space="preserve">Provide for </w:t>
            </w:r>
            <w:r w:rsidR="00991AF9" w:rsidRPr="009E6EC5">
              <w:t xml:space="preserve">AEMO </w:t>
            </w:r>
            <w:r w:rsidRPr="009E6EC5">
              <w:t>to</w:t>
            </w:r>
            <w:r w:rsidR="00991AF9" w:rsidRPr="009E6EC5">
              <w:t xml:space="preserve"> develop and publish the new GSOO </w:t>
            </w:r>
            <w:r w:rsidR="008934EC" w:rsidRPr="009E6EC5">
              <w:t>Procedures</w:t>
            </w:r>
            <w:r w:rsidR="00991AF9" w:rsidRPr="009E6EC5">
              <w:t>.</w:t>
            </w:r>
          </w:p>
          <w:p w14:paraId="32FB7AC6" w14:textId="77777777" w:rsidR="00991AF9" w:rsidRPr="009E6EC5" w:rsidRDefault="00991AF9" w:rsidP="00991AF9">
            <w:pPr>
              <w:pStyle w:val="TableBodyText"/>
            </w:pPr>
            <w:r w:rsidRPr="009E6EC5">
              <w:t xml:space="preserve">This would be </w:t>
            </w:r>
            <w:r w:rsidR="008934EC" w:rsidRPr="009E6EC5">
              <w:t>completed at least 3 months before the commencement date</w:t>
            </w:r>
            <w:r w:rsidRPr="009E6EC5">
              <w:t>.</w:t>
            </w:r>
          </w:p>
        </w:tc>
        <w:tc>
          <w:tcPr>
            <w:tcW w:w="1649" w:type="pct"/>
          </w:tcPr>
          <w:p w14:paraId="74A1CC4D" w14:textId="77777777" w:rsidR="008934EC" w:rsidRDefault="00991AF9" w:rsidP="008934EC">
            <w:pPr>
              <w:pStyle w:val="TableBodyText"/>
            </w:pPr>
            <w:r>
              <w:t>Schedule 1, Part 15, rule 76.</w:t>
            </w:r>
          </w:p>
        </w:tc>
      </w:tr>
      <w:tr w:rsidR="00991AF9" w:rsidRPr="00977003" w14:paraId="1ED07A6D" w14:textId="77777777" w:rsidTr="00F026C8">
        <w:trPr>
          <w:cantSplit/>
        </w:trPr>
        <w:tc>
          <w:tcPr>
            <w:tcW w:w="1422" w:type="pct"/>
          </w:tcPr>
          <w:p w14:paraId="52191E5A" w14:textId="77777777" w:rsidR="00991AF9" w:rsidRPr="00991AF9" w:rsidRDefault="00991AF9" w:rsidP="00991AF9">
            <w:pPr>
              <w:pStyle w:val="TableBodyText"/>
            </w:pPr>
            <w:r>
              <w:lastRenderedPageBreak/>
              <w:t>Transition of existing registrations</w:t>
            </w:r>
          </w:p>
        </w:tc>
        <w:tc>
          <w:tcPr>
            <w:tcW w:w="1929" w:type="pct"/>
          </w:tcPr>
          <w:p w14:paraId="28AE4B5F" w14:textId="14084201" w:rsidR="00991AF9" w:rsidRDefault="00E429BC" w:rsidP="008934EC">
            <w:pPr>
              <w:pStyle w:val="TableBodyText"/>
            </w:pPr>
            <w:r w:rsidRPr="009E6EC5">
              <w:t>Continue r</w:t>
            </w:r>
            <w:r w:rsidR="00991AF9" w:rsidRPr="009E6EC5">
              <w:t>egistrations in effect under Part 18 on the commencement date.</w:t>
            </w:r>
          </w:p>
          <w:p w14:paraId="2D32865C" w14:textId="2EFFEF25" w:rsidR="00C70064" w:rsidRPr="009E6EC5" w:rsidRDefault="00C70064" w:rsidP="008934EC">
            <w:pPr>
              <w:pStyle w:val="TableBodyText"/>
            </w:pPr>
            <w:r>
              <w:t xml:space="preserve">Provide for the reporting entities for transitional compression </w:t>
            </w:r>
            <w:r w:rsidR="00167649">
              <w:t xml:space="preserve">facilities </w:t>
            </w:r>
            <w:r>
              <w:t>under Schedule 5, and the transitional compression facilities, to be automatically registered under Part 18.</w:t>
            </w:r>
          </w:p>
          <w:p w14:paraId="418E4BD6" w14:textId="77777777" w:rsidR="00991AF9" w:rsidRPr="009E6EC5" w:rsidRDefault="00E429BC" w:rsidP="00E429BC">
            <w:pPr>
              <w:pStyle w:val="TableBodyText"/>
            </w:pPr>
            <w:r w:rsidRPr="009E6EC5">
              <w:t>Rename ‘c</w:t>
            </w:r>
            <w:r w:rsidR="00991AF9" w:rsidRPr="009E6EC5">
              <w:t>apacity transaction reporting agents</w:t>
            </w:r>
            <w:r w:rsidRPr="009E6EC5">
              <w:t>’</w:t>
            </w:r>
            <w:r w:rsidR="00991AF9" w:rsidRPr="009E6EC5">
              <w:t xml:space="preserve"> </w:t>
            </w:r>
            <w:r w:rsidRPr="009E6EC5">
              <w:t>as ‘BB reporting agents’ and ‘BB transportation facility users’ as ‘capacity sellers’.</w:t>
            </w:r>
          </w:p>
        </w:tc>
        <w:tc>
          <w:tcPr>
            <w:tcW w:w="1649" w:type="pct"/>
          </w:tcPr>
          <w:p w14:paraId="0B001FCC" w14:textId="77777777" w:rsidR="00991AF9" w:rsidRDefault="00991AF9" w:rsidP="00991AF9">
            <w:pPr>
              <w:pStyle w:val="TableBodyText"/>
            </w:pPr>
            <w:r>
              <w:t>Schedule 1, Part 15, rule 77.</w:t>
            </w:r>
          </w:p>
        </w:tc>
      </w:tr>
      <w:tr w:rsidR="00991AF9" w:rsidRPr="00977003" w14:paraId="486DEC47" w14:textId="77777777" w:rsidTr="00F026C8">
        <w:trPr>
          <w:cantSplit/>
        </w:trPr>
        <w:tc>
          <w:tcPr>
            <w:tcW w:w="1422" w:type="pct"/>
          </w:tcPr>
          <w:p w14:paraId="3EF56C9B" w14:textId="77777777" w:rsidR="00991AF9" w:rsidRDefault="00991AF9" w:rsidP="00991AF9">
            <w:pPr>
              <w:pStyle w:val="TableBodyText"/>
            </w:pPr>
            <w:r>
              <w:t>Registration of existing facilities</w:t>
            </w:r>
          </w:p>
        </w:tc>
        <w:tc>
          <w:tcPr>
            <w:tcW w:w="1929" w:type="pct"/>
          </w:tcPr>
          <w:p w14:paraId="68545B4F" w14:textId="77777777" w:rsidR="00BE00EA" w:rsidRDefault="00E429BC" w:rsidP="00991AF9">
            <w:pPr>
              <w:pStyle w:val="TableBodyText"/>
            </w:pPr>
            <w:r>
              <w:t xml:space="preserve">Require the </w:t>
            </w:r>
            <w:r w:rsidR="00991AF9">
              <w:t>facility operator for a</w:t>
            </w:r>
            <w:r w:rsidR="00BE00EA">
              <w:t>:</w:t>
            </w:r>
          </w:p>
          <w:p w14:paraId="073FE036" w14:textId="77777777" w:rsidR="00BE00EA" w:rsidRDefault="00991AF9" w:rsidP="00BE00EA">
            <w:pPr>
              <w:pStyle w:val="Newtablebullet"/>
            </w:pPr>
            <w:r w:rsidRPr="00991AF9">
              <w:t>BB compression facility</w:t>
            </w:r>
            <w:r w:rsidR="00BE00EA">
              <w:t>;</w:t>
            </w:r>
          </w:p>
          <w:p w14:paraId="38892A6B" w14:textId="77777777" w:rsidR="00BE00EA" w:rsidRDefault="00991AF9" w:rsidP="00BE00EA">
            <w:pPr>
              <w:pStyle w:val="Newtablebullet"/>
            </w:pPr>
            <w:r w:rsidRPr="00991AF9">
              <w:t>BB large user facility</w:t>
            </w:r>
            <w:r w:rsidR="00BE00EA">
              <w:t>; or</w:t>
            </w:r>
          </w:p>
          <w:p w14:paraId="012D2A8F" w14:textId="77777777" w:rsidR="00BE00EA" w:rsidRDefault="00BE00EA" w:rsidP="00BE00EA">
            <w:pPr>
              <w:pStyle w:val="Newtablebullet"/>
            </w:pPr>
            <w:r>
              <w:t>LNG processing facility,</w:t>
            </w:r>
          </w:p>
          <w:p w14:paraId="3CC661B4" w14:textId="77777777" w:rsidR="00991AF9" w:rsidRDefault="00991AF9" w:rsidP="00991AF9">
            <w:pPr>
              <w:pStyle w:val="TableBodyText"/>
            </w:pPr>
            <w:proofErr w:type="gramStart"/>
            <w:r w:rsidRPr="00991AF9">
              <w:t>commissioned</w:t>
            </w:r>
            <w:proofErr w:type="gramEnd"/>
            <w:r w:rsidRPr="00991AF9">
              <w:t xml:space="preserve"> on or before the commencement date</w:t>
            </w:r>
            <w:r>
              <w:t xml:space="preserve"> to apply for Part 18 registration no later than 20 business days after the commencement date.</w:t>
            </w:r>
          </w:p>
          <w:p w14:paraId="219F013F" w14:textId="77777777" w:rsidR="00BE00EA" w:rsidRDefault="00BE00EA" w:rsidP="00BE00EA">
            <w:pPr>
              <w:pStyle w:val="TableBodyText"/>
            </w:pPr>
            <w:r>
              <w:t>This would be subject to the exemption for members of a facility operator group (other than the responsible facility operator).</w:t>
            </w:r>
          </w:p>
        </w:tc>
        <w:tc>
          <w:tcPr>
            <w:tcW w:w="1649" w:type="pct"/>
          </w:tcPr>
          <w:p w14:paraId="6BFF9E6F" w14:textId="77777777" w:rsidR="00991AF9" w:rsidRDefault="00991AF9" w:rsidP="008934EC">
            <w:pPr>
              <w:pStyle w:val="TableBodyText"/>
            </w:pPr>
            <w:r>
              <w:t>Schedule 1, P</w:t>
            </w:r>
            <w:r w:rsidR="00BE00EA">
              <w:t xml:space="preserve">art 15, </w:t>
            </w:r>
            <w:proofErr w:type="spellStart"/>
            <w:r w:rsidR="00BE00EA">
              <w:t>subrules</w:t>
            </w:r>
            <w:proofErr w:type="spellEnd"/>
            <w:r w:rsidR="00BE00EA">
              <w:t xml:space="preserve"> 78(1), (2) and (6).</w:t>
            </w:r>
          </w:p>
        </w:tc>
      </w:tr>
      <w:tr w:rsidR="00991AF9" w:rsidRPr="00977003" w14:paraId="3AE824FF" w14:textId="77777777" w:rsidTr="00F026C8">
        <w:trPr>
          <w:cantSplit/>
        </w:trPr>
        <w:tc>
          <w:tcPr>
            <w:tcW w:w="1422" w:type="pct"/>
          </w:tcPr>
          <w:p w14:paraId="3C0E459F" w14:textId="77777777" w:rsidR="00991AF9" w:rsidRDefault="00991AF9" w:rsidP="00991AF9">
            <w:pPr>
              <w:pStyle w:val="TableBodyText"/>
            </w:pPr>
            <w:r>
              <w:t>Registration of existing fields</w:t>
            </w:r>
          </w:p>
        </w:tc>
        <w:tc>
          <w:tcPr>
            <w:tcW w:w="1929" w:type="pct"/>
          </w:tcPr>
          <w:p w14:paraId="0A91B8D6" w14:textId="77777777" w:rsidR="00991AF9" w:rsidRDefault="00E429BC" w:rsidP="00991AF9">
            <w:pPr>
              <w:pStyle w:val="TableBodyText"/>
            </w:pPr>
            <w:r>
              <w:t>Require a</w:t>
            </w:r>
            <w:r w:rsidR="00BE00EA">
              <w:t xml:space="preserve"> person with an interest in a BB field on the commencement date to apply for registration under Part 18 </w:t>
            </w:r>
            <w:r w:rsidR="00D847C3">
              <w:t>not later than</w:t>
            </w:r>
            <w:r w:rsidR="00BE00EA">
              <w:t xml:space="preserve"> 20 business days </w:t>
            </w:r>
            <w:r w:rsidR="00D847C3">
              <w:t>after</w:t>
            </w:r>
            <w:r w:rsidR="00BE00EA">
              <w:t xml:space="preserve"> the commencement date.</w:t>
            </w:r>
          </w:p>
          <w:p w14:paraId="136C9594" w14:textId="77777777" w:rsidR="00BE00EA" w:rsidRDefault="00BE00EA" w:rsidP="00BE00EA">
            <w:pPr>
              <w:pStyle w:val="TableBodyText"/>
            </w:pPr>
            <w:r>
              <w:t>This would be subject to the exemption for members of a field owner group (other than the responsible field owner).</w:t>
            </w:r>
          </w:p>
        </w:tc>
        <w:tc>
          <w:tcPr>
            <w:tcW w:w="1649" w:type="pct"/>
          </w:tcPr>
          <w:p w14:paraId="47B30C35" w14:textId="77777777" w:rsidR="00991AF9" w:rsidRDefault="00BE00EA" w:rsidP="00BE00EA">
            <w:pPr>
              <w:pStyle w:val="TableBodyText"/>
            </w:pPr>
            <w:r>
              <w:t xml:space="preserve">Schedule 1, Part 15, </w:t>
            </w:r>
            <w:proofErr w:type="spellStart"/>
            <w:r>
              <w:t>subrules</w:t>
            </w:r>
            <w:proofErr w:type="spellEnd"/>
            <w:r>
              <w:t xml:space="preserve"> 78(3), (4) and (6).</w:t>
            </w:r>
          </w:p>
        </w:tc>
      </w:tr>
      <w:tr w:rsidR="00BE00EA" w:rsidRPr="00977003" w14:paraId="150232D5" w14:textId="77777777" w:rsidTr="00F026C8">
        <w:trPr>
          <w:cantSplit/>
        </w:trPr>
        <w:tc>
          <w:tcPr>
            <w:tcW w:w="1422" w:type="pct"/>
          </w:tcPr>
          <w:p w14:paraId="76E01902" w14:textId="77777777" w:rsidR="00BE00EA" w:rsidRDefault="00BE00EA" w:rsidP="00BE00EA">
            <w:pPr>
              <w:pStyle w:val="TableBodyText"/>
            </w:pPr>
            <w:r>
              <w:t>Registration of existing facility development projects.</w:t>
            </w:r>
          </w:p>
        </w:tc>
        <w:tc>
          <w:tcPr>
            <w:tcW w:w="1929" w:type="pct"/>
          </w:tcPr>
          <w:p w14:paraId="0E2C61C8" w14:textId="77777777" w:rsidR="00BE00EA" w:rsidRDefault="00E429BC" w:rsidP="00E429BC">
            <w:pPr>
              <w:pStyle w:val="TableBodyText"/>
            </w:pPr>
            <w:r>
              <w:t>Require a</w:t>
            </w:r>
            <w:r w:rsidR="00BE00EA">
              <w:t xml:space="preserve"> project developer for a </w:t>
            </w:r>
            <w:r w:rsidR="00BE00EA" w:rsidRPr="00BE00EA">
              <w:t>facility development project that satisfies the criteria in the BB Procedures to be classified as a proposed or committed development on or before the commencement date</w:t>
            </w:r>
            <w:r w:rsidR="00BE00EA">
              <w:t xml:space="preserve"> to apply for registration under Part 18 </w:t>
            </w:r>
            <w:r w:rsidR="00D847C3">
              <w:t xml:space="preserve">not later than 20 business days after </w:t>
            </w:r>
            <w:r w:rsidR="00BE00EA">
              <w:t>the commencement date.</w:t>
            </w:r>
          </w:p>
        </w:tc>
        <w:tc>
          <w:tcPr>
            <w:tcW w:w="1649" w:type="pct"/>
          </w:tcPr>
          <w:p w14:paraId="57AFF977" w14:textId="77777777" w:rsidR="00BE00EA" w:rsidRDefault="00BE00EA" w:rsidP="008934EC">
            <w:pPr>
              <w:pStyle w:val="TableBodyText"/>
            </w:pPr>
            <w:r>
              <w:t xml:space="preserve">Schedule 1, Part 15, </w:t>
            </w:r>
            <w:proofErr w:type="spellStart"/>
            <w:r>
              <w:t>subrules</w:t>
            </w:r>
            <w:proofErr w:type="spellEnd"/>
            <w:r>
              <w:t xml:space="preserve"> 78(5) and (6).</w:t>
            </w:r>
          </w:p>
        </w:tc>
      </w:tr>
      <w:tr w:rsidR="00BE00EA" w:rsidRPr="00977003" w14:paraId="2FC20E3D" w14:textId="77777777" w:rsidTr="00F026C8">
        <w:trPr>
          <w:cantSplit/>
        </w:trPr>
        <w:tc>
          <w:tcPr>
            <w:tcW w:w="1422" w:type="pct"/>
          </w:tcPr>
          <w:p w14:paraId="1064DEBD" w14:textId="77777777" w:rsidR="00BE00EA" w:rsidRDefault="00BE00EA" w:rsidP="00991AF9">
            <w:pPr>
              <w:pStyle w:val="TableBodyText"/>
            </w:pPr>
            <w:r>
              <w:lastRenderedPageBreak/>
              <w:t>AER price reporting function</w:t>
            </w:r>
          </w:p>
        </w:tc>
        <w:tc>
          <w:tcPr>
            <w:tcW w:w="1929" w:type="pct"/>
          </w:tcPr>
          <w:p w14:paraId="08C1A579" w14:textId="77777777" w:rsidR="00BE00EA" w:rsidRDefault="00823CED" w:rsidP="00BE00EA">
            <w:pPr>
              <w:pStyle w:val="TableBodyText"/>
            </w:pPr>
            <w:r>
              <w:t xml:space="preserve">Require that the </w:t>
            </w:r>
            <w:r w:rsidR="00BE00EA" w:rsidRPr="00BE00EA">
              <w:t xml:space="preserve">AER </w:t>
            </w:r>
            <w:r>
              <w:t xml:space="preserve">does not </w:t>
            </w:r>
            <w:r w:rsidR="00BE00EA" w:rsidRPr="00BE00EA">
              <w:t xml:space="preserve">publish information </w:t>
            </w:r>
            <w:r w:rsidR="00BE00EA">
              <w:t xml:space="preserve">(other than information about gas price assumptions) </w:t>
            </w:r>
            <w:r w:rsidR="00BE00EA" w:rsidRPr="00BE00EA">
              <w:t xml:space="preserve">under the new price reporting rules </w:t>
            </w:r>
            <w:r w:rsidR="00BE00EA">
              <w:t xml:space="preserve">until after the </w:t>
            </w:r>
            <w:r>
              <w:t>ACCC publishes it</w:t>
            </w:r>
            <w:r w:rsidR="00A00431">
              <w:t>s</w:t>
            </w:r>
            <w:r>
              <w:t xml:space="preserve"> final report in the </w:t>
            </w:r>
            <w:r w:rsidR="00BE00EA" w:rsidRPr="00BE00EA">
              <w:t>ACCC gas inquiry</w:t>
            </w:r>
            <w:r w:rsidR="00BE00EA">
              <w:t>.</w:t>
            </w:r>
          </w:p>
          <w:p w14:paraId="19336A79" w14:textId="68690F18" w:rsidR="00BE00EA" w:rsidRDefault="00A00431" w:rsidP="00A00431">
            <w:pPr>
              <w:pStyle w:val="TableBodyText"/>
            </w:pPr>
            <w:r>
              <w:t xml:space="preserve">Require the </w:t>
            </w:r>
            <w:r w:rsidR="00BE00EA">
              <w:t xml:space="preserve">AER to consult </w:t>
            </w:r>
            <w:r w:rsidR="00383B36">
              <w:t xml:space="preserve">about the initial price information order and the initial determination under rule </w:t>
            </w:r>
            <w:proofErr w:type="gramStart"/>
            <w:r w:rsidR="00383B36">
              <w:t>140B(</w:t>
            </w:r>
            <w:proofErr w:type="gramEnd"/>
            <w:r w:rsidR="00383B36">
              <w:t xml:space="preserve">2) </w:t>
            </w:r>
            <w:r>
              <w:t>using the standard consultative procedure</w:t>
            </w:r>
            <w:r w:rsidR="00383B36">
              <w:t>.</w:t>
            </w:r>
          </w:p>
          <w:p w14:paraId="07F5B7E7" w14:textId="3F47099E" w:rsidR="00C70064" w:rsidRDefault="00C70064" w:rsidP="00C70064">
            <w:pPr>
              <w:pStyle w:val="TableBodyText"/>
            </w:pPr>
            <w:r>
              <w:t>Clarify that the AER may publish gas price assumptions at any time afte</w:t>
            </w:r>
            <w:r w:rsidR="003D69C6">
              <w:t>r the commencement date.</w:t>
            </w:r>
          </w:p>
        </w:tc>
        <w:tc>
          <w:tcPr>
            <w:tcW w:w="1649" w:type="pct"/>
          </w:tcPr>
          <w:p w14:paraId="789CBB15" w14:textId="77777777" w:rsidR="00BE00EA" w:rsidRDefault="00BE00EA" w:rsidP="008934EC">
            <w:pPr>
              <w:pStyle w:val="TableBodyText"/>
            </w:pPr>
            <w:r>
              <w:t>Schedule 1, Part 15, rule 79.</w:t>
            </w:r>
          </w:p>
        </w:tc>
      </w:tr>
      <w:tr w:rsidR="00691895" w:rsidRPr="00977003" w14:paraId="6D4B4B52" w14:textId="77777777" w:rsidTr="00F026C8">
        <w:trPr>
          <w:cantSplit/>
        </w:trPr>
        <w:tc>
          <w:tcPr>
            <w:tcW w:w="1422" w:type="pct"/>
          </w:tcPr>
          <w:p w14:paraId="42A90C82" w14:textId="77777777" w:rsidR="00691895" w:rsidRDefault="00691895" w:rsidP="00991AF9">
            <w:pPr>
              <w:pStyle w:val="TableBodyText"/>
            </w:pPr>
            <w:r>
              <w:t>Detailed facility information</w:t>
            </w:r>
          </w:p>
        </w:tc>
        <w:tc>
          <w:tcPr>
            <w:tcW w:w="1929" w:type="pct"/>
          </w:tcPr>
          <w:p w14:paraId="6A51A29A" w14:textId="77777777" w:rsidR="00691895" w:rsidRDefault="00691895" w:rsidP="00691895">
            <w:pPr>
              <w:pStyle w:val="TableBodyText"/>
            </w:pPr>
            <w:r>
              <w:t xml:space="preserve">Require the BB reporting entity for a BB transmission pipeline to give AEMO the additional categories of detailed facility information 20 business days after commencement. </w:t>
            </w:r>
          </w:p>
        </w:tc>
        <w:tc>
          <w:tcPr>
            <w:tcW w:w="1649" w:type="pct"/>
          </w:tcPr>
          <w:p w14:paraId="58D7E3CE" w14:textId="77777777" w:rsidR="00691895" w:rsidRDefault="00691895" w:rsidP="008934EC">
            <w:pPr>
              <w:pStyle w:val="TableBodyText"/>
            </w:pPr>
            <w:r>
              <w:t>Schedule 1, Part 15, rule 80.</w:t>
            </w:r>
          </w:p>
        </w:tc>
      </w:tr>
      <w:tr w:rsidR="00525E82" w:rsidRPr="00977003" w14:paraId="1B248EDC" w14:textId="77777777" w:rsidTr="00F026C8">
        <w:trPr>
          <w:cantSplit/>
        </w:trPr>
        <w:tc>
          <w:tcPr>
            <w:tcW w:w="1422" w:type="pct"/>
          </w:tcPr>
          <w:p w14:paraId="7C9581CB" w14:textId="77777777" w:rsidR="00525E82" w:rsidRDefault="00525E82" w:rsidP="00991AF9">
            <w:pPr>
              <w:pStyle w:val="TableBodyText"/>
            </w:pPr>
            <w:r>
              <w:t>Price reporting guidelines</w:t>
            </w:r>
          </w:p>
        </w:tc>
        <w:tc>
          <w:tcPr>
            <w:tcW w:w="1929" w:type="pct"/>
          </w:tcPr>
          <w:p w14:paraId="0EA15670" w14:textId="2174FC43" w:rsidR="00525E82" w:rsidRDefault="00525E82" w:rsidP="003D69C6">
            <w:pPr>
              <w:pStyle w:val="TableBodyText"/>
            </w:pPr>
            <w:r>
              <w:t xml:space="preserve">Require the </w:t>
            </w:r>
            <w:r w:rsidRPr="00525E82">
              <w:t xml:space="preserve">AER </w:t>
            </w:r>
            <w:r>
              <w:t xml:space="preserve">to </w:t>
            </w:r>
            <w:r w:rsidRPr="00525E82">
              <w:t>publish the initial price reporting guidelines under rule 198</w:t>
            </w:r>
            <w:r w:rsidR="003D69C6">
              <w:t>H</w:t>
            </w:r>
            <w:r w:rsidRPr="00525E82">
              <w:t xml:space="preserve"> in new Part 18A no later than </w:t>
            </w:r>
            <w:r w:rsidRPr="009E6EC5">
              <w:t>5 months</w:t>
            </w:r>
            <w:r w:rsidRPr="00525E82">
              <w:t xml:space="preserve"> after the date Part 18A commences.</w:t>
            </w:r>
          </w:p>
        </w:tc>
        <w:tc>
          <w:tcPr>
            <w:tcW w:w="1649" w:type="pct"/>
          </w:tcPr>
          <w:p w14:paraId="5E7DCCBE" w14:textId="77777777" w:rsidR="00525E82" w:rsidRDefault="00525E82" w:rsidP="00525E82">
            <w:pPr>
              <w:pStyle w:val="TableBodyText"/>
            </w:pPr>
            <w:r>
              <w:t>Schedule 1, Part 15, rule 81.</w:t>
            </w:r>
          </w:p>
        </w:tc>
      </w:tr>
    </w:tbl>
    <w:p w14:paraId="64894EBC" w14:textId="77777777" w:rsidR="007740DB" w:rsidRPr="00E51706" w:rsidRDefault="007740DB" w:rsidP="007740DB">
      <w:pPr>
        <w:pStyle w:val="Heading1"/>
      </w:pPr>
      <w:bookmarkStart w:id="128" w:name="_Ref41655331"/>
      <w:bookmarkStart w:id="129" w:name="_Toc45015304"/>
      <w:r>
        <w:lastRenderedPageBreak/>
        <w:t>Incidental Rule amendments</w:t>
      </w:r>
      <w:bookmarkEnd w:id="128"/>
      <w:bookmarkEnd w:id="129"/>
      <w:r>
        <w:t xml:space="preserve"> </w:t>
      </w:r>
    </w:p>
    <w:p w14:paraId="029E60B6" w14:textId="1C1AF9B8" w:rsidR="007740DB" w:rsidRDefault="007740DB" w:rsidP="007740DB">
      <w:pPr>
        <w:pStyle w:val="BodyText"/>
      </w:pPr>
      <w:r>
        <w:t xml:space="preserve">This section provides an overview of the incidental amendments </w:t>
      </w:r>
      <w:r w:rsidR="004F3221">
        <w:t xml:space="preserve">proposed for </w:t>
      </w:r>
      <w:r w:rsidR="00D50B18">
        <w:t xml:space="preserve">Part 15B and </w:t>
      </w:r>
      <w:r>
        <w:t>Part 18</w:t>
      </w:r>
      <w:r w:rsidR="004F3221">
        <w:t xml:space="preserve"> of the Rules</w:t>
      </w:r>
      <w:r>
        <w:t xml:space="preserve">. </w:t>
      </w:r>
      <w:r w:rsidR="00C743E0">
        <w:t xml:space="preserve">If you would like to provide feedback on any of these </w:t>
      </w:r>
      <w:r w:rsidR="001F3673">
        <w:t>incidental</w:t>
      </w:r>
      <w:r w:rsidR="00C743E0">
        <w:t xml:space="preserve"> amendments, please do so in the response template in </w:t>
      </w:r>
      <w:r w:rsidR="00C743E0" w:rsidRPr="000B4A0B">
        <w:rPr>
          <w:b/>
          <w:bCs/>
        </w:rPr>
        <w:t>Attachment B</w:t>
      </w:r>
      <w:r w:rsidR="00C743E0">
        <w:rPr>
          <w:b/>
          <w:bCs/>
        </w:rPr>
        <w:t xml:space="preserve">. </w:t>
      </w:r>
    </w:p>
    <w:tbl>
      <w:tblPr>
        <w:tblStyle w:val="ACCCTable11"/>
        <w:tblW w:w="5000" w:type="pct"/>
        <w:tblLayout w:type="fixed"/>
        <w:tblLook w:val="06A0" w:firstRow="1" w:lastRow="0" w:firstColumn="1" w:lastColumn="0" w:noHBand="1" w:noVBand="1"/>
      </w:tblPr>
      <w:tblGrid>
        <w:gridCol w:w="3970"/>
        <w:gridCol w:w="5528"/>
        <w:gridCol w:w="4461"/>
      </w:tblGrid>
      <w:tr w:rsidR="004574FE" w:rsidRPr="002F7121" w14:paraId="70556614" w14:textId="77777777" w:rsidTr="00C743E0">
        <w:trPr>
          <w:cnfStyle w:val="100000000000" w:firstRow="1" w:lastRow="0" w:firstColumn="0" w:lastColumn="0" w:oddVBand="0" w:evenVBand="0" w:oddHBand="0" w:evenHBand="0" w:firstRowFirstColumn="0" w:firstRowLastColumn="0" w:lastRowFirstColumn="0" w:lastRowLastColumn="0"/>
          <w:cantSplit/>
          <w:trHeight w:val="101"/>
          <w:tblHeader/>
        </w:trPr>
        <w:tc>
          <w:tcPr>
            <w:tcW w:w="1422" w:type="pct"/>
            <w:tcBorders>
              <w:bottom w:val="single" w:sz="4" w:space="0" w:color="auto"/>
            </w:tcBorders>
            <w:shd w:val="clear" w:color="auto" w:fill="005595"/>
          </w:tcPr>
          <w:p w14:paraId="10F0D480" w14:textId="77777777" w:rsidR="004574FE" w:rsidRDefault="00D526AC" w:rsidP="00AB417F">
            <w:pPr>
              <w:spacing w:before="40" w:after="40"/>
              <w:rPr>
                <w:rFonts w:cs="Arial"/>
              </w:rPr>
            </w:pPr>
            <w:r>
              <w:rPr>
                <w:rFonts w:cs="Arial"/>
              </w:rPr>
              <w:t>Proposed amendment</w:t>
            </w:r>
          </w:p>
        </w:tc>
        <w:tc>
          <w:tcPr>
            <w:tcW w:w="1980" w:type="pct"/>
            <w:tcBorders>
              <w:bottom w:val="single" w:sz="4" w:space="0" w:color="auto"/>
            </w:tcBorders>
            <w:shd w:val="clear" w:color="auto" w:fill="005595"/>
            <w:hideMark/>
          </w:tcPr>
          <w:p w14:paraId="0214F6B1" w14:textId="77777777" w:rsidR="004574FE" w:rsidRPr="002F7121" w:rsidRDefault="004574FE" w:rsidP="006212A9">
            <w:pPr>
              <w:spacing w:before="40" w:after="40"/>
              <w:rPr>
                <w:rFonts w:cs="Arial"/>
              </w:rPr>
            </w:pPr>
            <w:r>
              <w:rPr>
                <w:rFonts w:cs="Arial"/>
              </w:rPr>
              <w:t>Proposed approach to implementation</w:t>
            </w:r>
          </w:p>
        </w:tc>
        <w:tc>
          <w:tcPr>
            <w:tcW w:w="1598" w:type="pct"/>
            <w:tcBorders>
              <w:bottom w:val="single" w:sz="4" w:space="0" w:color="auto"/>
            </w:tcBorders>
            <w:shd w:val="clear" w:color="auto" w:fill="005595"/>
            <w:hideMark/>
          </w:tcPr>
          <w:p w14:paraId="794893A7" w14:textId="77777777" w:rsidR="004574FE" w:rsidRPr="002F7121" w:rsidRDefault="00504711" w:rsidP="00504711">
            <w:pPr>
              <w:spacing w:before="40" w:after="40"/>
              <w:rPr>
                <w:rFonts w:cs="Arial"/>
              </w:rPr>
            </w:pPr>
            <w:r>
              <w:rPr>
                <w:rFonts w:cs="Arial"/>
              </w:rPr>
              <w:t>Proposed c</w:t>
            </w:r>
            <w:r w:rsidR="00E70E12">
              <w:rPr>
                <w:rFonts w:cs="Arial"/>
              </w:rPr>
              <w:t>hanges</w:t>
            </w:r>
            <w:r w:rsidR="00D42B8F">
              <w:rPr>
                <w:rFonts w:cs="Arial"/>
              </w:rPr>
              <w:t xml:space="preserve"> in Part 18</w:t>
            </w:r>
          </w:p>
        </w:tc>
      </w:tr>
      <w:tr w:rsidR="00D50B18" w:rsidRPr="00BD6D2B" w14:paraId="6344EFAF" w14:textId="77777777" w:rsidTr="00D50B18">
        <w:trPr>
          <w:cantSplit/>
        </w:trPr>
        <w:tc>
          <w:tcPr>
            <w:tcW w:w="5000" w:type="pct"/>
            <w:gridSpan w:val="3"/>
            <w:shd w:val="clear" w:color="auto" w:fill="F2F2F2" w:themeFill="background1" w:themeFillShade="F2"/>
          </w:tcPr>
          <w:p w14:paraId="0EC2D3D3" w14:textId="20DD5396" w:rsidR="00D50B18" w:rsidRDefault="00D50B18" w:rsidP="00D42B8F">
            <w:pPr>
              <w:pStyle w:val="TableBodyText"/>
            </w:pPr>
            <w:r>
              <w:t>Part 15B</w:t>
            </w:r>
          </w:p>
        </w:tc>
      </w:tr>
      <w:tr w:rsidR="00D50B18" w:rsidRPr="00BD6D2B" w14:paraId="24249A0C" w14:textId="77777777" w:rsidTr="00C743E0">
        <w:trPr>
          <w:cantSplit/>
        </w:trPr>
        <w:tc>
          <w:tcPr>
            <w:tcW w:w="1422" w:type="pct"/>
          </w:tcPr>
          <w:p w14:paraId="7555F94B" w14:textId="23FAC5D3" w:rsidR="00D50B18" w:rsidRDefault="00D50B18" w:rsidP="00D526AC">
            <w:pPr>
              <w:pStyle w:val="TableBodyText"/>
            </w:pPr>
            <w:r>
              <w:t>The requirement for the BB Procedures to define demand zones and production zones would be removed.</w:t>
            </w:r>
          </w:p>
        </w:tc>
        <w:tc>
          <w:tcPr>
            <w:tcW w:w="1980" w:type="pct"/>
          </w:tcPr>
          <w:p w14:paraId="7E49A628" w14:textId="3C662348" w:rsidR="00D50B18" w:rsidRDefault="00D50B18" w:rsidP="00D50B18">
            <w:pPr>
              <w:pStyle w:val="TableBodyText"/>
            </w:pPr>
            <w:r>
              <w:t xml:space="preserve">The provision is now redundant as demand zones and production zones were removed from Part 18 by an AEMC-made rule change following the east coast gas review. </w:t>
            </w:r>
          </w:p>
        </w:tc>
        <w:tc>
          <w:tcPr>
            <w:tcW w:w="1598" w:type="pct"/>
          </w:tcPr>
          <w:p w14:paraId="6A784CBB" w14:textId="6757B41A" w:rsidR="00D50B18" w:rsidRDefault="00D50B18" w:rsidP="00D42B8F">
            <w:pPr>
              <w:pStyle w:val="TableBodyText"/>
            </w:pPr>
            <w:r>
              <w:t xml:space="preserve">Delete paragraph </w:t>
            </w:r>
            <w:proofErr w:type="gramStart"/>
            <w:r>
              <w:t>135EA(</w:t>
            </w:r>
            <w:proofErr w:type="gramEnd"/>
            <w:r>
              <w:t>3)(g).</w:t>
            </w:r>
          </w:p>
        </w:tc>
      </w:tr>
      <w:tr w:rsidR="00D50B18" w:rsidRPr="00BD6D2B" w14:paraId="194DCEE8" w14:textId="77777777" w:rsidTr="00D50B18">
        <w:trPr>
          <w:cantSplit/>
        </w:trPr>
        <w:tc>
          <w:tcPr>
            <w:tcW w:w="5000" w:type="pct"/>
            <w:gridSpan w:val="3"/>
            <w:shd w:val="clear" w:color="auto" w:fill="F2F2F2" w:themeFill="background1" w:themeFillShade="F2"/>
          </w:tcPr>
          <w:p w14:paraId="02EB55F8" w14:textId="6BA92C74" w:rsidR="00D50B18" w:rsidRDefault="00D50B18" w:rsidP="00D42B8F">
            <w:pPr>
              <w:pStyle w:val="TableBodyText"/>
            </w:pPr>
            <w:r>
              <w:t>Part 18</w:t>
            </w:r>
          </w:p>
        </w:tc>
      </w:tr>
      <w:tr w:rsidR="004574FE" w:rsidRPr="00BD6D2B" w14:paraId="677DC656" w14:textId="77777777" w:rsidTr="00C743E0">
        <w:trPr>
          <w:cantSplit/>
        </w:trPr>
        <w:tc>
          <w:tcPr>
            <w:tcW w:w="1422" w:type="pct"/>
          </w:tcPr>
          <w:p w14:paraId="1739FA24" w14:textId="77777777" w:rsidR="004574FE" w:rsidRPr="00BD6D2B" w:rsidRDefault="00D526AC" w:rsidP="00D526AC">
            <w:pPr>
              <w:pStyle w:val="TableBodyText"/>
            </w:pPr>
            <w:r>
              <w:t>The registration provisions in Subdivision 3.1 would be restructured and simplified to clarify registration obligations and to remove unnecessary duplication.</w:t>
            </w:r>
          </w:p>
        </w:tc>
        <w:tc>
          <w:tcPr>
            <w:tcW w:w="1980" w:type="pct"/>
          </w:tcPr>
          <w:p w14:paraId="263DE7B5" w14:textId="77777777" w:rsidR="004574FE" w:rsidRDefault="00D526AC" w:rsidP="00D526AC">
            <w:pPr>
              <w:pStyle w:val="TableBodyText"/>
            </w:pPr>
            <w:r>
              <w:t>The registration provisions</w:t>
            </w:r>
            <w:r w:rsidR="00D42B8F">
              <w:t xml:space="preserve"> </w:t>
            </w:r>
            <w:r>
              <w:t>in their current form are the result of changes made for the first round of BB enhancements in 2018 and later additions. With the addition of new registration categories, it is timely to update</w:t>
            </w:r>
            <w:r w:rsidR="00D42B8F">
              <w:t xml:space="preserve"> and simplify</w:t>
            </w:r>
            <w:r>
              <w:t xml:space="preserve"> them.</w:t>
            </w:r>
          </w:p>
          <w:p w14:paraId="2FEEE02C" w14:textId="77777777" w:rsidR="005F1187" w:rsidRDefault="005F1187" w:rsidP="00D526AC">
            <w:pPr>
              <w:pStyle w:val="TableBodyText"/>
            </w:pPr>
            <w:r>
              <w:t>Under the old structure, registration of the facility operator</w:t>
            </w:r>
            <w:r w:rsidR="005A6ED7">
              <w:t xml:space="preserve">, </w:t>
            </w:r>
            <w:r>
              <w:t>facility</w:t>
            </w:r>
            <w:r w:rsidR="005A6ED7">
              <w:t xml:space="preserve">, BB reporting entity for the facility </w:t>
            </w:r>
            <w:r>
              <w:t>and facility operator groups were de</w:t>
            </w:r>
            <w:r w:rsidR="005A6ED7">
              <w:t>alt with in separate provisions. A</w:t>
            </w:r>
            <w:r>
              <w:t>llowance was made for the entities and facilities already registered when BB enhancements came into effect in 2018.</w:t>
            </w:r>
          </w:p>
          <w:p w14:paraId="7A1AD485" w14:textId="77777777" w:rsidR="005F1187" w:rsidRDefault="00D526AC" w:rsidP="005F1187">
            <w:pPr>
              <w:pStyle w:val="TableBodyText"/>
            </w:pPr>
            <w:r>
              <w:t xml:space="preserve">Under the </w:t>
            </w:r>
            <w:r w:rsidR="003019AB">
              <w:t xml:space="preserve">proposed </w:t>
            </w:r>
            <w:r w:rsidR="00D42B8F">
              <w:t xml:space="preserve">new provisions, </w:t>
            </w:r>
            <w:r w:rsidR="005F1187">
              <w:t xml:space="preserve">the focus is on the obligation to </w:t>
            </w:r>
            <w:r>
              <w:t>register as a BB reporting entity and the time</w:t>
            </w:r>
            <w:r w:rsidR="005F1187">
              <w:t xml:space="preserve"> by which the application to register must be made. The BB Procedures will allow AEMO to structure its registration procedures to </w:t>
            </w:r>
            <w:r w:rsidR="00AB417F">
              <w:t>have standing registrations for entities and facilities, and to link an entity with a facility as a BB reporting entity. If t</w:t>
            </w:r>
            <w:r w:rsidR="00F57D2A">
              <w:t xml:space="preserve">he BB reporting entity </w:t>
            </w:r>
            <w:r w:rsidR="00AB417F">
              <w:t>changes, AEMO will be able to make the change without requiring a new registration of the entity or facility.</w:t>
            </w:r>
          </w:p>
          <w:p w14:paraId="7257D8AA" w14:textId="77777777" w:rsidR="00AB417F" w:rsidRDefault="00C7113F" w:rsidP="005F1187">
            <w:pPr>
              <w:pStyle w:val="TableBodyText"/>
            </w:pPr>
            <w:r>
              <w:t xml:space="preserve">The rules allow </w:t>
            </w:r>
            <w:r w:rsidR="00AB417F">
              <w:t xml:space="preserve">AEMO </w:t>
            </w:r>
            <w:r>
              <w:t xml:space="preserve">to have a </w:t>
            </w:r>
            <w:r w:rsidR="00AB417F">
              <w:t>modified registration process for entities that only report very infrequently.</w:t>
            </w:r>
          </w:p>
          <w:p w14:paraId="2F1FF6C2" w14:textId="79EDB1D3" w:rsidR="00517811" w:rsidRPr="00BD6D2B" w:rsidRDefault="00AB417F" w:rsidP="00AD546B">
            <w:pPr>
              <w:pStyle w:val="TableBodyText"/>
            </w:pPr>
            <w:r>
              <w:t>New Subdivision 3.1 will retain and extend the ‘group’ registration</w:t>
            </w:r>
            <w:r w:rsidR="00F57D2A">
              <w:t xml:space="preserve"> a</w:t>
            </w:r>
            <w:r>
              <w:t xml:space="preserve">rrangements so that </w:t>
            </w:r>
            <w:r w:rsidR="005F1187">
              <w:t xml:space="preserve">where there is more than one person who would be required to register for a BB facility, BB field interest or facility development project, one of them to be nominated as the person required to register. </w:t>
            </w:r>
          </w:p>
        </w:tc>
        <w:tc>
          <w:tcPr>
            <w:tcW w:w="1598" w:type="pct"/>
          </w:tcPr>
          <w:p w14:paraId="784A33D6" w14:textId="77777777" w:rsidR="004574FE" w:rsidRDefault="00D42B8F" w:rsidP="00D42B8F">
            <w:pPr>
              <w:pStyle w:val="TableBodyText"/>
            </w:pPr>
            <w:r>
              <w:t>Amendments to cross references in relevant definitions in rule 141(1) (</w:t>
            </w:r>
            <w:r w:rsidR="001D64F2">
              <w:t>in ‘</w:t>
            </w:r>
            <w:r>
              <w:t>registered BB shipper</w:t>
            </w:r>
            <w:r w:rsidR="001D64F2">
              <w:t>’ and ‘</w:t>
            </w:r>
            <w:r>
              <w:t>responsible facility operator</w:t>
            </w:r>
            <w:r w:rsidR="001D64F2">
              <w:t>’</w:t>
            </w:r>
            <w:r>
              <w:t>).</w:t>
            </w:r>
          </w:p>
          <w:p w14:paraId="51B37DE5" w14:textId="77777777" w:rsidR="00E70E12" w:rsidRDefault="00E70E12" w:rsidP="00E70E12">
            <w:pPr>
              <w:pStyle w:val="TableBodyText"/>
            </w:pPr>
            <w:r>
              <w:t>In Division 3, Subdivisions 3.1 and 3.2 will be replaced.</w:t>
            </w:r>
          </w:p>
          <w:p w14:paraId="6DF19C6B" w14:textId="77777777" w:rsidR="00D42B8F" w:rsidRDefault="00D42B8F" w:rsidP="00E70E12">
            <w:pPr>
              <w:pStyle w:val="TableBodyText"/>
            </w:pPr>
            <w:r>
              <w:t xml:space="preserve">New Subdivision 3.1 </w:t>
            </w:r>
            <w:r w:rsidR="00E70E12">
              <w:t>will set out the registration categories and obligations to register and will explain the effect of group registration.</w:t>
            </w:r>
          </w:p>
          <w:p w14:paraId="690ABA17" w14:textId="6EDCCEA8" w:rsidR="00E70E12" w:rsidRDefault="00E70E12" w:rsidP="00E70E12">
            <w:pPr>
              <w:pStyle w:val="TableBodyText"/>
            </w:pPr>
            <w:r>
              <w:t>New Subdivision 3.2 will deal with the registration process, revocation of registration and obligations to update registration information</w:t>
            </w:r>
            <w:r w:rsidR="0025755C">
              <w:t xml:space="preserve"> and will provide for registration subject to conditions requiring a defective application to be remedied or missing information to be provided</w:t>
            </w:r>
            <w:r>
              <w:t>.</w:t>
            </w:r>
          </w:p>
          <w:p w14:paraId="5B92030F" w14:textId="77777777" w:rsidR="00504711" w:rsidRDefault="000C68C4" w:rsidP="00E70E12">
            <w:pPr>
              <w:pStyle w:val="TableBodyText"/>
            </w:pPr>
            <w:r>
              <w:t>R</w:t>
            </w:r>
            <w:r w:rsidR="00504711">
              <w:t xml:space="preserve">ule 144(2) </w:t>
            </w:r>
            <w:r>
              <w:t xml:space="preserve">will be amended </w:t>
            </w:r>
            <w:r w:rsidR="00504711">
              <w:t>to remove reference to the Part 18 replacement date and instead deal with registration of former remote BB facilities through rule 150.</w:t>
            </w:r>
          </w:p>
          <w:p w14:paraId="0B8C3636" w14:textId="77777777" w:rsidR="000C68C4" w:rsidRDefault="000C68C4" w:rsidP="00E70E12">
            <w:pPr>
              <w:pStyle w:val="TableBodyText"/>
            </w:pPr>
            <w:r>
              <w:t>Rule 190D about reporting through an agent will be moved to rule 162 and updated.</w:t>
            </w:r>
          </w:p>
          <w:p w14:paraId="1D086E57" w14:textId="77777777" w:rsidR="005A6ED7" w:rsidRPr="00BD6D2B" w:rsidRDefault="005A6ED7" w:rsidP="005A6ED7">
            <w:pPr>
              <w:pStyle w:val="TableBodyText"/>
            </w:pPr>
            <w:r>
              <w:t>The transitional rules will deal with entities already registered when the amended rules come into effect.</w:t>
            </w:r>
          </w:p>
        </w:tc>
      </w:tr>
      <w:tr w:rsidR="00AD546B" w:rsidRPr="00BD6D2B" w14:paraId="08A11211" w14:textId="77777777" w:rsidTr="00C743E0">
        <w:trPr>
          <w:cantSplit/>
        </w:trPr>
        <w:tc>
          <w:tcPr>
            <w:tcW w:w="1422" w:type="pct"/>
          </w:tcPr>
          <w:p w14:paraId="2050F9DD" w14:textId="77777777" w:rsidR="00AD546B" w:rsidRDefault="00AD546B" w:rsidP="00AD546B">
            <w:pPr>
              <w:pStyle w:val="TableBodyText"/>
            </w:pPr>
            <w:r>
              <w:lastRenderedPageBreak/>
              <w:t xml:space="preserve">The registration provisions will require registration to occur if AEMO is reasonably satisfied that the applicant, or relevant facility or field, is eligible for registration. </w:t>
            </w:r>
          </w:p>
          <w:p w14:paraId="3E4F0DDA" w14:textId="36883526" w:rsidR="00AD546B" w:rsidRDefault="00AD546B" w:rsidP="00AD546B">
            <w:pPr>
              <w:pStyle w:val="TableBodyText"/>
            </w:pPr>
            <w:r>
              <w:t>AEMO will also be able to impose conditions requiring any defects in the registration application to be remedied after registration has occurred.</w:t>
            </w:r>
          </w:p>
        </w:tc>
        <w:tc>
          <w:tcPr>
            <w:tcW w:w="1980" w:type="pct"/>
          </w:tcPr>
          <w:p w14:paraId="1D42D7B5" w14:textId="11335918" w:rsidR="00AD546B" w:rsidRDefault="00AD546B" w:rsidP="00D526AC">
            <w:pPr>
              <w:pStyle w:val="TableBodyText"/>
            </w:pPr>
            <w:r>
              <w:t>Part 18 imposed the obligation to report on the BB reporting entity. An entity will only be a BB reporting entity once registered. In order to prevent an applicant benefiting from a defective application, thereby delaying registration, it is proposed that new rules will require registration to occur at the earliest opportunity and will allow AEMO to impose conditions on the registration to require defects to be remedied or missing information to be provided within a time set by AEMO.</w:t>
            </w:r>
          </w:p>
          <w:p w14:paraId="79D3400E" w14:textId="0E1683EB" w:rsidR="00AD546B" w:rsidRDefault="00AD546B" w:rsidP="00D526AC">
            <w:pPr>
              <w:pStyle w:val="TableBodyText"/>
            </w:pPr>
            <w:r>
              <w:t>Allowing registration based on incomplete applications is considered appropriate as (unlike other markets managed by AEMO) registration for the BB is not a condition of market entry; persons required to register are already participating in the market and should not have the opportunity to delay reporting under Part 18 by delaying BB registration.</w:t>
            </w:r>
          </w:p>
        </w:tc>
        <w:tc>
          <w:tcPr>
            <w:tcW w:w="1598" w:type="pct"/>
          </w:tcPr>
          <w:p w14:paraId="384D4D73" w14:textId="11297D25" w:rsidR="00AD546B" w:rsidRDefault="00AD546B" w:rsidP="00AD546B">
            <w:pPr>
              <w:pStyle w:val="TableBodyText"/>
            </w:pPr>
            <w:r>
              <w:t>Rules 157(5) to (8) will provide for registration subject to conditions requiring a defective application to be remedied or missing information to be provided.</w:t>
            </w:r>
          </w:p>
        </w:tc>
      </w:tr>
      <w:tr w:rsidR="00AB417F" w:rsidRPr="00BD6D2B" w14:paraId="63BFF25D" w14:textId="77777777" w:rsidTr="00C743E0">
        <w:trPr>
          <w:cantSplit/>
        </w:trPr>
        <w:tc>
          <w:tcPr>
            <w:tcW w:w="1422" w:type="pct"/>
          </w:tcPr>
          <w:p w14:paraId="5F2EBD10" w14:textId="602B856D" w:rsidR="00AB417F" w:rsidRDefault="00AB417F" w:rsidP="00AB417F">
            <w:pPr>
              <w:pStyle w:val="TableBodyText"/>
            </w:pPr>
            <w:r>
              <w:t>The content of the BB register would be amended to reflect the new registration arrangements</w:t>
            </w:r>
            <w:r w:rsidR="000D4DF1">
              <w:t xml:space="preserve"> and new reporting categories</w:t>
            </w:r>
            <w:r>
              <w:t>.</w:t>
            </w:r>
          </w:p>
        </w:tc>
        <w:tc>
          <w:tcPr>
            <w:tcW w:w="1980" w:type="pct"/>
          </w:tcPr>
          <w:p w14:paraId="1F17F744" w14:textId="77777777" w:rsidR="006C103A" w:rsidRDefault="006C103A" w:rsidP="006C103A">
            <w:pPr>
              <w:pStyle w:val="TableBodyText"/>
            </w:pPr>
            <w:r>
              <w:t>There can be more than one facility operator for a BB facility, field owner for a BB field interest or facility developer for a facility development project.</w:t>
            </w:r>
          </w:p>
          <w:p w14:paraId="7575A71E" w14:textId="77777777" w:rsidR="00AB417F" w:rsidRDefault="00E70E12" w:rsidP="00C861DF">
            <w:pPr>
              <w:pStyle w:val="TableBodyText"/>
            </w:pPr>
            <w:r>
              <w:t>The new registration provisions require only the registration of t</w:t>
            </w:r>
            <w:r w:rsidR="006C103A">
              <w:t>he entity taking on the role of BB reporting entity. A</w:t>
            </w:r>
            <w:r w:rsidR="00C861DF">
              <w:t>s a</w:t>
            </w:r>
            <w:r w:rsidR="006C103A">
              <w:t xml:space="preserve"> c</w:t>
            </w:r>
            <w:r w:rsidR="00C861DF">
              <w:t>onsequence, AEMO will not publish details about the BB reporting entity</w:t>
            </w:r>
            <w:r w:rsidR="00C7113F">
              <w:t xml:space="preserve"> and not all facility operators for a facility</w:t>
            </w:r>
            <w:r w:rsidR="00C861DF">
              <w:t>. A similar approach will apply where there is more than one field owner or facility developer</w:t>
            </w:r>
            <w:r w:rsidR="00C7113F">
              <w:t xml:space="preserve"> with the result that </w:t>
            </w:r>
            <w:r w:rsidR="00C861DF">
              <w:t>only the BB reporting entity will be included in the BB register.</w:t>
            </w:r>
          </w:p>
          <w:p w14:paraId="3D992BAD" w14:textId="77777777" w:rsidR="00C861DF" w:rsidRDefault="00C861DF" w:rsidP="00C861DF">
            <w:pPr>
              <w:pStyle w:val="TableBodyText"/>
            </w:pPr>
            <w:r>
              <w:t>The identity of BB transportation facility users would not be included in the BB register.</w:t>
            </w:r>
          </w:p>
        </w:tc>
        <w:tc>
          <w:tcPr>
            <w:tcW w:w="1598" w:type="pct"/>
          </w:tcPr>
          <w:p w14:paraId="382D5667" w14:textId="7CBF4A49" w:rsidR="002C3E5E" w:rsidRDefault="002C3E5E" w:rsidP="002C3E5E">
            <w:pPr>
              <w:pStyle w:val="TableBodyText"/>
            </w:pPr>
            <w:r>
              <w:t>Deletion of r</w:t>
            </w:r>
            <w:r w:rsidR="00C861DF">
              <w:t>ules 147</w:t>
            </w:r>
            <w:r>
              <w:t>(1</w:t>
            </w:r>
            <w:proofErr w:type="gramStart"/>
            <w:r>
              <w:t>)</w:t>
            </w:r>
            <w:r w:rsidR="00C861DF">
              <w:t>(</w:t>
            </w:r>
            <w:proofErr w:type="gramEnd"/>
            <w:r w:rsidR="00C861DF">
              <w:t>a)</w:t>
            </w:r>
            <w:r>
              <w:t xml:space="preserve">, </w:t>
            </w:r>
            <w:r w:rsidR="000D4DF1">
              <w:t xml:space="preserve">former rule </w:t>
            </w:r>
            <w:r>
              <w:t>(1)</w:t>
            </w:r>
            <w:r w:rsidR="00C861DF">
              <w:t xml:space="preserve">(g) </w:t>
            </w:r>
            <w:r w:rsidR="000D4DF1">
              <w:t xml:space="preserve">(now replaced) </w:t>
            </w:r>
            <w:r>
              <w:t>and (3)(a)</w:t>
            </w:r>
            <w:r w:rsidR="00C861DF">
              <w:t>.</w:t>
            </w:r>
          </w:p>
          <w:p w14:paraId="3E587CFE" w14:textId="55EC2A9C" w:rsidR="00606FE4" w:rsidRPr="00BD6D2B" w:rsidRDefault="00606FE4" w:rsidP="00606FE4">
            <w:pPr>
              <w:pStyle w:val="TableBodyText"/>
            </w:pPr>
            <w:r>
              <w:t>Other changes to rule 147 are consequential on the change</w:t>
            </w:r>
            <w:r w:rsidR="000D4DF1">
              <w:t>s</w:t>
            </w:r>
            <w:r>
              <w:t xml:space="preserve"> made to implement the endorsed option.</w:t>
            </w:r>
          </w:p>
        </w:tc>
      </w:tr>
      <w:tr w:rsidR="00AB417F" w:rsidRPr="00BD6D2B" w14:paraId="2F8D0888" w14:textId="77777777" w:rsidTr="00C743E0">
        <w:trPr>
          <w:cantSplit/>
        </w:trPr>
        <w:tc>
          <w:tcPr>
            <w:tcW w:w="1422" w:type="pct"/>
          </w:tcPr>
          <w:p w14:paraId="55C1CEAC" w14:textId="77777777" w:rsidR="00AB417F" w:rsidRDefault="00AB417F" w:rsidP="00AB417F">
            <w:pPr>
              <w:pStyle w:val="TableBodyText"/>
            </w:pPr>
            <w:r>
              <w:t>Information about exemptions would be made available through the BB, but not necessarily on the BB register.</w:t>
            </w:r>
          </w:p>
        </w:tc>
        <w:tc>
          <w:tcPr>
            <w:tcW w:w="1980" w:type="pct"/>
          </w:tcPr>
          <w:p w14:paraId="0722841D" w14:textId="34B81F0A" w:rsidR="00AB417F" w:rsidRDefault="00C861DF" w:rsidP="00C861DF">
            <w:pPr>
              <w:pStyle w:val="TableBodyText"/>
            </w:pPr>
            <w:r>
              <w:t>Exemptions are available under rule 164 and under proposed rule</w:t>
            </w:r>
            <w:r w:rsidR="00EA22EB">
              <w:t xml:space="preserve"> 190</w:t>
            </w:r>
            <w:r>
              <w:t>.</w:t>
            </w:r>
          </w:p>
          <w:p w14:paraId="52330807" w14:textId="77777777" w:rsidR="00C861DF" w:rsidRDefault="00C861DF" w:rsidP="00C861DF">
            <w:pPr>
              <w:pStyle w:val="TableBodyText"/>
            </w:pPr>
            <w:r>
              <w:t>To promote transparency, information should be available about exemptions. AEMO has indicated that information about exemptions will be included on the BB but may not be in the BB register.</w:t>
            </w:r>
          </w:p>
        </w:tc>
        <w:tc>
          <w:tcPr>
            <w:tcW w:w="1598" w:type="pct"/>
          </w:tcPr>
          <w:p w14:paraId="0AC7D6ED" w14:textId="77777777" w:rsidR="00AB417F" w:rsidRPr="00BD6D2B" w:rsidRDefault="00C861DF" w:rsidP="006212A9">
            <w:pPr>
              <w:pStyle w:val="TableBodyText"/>
            </w:pPr>
            <w:r>
              <w:t>New rule 147</w:t>
            </w:r>
            <w:r w:rsidR="00606FE4">
              <w:t>(1</w:t>
            </w:r>
            <w:r>
              <w:t>A</w:t>
            </w:r>
            <w:r w:rsidR="00606FE4">
              <w:t>)</w:t>
            </w:r>
            <w:r>
              <w:t>.</w:t>
            </w:r>
          </w:p>
        </w:tc>
      </w:tr>
      <w:tr w:rsidR="004574FE" w14:paraId="312D616D" w14:textId="77777777" w:rsidTr="00C743E0">
        <w:trPr>
          <w:cantSplit/>
        </w:trPr>
        <w:tc>
          <w:tcPr>
            <w:tcW w:w="1422" w:type="pct"/>
          </w:tcPr>
          <w:p w14:paraId="508D195B" w14:textId="77777777" w:rsidR="004574FE" w:rsidRDefault="00D526AC" w:rsidP="00D526AC">
            <w:pPr>
              <w:pStyle w:val="TableBodyText"/>
            </w:pPr>
            <w:r>
              <w:t>Provisions that are no longer required due to gas day harmonisation would be removed.</w:t>
            </w:r>
          </w:p>
        </w:tc>
        <w:tc>
          <w:tcPr>
            <w:tcW w:w="1980" w:type="pct"/>
          </w:tcPr>
          <w:p w14:paraId="50128AA1" w14:textId="77777777" w:rsidR="004574FE" w:rsidRDefault="002C3E5E" w:rsidP="00C7113F">
            <w:pPr>
              <w:pStyle w:val="TableBodyText"/>
            </w:pPr>
            <w:r>
              <w:t xml:space="preserve">The rule </w:t>
            </w:r>
            <w:r w:rsidR="00C7113F">
              <w:t xml:space="preserve">requiring information to be provided to AEMO about the gas day for a facility </w:t>
            </w:r>
            <w:r>
              <w:t xml:space="preserve">will be removed and consequential drafting changes made. </w:t>
            </w:r>
          </w:p>
        </w:tc>
        <w:tc>
          <w:tcPr>
            <w:tcW w:w="1598" w:type="pct"/>
          </w:tcPr>
          <w:p w14:paraId="725D22C5" w14:textId="77777777" w:rsidR="004574FE" w:rsidRDefault="002C3E5E" w:rsidP="006212A9">
            <w:pPr>
              <w:pStyle w:val="TableBodyText"/>
            </w:pPr>
            <w:r>
              <w:t xml:space="preserve">Amendments to ‘daily capacity’ </w:t>
            </w:r>
            <w:r w:rsidR="0073690B">
              <w:t xml:space="preserve">and ‘gas day’ </w:t>
            </w:r>
            <w:r>
              <w:t>in rule 141(1).</w:t>
            </w:r>
          </w:p>
          <w:p w14:paraId="7A0BC910" w14:textId="77777777" w:rsidR="002C3E5E" w:rsidRDefault="002C3E5E" w:rsidP="006212A9">
            <w:pPr>
              <w:pStyle w:val="TableBodyText"/>
            </w:pPr>
            <w:r>
              <w:t>Deletion of rule 170.</w:t>
            </w:r>
          </w:p>
        </w:tc>
      </w:tr>
      <w:tr w:rsidR="00D526AC" w14:paraId="674FEAC6" w14:textId="77777777" w:rsidTr="00C743E0">
        <w:trPr>
          <w:cantSplit/>
        </w:trPr>
        <w:tc>
          <w:tcPr>
            <w:tcW w:w="1422" w:type="pct"/>
          </w:tcPr>
          <w:p w14:paraId="34FF5AC1" w14:textId="77777777" w:rsidR="00D526AC" w:rsidRDefault="00D526AC" w:rsidP="00D526AC">
            <w:pPr>
              <w:pStyle w:val="TableBodyText"/>
            </w:pPr>
            <w:r>
              <w:lastRenderedPageBreak/>
              <w:t>Provisions that are no longer required due to the NT application date having occurred would be removed.</w:t>
            </w:r>
          </w:p>
        </w:tc>
        <w:tc>
          <w:tcPr>
            <w:tcW w:w="1980" w:type="pct"/>
          </w:tcPr>
          <w:p w14:paraId="434974E1" w14:textId="77777777" w:rsidR="00D526AC" w:rsidRDefault="002C3E5E" w:rsidP="00C7113F">
            <w:pPr>
              <w:pStyle w:val="TableBodyText"/>
            </w:pPr>
            <w:r>
              <w:t>The rule</w:t>
            </w:r>
            <w:r w:rsidR="00C7113F">
              <w:t xml:space="preserve"> about the NT application date</w:t>
            </w:r>
            <w:r>
              <w:t xml:space="preserve"> will be removed and consequential drafting changes made.</w:t>
            </w:r>
          </w:p>
        </w:tc>
        <w:tc>
          <w:tcPr>
            <w:tcW w:w="1598" w:type="pct"/>
          </w:tcPr>
          <w:p w14:paraId="7415C29D" w14:textId="77777777" w:rsidR="00D526AC" w:rsidRDefault="002C3E5E" w:rsidP="006212A9">
            <w:pPr>
              <w:pStyle w:val="TableBodyText"/>
            </w:pPr>
            <w:r>
              <w:t xml:space="preserve">Deletion of </w:t>
            </w:r>
            <w:r w:rsidR="00A35BBA">
              <w:t>‘NT application date’ and ‘NT interconnector’ in rule 141(1).</w:t>
            </w:r>
          </w:p>
          <w:p w14:paraId="01D7E9F0" w14:textId="77777777" w:rsidR="00A35BBA" w:rsidRDefault="00A35BBA" w:rsidP="00A35BBA">
            <w:pPr>
              <w:pStyle w:val="TableBodyText"/>
            </w:pPr>
            <w:r>
              <w:t>Deletion of rule 143.</w:t>
            </w:r>
          </w:p>
          <w:p w14:paraId="53365B0D" w14:textId="77777777" w:rsidR="00A35BBA" w:rsidRDefault="00A35BBA" w:rsidP="00A35BBA">
            <w:pPr>
              <w:pStyle w:val="TableBodyText"/>
            </w:pPr>
            <w:r>
              <w:t>Deletion of rule 147(4).</w:t>
            </w:r>
          </w:p>
        </w:tc>
      </w:tr>
      <w:tr w:rsidR="00D526AC" w14:paraId="3DAA975E" w14:textId="77777777" w:rsidTr="00C743E0">
        <w:trPr>
          <w:cantSplit/>
        </w:trPr>
        <w:tc>
          <w:tcPr>
            <w:tcW w:w="1422" w:type="pct"/>
          </w:tcPr>
          <w:p w14:paraId="7FEE91BB" w14:textId="77777777" w:rsidR="00D526AC" w:rsidRDefault="00D526AC" w:rsidP="00A35BBA">
            <w:pPr>
              <w:pStyle w:val="TableBodyText"/>
            </w:pPr>
            <w:r w:rsidRPr="005F4C38">
              <w:t xml:space="preserve">The treatment of cushion gas in a storage facility </w:t>
            </w:r>
            <w:r w:rsidR="00A35BBA">
              <w:t>would be clarified.</w:t>
            </w:r>
          </w:p>
        </w:tc>
        <w:tc>
          <w:tcPr>
            <w:tcW w:w="1980" w:type="pct"/>
          </w:tcPr>
          <w:p w14:paraId="7E59B109" w14:textId="77777777" w:rsidR="00D526AC" w:rsidRDefault="00A35BBA" w:rsidP="00C7113F">
            <w:pPr>
              <w:pStyle w:val="TableBodyText"/>
            </w:pPr>
            <w:r>
              <w:t>R</w:t>
            </w:r>
            <w:r w:rsidRPr="005F4C38">
              <w:t>ule 188(1)(c)</w:t>
            </w:r>
            <w:r>
              <w:t xml:space="preserve"> would require the BB reporting entity for a B</w:t>
            </w:r>
            <w:r w:rsidR="00C7113F">
              <w:t>B</w:t>
            </w:r>
            <w:r>
              <w:t xml:space="preserve"> storage facility to state how much of the </w:t>
            </w:r>
            <w:r w:rsidRPr="00D850C1">
              <w:t>quantity of natural gas held in each of its BB storage facilities at the end of gas day D</w:t>
            </w:r>
            <w:r>
              <w:t xml:space="preserve"> is storage cushion gas.</w:t>
            </w:r>
          </w:p>
        </w:tc>
        <w:tc>
          <w:tcPr>
            <w:tcW w:w="1598" w:type="pct"/>
          </w:tcPr>
          <w:p w14:paraId="51E99B15" w14:textId="77777777" w:rsidR="00A35BBA" w:rsidRDefault="00A35BBA" w:rsidP="00A35BBA">
            <w:pPr>
              <w:pStyle w:val="TableBodyText"/>
            </w:pPr>
            <w:r>
              <w:t xml:space="preserve">New definition of </w:t>
            </w:r>
            <w:r w:rsidRPr="005F4C38">
              <w:t>‘storage cushion gas’</w:t>
            </w:r>
            <w:r>
              <w:t>.</w:t>
            </w:r>
          </w:p>
          <w:p w14:paraId="09EF555D" w14:textId="77777777" w:rsidR="00D526AC" w:rsidRDefault="00A35BBA" w:rsidP="00A35BBA">
            <w:pPr>
              <w:pStyle w:val="TableBodyText"/>
            </w:pPr>
            <w:r>
              <w:t xml:space="preserve">Amendment to </w:t>
            </w:r>
            <w:r w:rsidRPr="005F4C38">
              <w:t>rule 188(1</w:t>
            </w:r>
            <w:proofErr w:type="gramStart"/>
            <w:r w:rsidRPr="005F4C38">
              <w:t>)(</w:t>
            </w:r>
            <w:proofErr w:type="gramEnd"/>
            <w:r w:rsidRPr="005F4C38">
              <w:t>c).</w:t>
            </w:r>
          </w:p>
        </w:tc>
      </w:tr>
      <w:tr w:rsidR="00D526AC" w14:paraId="1FD7C591" w14:textId="77777777" w:rsidTr="00C743E0">
        <w:trPr>
          <w:cantSplit/>
        </w:trPr>
        <w:tc>
          <w:tcPr>
            <w:tcW w:w="1422" w:type="pct"/>
          </w:tcPr>
          <w:p w14:paraId="547DCF08" w14:textId="77777777" w:rsidR="00D526AC" w:rsidRPr="005F4C38" w:rsidRDefault="00D526AC" w:rsidP="00A35BBA">
            <w:pPr>
              <w:pStyle w:val="TableBodyText"/>
            </w:pPr>
            <w:r>
              <w:t xml:space="preserve">Changes would be made to use ‘D’, ‘D+1’ etc. consistently in Part 18. </w:t>
            </w:r>
          </w:p>
        </w:tc>
        <w:tc>
          <w:tcPr>
            <w:tcW w:w="1980" w:type="pct"/>
          </w:tcPr>
          <w:p w14:paraId="797C5698" w14:textId="77777777" w:rsidR="00D526AC" w:rsidRDefault="00A35BBA" w:rsidP="00A35BBA">
            <w:pPr>
              <w:pStyle w:val="TableBodyText"/>
            </w:pPr>
            <w:r>
              <w:t>Amend Part 18 so that ‘D’ is used to refer to the gas day for which information is provided (or the start of a period of gas days such as D+1 to D+6) and D-1 or D+1 would be used to specify whether the information is provided before or after day D.</w:t>
            </w:r>
          </w:p>
        </w:tc>
        <w:tc>
          <w:tcPr>
            <w:tcW w:w="1598" w:type="pct"/>
          </w:tcPr>
          <w:p w14:paraId="32130C9E" w14:textId="77777777" w:rsidR="000C68C4" w:rsidRDefault="00A35BBA" w:rsidP="00C7113F">
            <w:pPr>
              <w:pStyle w:val="TableBodyText"/>
            </w:pPr>
            <w:r>
              <w:t xml:space="preserve">Amend </w:t>
            </w:r>
            <w:r w:rsidR="001D64F2">
              <w:t>‘short term capacity</w:t>
            </w:r>
            <w:r w:rsidR="00C769F7">
              <w:t xml:space="preserve"> outlook’ and rules 178(2), 179(2)</w:t>
            </w:r>
            <w:r w:rsidR="000C68C4">
              <w:t xml:space="preserve">, 187(1), 187(2), 188(1), </w:t>
            </w:r>
            <w:proofErr w:type="gramStart"/>
            <w:r w:rsidR="000C68C4">
              <w:t>190B(</w:t>
            </w:r>
            <w:proofErr w:type="gramEnd"/>
            <w:r w:rsidR="000C68C4">
              <w:t>1) and 194(</w:t>
            </w:r>
            <w:r w:rsidR="0049210D">
              <w:t>3)</w:t>
            </w:r>
            <w:r w:rsidR="00C7113F">
              <w:t>.</w:t>
            </w:r>
          </w:p>
        </w:tc>
      </w:tr>
      <w:tr w:rsidR="004574FE" w:rsidRPr="008934EC" w14:paraId="77218C2F" w14:textId="77777777" w:rsidTr="00C743E0">
        <w:trPr>
          <w:cantSplit/>
        </w:trPr>
        <w:tc>
          <w:tcPr>
            <w:tcW w:w="1422" w:type="pct"/>
          </w:tcPr>
          <w:p w14:paraId="33C3200C" w14:textId="77777777" w:rsidR="004574FE" w:rsidRDefault="00D526AC" w:rsidP="00504711">
            <w:pPr>
              <w:pStyle w:val="TableBodyText"/>
            </w:pPr>
            <w:r>
              <w:t xml:space="preserve">The ‘purpose’ statement in rule 145 would be </w:t>
            </w:r>
            <w:r w:rsidR="00504711">
              <w:t>updated.</w:t>
            </w:r>
          </w:p>
        </w:tc>
        <w:tc>
          <w:tcPr>
            <w:tcW w:w="1980" w:type="pct"/>
          </w:tcPr>
          <w:p w14:paraId="5FB13410" w14:textId="77777777" w:rsidR="00504711" w:rsidRDefault="00504711" w:rsidP="006212A9">
            <w:pPr>
              <w:pStyle w:val="TableBodyText"/>
            </w:pPr>
            <w:r>
              <w:t>The statement would be amended to:</w:t>
            </w:r>
          </w:p>
          <w:p w14:paraId="2C27437F" w14:textId="77777777" w:rsidR="004574FE" w:rsidRDefault="00504711" w:rsidP="00504711">
            <w:pPr>
              <w:pStyle w:val="Newtablebullet"/>
            </w:pPr>
            <w:r>
              <w:t>refer to information ‘relating to the natural gas industry’, consistent with the proposed changes to Chapter 7 of the Law; and</w:t>
            </w:r>
          </w:p>
          <w:p w14:paraId="79553860" w14:textId="77777777" w:rsidR="00504711" w:rsidRDefault="00504711" w:rsidP="00504711">
            <w:pPr>
              <w:pStyle w:val="Newtablebullet"/>
            </w:pPr>
            <w:proofErr w:type="gramStart"/>
            <w:r>
              <w:t>extend</w:t>
            </w:r>
            <w:proofErr w:type="gramEnd"/>
            <w:r>
              <w:t xml:space="preserve"> paragraph (c), about </w:t>
            </w:r>
            <w:r w:rsidRPr="00D850C1">
              <w:t>negotiations for access to BB pipelines</w:t>
            </w:r>
            <w:r>
              <w:t xml:space="preserve">, to negotiations about access to </w:t>
            </w:r>
            <w:r w:rsidRPr="00D850C1">
              <w:t>other BB facilities providing third party access</w:t>
            </w:r>
            <w:r>
              <w:t>.</w:t>
            </w:r>
          </w:p>
        </w:tc>
        <w:tc>
          <w:tcPr>
            <w:tcW w:w="1598" w:type="pct"/>
          </w:tcPr>
          <w:p w14:paraId="5560A187" w14:textId="77777777" w:rsidR="004574FE" w:rsidRPr="008934EC" w:rsidRDefault="00504711" w:rsidP="006212A9">
            <w:pPr>
              <w:pStyle w:val="TableBodyText"/>
            </w:pPr>
            <w:r>
              <w:t>Amend rule 145.</w:t>
            </w:r>
          </w:p>
        </w:tc>
      </w:tr>
      <w:tr w:rsidR="001D64F2" w:rsidRPr="008934EC" w14:paraId="606ABEBF" w14:textId="77777777" w:rsidTr="00C743E0">
        <w:trPr>
          <w:cantSplit/>
        </w:trPr>
        <w:tc>
          <w:tcPr>
            <w:tcW w:w="1422" w:type="pct"/>
          </w:tcPr>
          <w:p w14:paraId="5D0BE69A" w14:textId="77777777" w:rsidR="001D64F2" w:rsidRDefault="001D64F2" w:rsidP="006212A9">
            <w:pPr>
              <w:pStyle w:val="TableBodyText"/>
            </w:pPr>
            <w:r>
              <w:t xml:space="preserve">Allow for </w:t>
            </w:r>
            <w:r w:rsidR="006212A9">
              <w:t xml:space="preserve">reporting in </w:t>
            </w:r>
            <w:r>
              <w:t>PJ</w:t>
            </w:r>
            <w:r w:rsidR="006212A9">
              <w:t>.</w:t>
            </w:r>
          </w:p>
        </w:tc>
        <w:tc>
          <w:tcPr>
            <w:tcW w:w="1980" w:type="pct"/>
          </w:tcPr>
          <w:p w14:paraId="2C9A81C8" w14:textId="77777777" w:rsidR="001D64F2" w:rsidRDefault="001D64F2" w:rsidP="001D64F2">
            <w:pPr>
              <w:pStyle w:val="TableBodyText"/>
            </w:pPr>
            <w:r>
              <w:t xml:space="preserve">Allow flexibility to require reporting in PJ rather than TJ as </w:t>
            </w:r>
            <w:r w:rsidRPr="00D850C1">
              <w:t xml:space="preserve">specified in Part </w:t>
            </w:r>
            <w:r>
              <w:t xml:space="preserve">18 </w:t>
            </w:r>
            <w:r w:rsidRPr="00D850C1">
              <w:t>or the BB Procedures</w:t>
            </w:r>
            <w:r>
              <w:t>.</w:t>
            </w:r>
          </w:p>
        </w:tc>
        <w:tc>
          <w:tcPr>
            <w:tcW w:w="1598" w:type="pct"/>
          </w:tcPr>
          <w:p w14:paraId="3E719559" w14:textId="77777777" w:rsidR="00EE4282" w:rsidRDefault="00EE4282" w:rsidP="00EE4282">
            <w:pPr>
              <w:pStyle w:val="TableBodyText"/>
            </w:pPr>
            <w:r>
              <w:t>Define ‘PJ’.</w:t>
            </w:r>
          </w:p>
          <w:p w14:paraId="267B39F2" w14:textId="77777777" w:rsidR="001D64F2" w:rsidRPr="008934EC" w:rsidRDefault="001D64F2" w:rsidP="00EE4282">
            <w:pPr>
              <w:pStyle w:val="TableBodyText"/>
            </w:pPr>
            <w:r>
              <w:t>Amend clause 141(3).</w:t>
            </w:r>
          </w:p>
        </w:tc>
      </w:tr>
      <w:tr w:rsidR="00CD78CB" w:rsidRPr="008934EC" w14:paraId="53BD6400" w14:textId="77777777" w:rsidTr="00C743E0">
        <w:trPr>
          <w:cantSplit/>
        </w:trPr>
        <w:tc>
          <w:tcPr>
            <w:tcW w:w="1422" w:type="pct"/>
          </w:tcPr>
          <w:p w14:paraId="7A248A50" w14:textId="77777777" w:rsidR="00CD78CB" w:rsidRDefault="00CD78CB" w:rsidP="00CD78CB">
            <w:pPr>
              <w:pStyle w:val="TableBodyText"/>
            </w:pPr>
            <w:r>
              <w:t xml:space="preserve">Clarify the provisions dealing with the application of Part 18. </w:t>
            </w:r>
          </w:p>
        </w:tc>
        <w:tc>
          <w:tcPr>
            <w:tcW w:w="1980" w:type="pct"/>
          </w:tcPr>
          <w:p w14:paraId="66DB129A" w14:textId="77777777" w:rsidR="00CD78CB" w:rsidRDefault="00CD78CB" w:rsidP="00CD78CB">
            <w:pPr>
              <w:pStyle w:val="TableBodyText"/>
            </w:pPr>
            <w:r>
              <w:t>Clarify the current statement in rule 142.</w:t>
            </w:r>
          </w:p>
          <w:p w14:paraId="7D657B61" w14:textId="77777777" w:rsidR="00CD78CB" w:rsidRDefault="00CD78CB" w:rsidP="00CD78CB">
            <w:pPr>
              <w:pStyle w:val="TableBodyText"/>
            </w:pPr>
            <w:r>
              <w:t>Add a statement that Part 18</w:t>
            </w:r>
            <w:r w:rsidRPr="00D850C1">
              <w:t xml:space="preserve"> does not apply to a petroleum title granted in respect of the offshore area of Western </w:t>
            </w:r>
            <w:r>
              <w:t>until provided for under the relevant WA legislation.</w:t>
            </w:r>
          </w:p>
        </w:tc>
        <w:tc>
          <w:tcPr>
            <w:tcW w:w="1598" w:type="pct"/>
          </w:tcPr>
          <w:p w14:paraId="393B257C" w14:textId="77777777" w:rsidR="00CD78CB" w:rsidRDefault="00CD78CB" w:rsidP="006212A9">
            <w:pPr>
              <w:pStyle w:val="TableBodyText"/>
            </w:pPr>
            <w:r>
              <w:t xml:space="preserve">Renumber current rule 142 as rule 142(1) and amend. </w:t>
            </w:r>
          </w:p>
          <w:p w14:paraId="2D19D998" w14:textId="77777777" w:rsidR="00CD78CB" w:rsidRDefault="00CD78CB" w:rsidP="00CD78CB">
            <w:pPr>
              <w:pStyle w:val="TableBodyText"/>
            </w:pPr>
            <w:r>
              <w:t>Add a new rule 142(2).</w:t>
            </w:r>
          </w:p>
        </w:tc>
      </w:tr>
      <w:tr w:rsidR="00B536D0" w:rsidRPr="008934EC" w14:paraId="2C76FA04" w14:textId="77777777" w:rsidTr="00C743E0">
        <w:trPr>
          <w:cantSplit/>
        </w:trPr>
        <w:tc>
          <w:tcPr>
            <w:tcW w:w="1422" w:type="pct"/>
          </w:tcPr>
          <w:p w14:paraId="23B22E4A" w14:textId="77777777" w:rsidR="00B536D0" w:rsidRDefault="00B536D0" w:rsidP="00B536D0">
            <w:pPr>
              <w:pStyle w:val="TableBodyText"/>
            </w:pPr>
            <w:r>
              <w:t>Extend the scope of ‘detailed facility information’</w:t>
            </w:r>
            <w:r w:rsidR="009B1183">
              <w:t xml:space="preserve"> provided for BB pipelines</w:t>
            </w:r>
            <w:r>
              <w:t xml:space="preserve"> to reflect the extended scope of the BB.</w:t>
            </w:r>
          </w:p>
        </w:tc>
        <w:tc>
          <w:tcPr>
            <w:tcW w:w="1980" w:type="pct"/>
          </w:tcPr>
          <w:p w14:paraId="05A6A201" w14:textId="77777777" w:rsidR="00B536D0" w:rsidRDefault="00B536D0" w:rsidP="00B536D0">
            <w:pPr>
              <w:pStyle w:val="TableBodyText"/>
            </w:pPr>
            <w:r>
              <w:t xml:space="preserve">Require the detailed facility information for a BB pipeline to include </w:t>
            </w:r>
            <w:r w:rsidRPr="00E8655A">
              <w:t xml:space="preserve">compression service facilities, BB large user facilities or LNG processing facilities to which </w:t>
            </w:r>
            <w:r>
              <w:t>the</w:t>
            </w:r>
            <w:r w:rsidRPr="00B536D0">
              <w:t xml:space="preserve"> receipt or delivery points</w:t>
            </w:r>
            <w:r w:rsidRPr="00E8655A">
              <w:t xml:space="preserve"> </w:t>
            </w:r>
            <w:r>
              <w:t xml:space="preserve">on the BB pipeline </w:t>
            </w:r>
            <w:r w:rsidRPr="00E8655A">
              <w:t>connect</w:t>
            </w:r>
            <w:r>
              <w:t>.</w:t>
            </w:r>
          </w:p>
        </w:tc>
        <w:tc>
          <w:tcPr>
            <w:tcW w:w="1598" w:type="pct"/>
          </w:tcPr>
          <w:p w14:paraId="64A1C106" w14:textId="77777777" w:rsidR="00B536D0" w:rsidRDefault="00B536D0" w:rsidP="00B536D0">
            <w:pPr>
              <w:pStyle w:val="TableBodyText"/>
            </w:pPr>
            <w:r>
              <w:t>Amend rule 169(4</w:t>
            </w:r>
            <w:proofErr w:type="gramStart"/>
            <w:r>
              <w:t>)(</w:t>
            </w:r>
            <w:proofErr w:type="gramEnd"/>
            <w:r>
              <w:t>a)(</w:t>
            </w:r>
            <w:proofErr w:type="spellStart"/>
            <w:r>
              <w:t>i</w:t>
            </w:r>
            <w:proofErr w:type="spellEnd"/>
            <w:r>
              <w:t>).</w:t>
            </w:r>
          </w:p>
        </w:tc>
      </w:tr>
      <w:tr w:rsidR="00C769F7" w:rsidRPr="008934EC" w14:paraId="7C0D00CE" w14:textId="77777777" w:rsidTr="00C743E0">
        <w:trPr>
          <w:cantSplit/>
        </w:trPr>
        <w:tc>
          <w:tcPr>
            <w:tcW w:w="1422" w:type="pct"/>
          </w:tcPr>
          <w:p w14:paraId="6B624870" w14:textId="77777777" w:rsidR="00C769F7" w:rsidRDefault="00C769F7" w:rsidP="00C769F7">
            <w:pPr>
              <w:pStyle w:val="TableBodyText"/>
            </w:pPr>
            <w:r>
              <w:lastRenderedPageBreak/>
              <w:t>Allow for the use of forecasts where nominations are not provided.</w:t>
            </w:r>
          </w:p>
          <w:p w14:paraId="3481DA7D" w14:textId="77777777" w:rsidR="008A6CF2" w:rsidRDefault="008A6CF2" w:rsidP="00C769F7">
            <w:pPr>
              <w:pStyle w:val="TableBodyText"/>
            </w:pPr>
          </w:p>
          <w:p w14:paraId="74A7B32A" w14:textId="168B9F79" w:rsidR="008A6CF2" w:rsidRPr="008A6CF2" w:rsidRDefault="008A6CF2" w:rsidP="00C83655">
            <w:pPr>
              <w:pStyle w:val="TableBodyText"/>
              <w:rPr>
                <w:i/>
              </w:rPr>
            </w:pPr>
            <w:r w:rsidRPr="008A6CF2">
              <w:rPr>
                <w:i/>
              </w:rPr>
              <w:t>Refer to section </w:t>
            </w:r>
            <w:r w:rsidR="00C83655">
              <w:rPr>
                <w:i/>
              </w:rPr>
              <w:fldChar w:fldCharType="begin"/>
            </w:r>
            <w:r w:rsidR="00C83655">
              <w:rPr>
                <w:i/>
              </w:rPr>
              <w:instrText xml:space="preserve"> REF _Ref42241048 \r \h </w:instrText>
            </w:r>
            <w:r w:rsidR="00C83655">
              <w:rPr>
                <w:i/>
              </w:rPr>
            </w:r>
            <w:r w:rsidR="00C83655">
              <w:rPr>
                <w:i/>
              </w:rPr>
              <w:fldChar w:fldCharType="separate"/>
            </w:r>
            <w:r w:rsidR="00844010">
              <w:rPr>
                <w:i/>
              </w:rPr>
              <w:t>8.6</w:t>
            </w:r>
            <w:r w:rsidR="00C83655">
              <w:rPr>
                <w:i/>
              </w:rPr>
              <w:fldChar w:fldCharType="end"/>
            </w:r>
            <w:r w:rsidR="006559A0">
              <w:rPr>
                <w:i/>
              </w:rPr>
              <w:t xml:space="preserve"> </w:t>
            </w:r>
            <w:r w:rsidRPr="008A6CF2">
              <w:rPr>
                <w:i/>
              </w:rPr>
              <w:t>of this consultation paper for policy clarification.</w:t>
            </w:r>
          </w:p>
        </w:tc>
        <w:tc>
          <w:tcPr>
            <w:tcW w:w="1980" w:type="pct"/>
          </w:tcPr>
          <w:p w14:paraId="60915694" w14:textId="77777777" w:rsidR="00C769F7" w:rsidRDefault="00C769F7" w:rsidP="00830026">
            <w:pPr>
              <w:pStyle w:val="TableBodyText"/>
            </w:pPr>
            <w:r>
              <w:t>Amend Subdivision 5.5 of Division 5, which deals with n</w:t>
            </w:r>
            <w:r w:rsidRPr="00C769F7">
              <w:t>ominated and forecast use of BB facilities excluding BB large user facilities and LNG export facilities</w:t>
            </w:r>
            <w:r>
              <w:t xml:space="preserve"> to change ‘nominations’ </w:t>
            </w:r>
            <w:r w:rsidR="00830026">
              <w:t xml:space="preserve">for gas day D </w:t>
            </w:r>
            <w:r>
              <w:t>to ‘nominated or forecast quantities’ and to allow ‘forecasts</w:t>
            </w:r>
            <w:r w:rsidR="00830026">
              <w:t>’</w:t>
            </w:r>
            <w:r>
              <w:t xml:space="preserve"> </w:t>
            </w:r>
            <w:r w:rsidR="00830026">
              <w:t xml:space="preserve">for gas days D+1 to D+6 to be </w:t>
            </w:r>
            <w:r w:rsidR="00830026" w:rsidRPr="00ED3B5E">
              <w:t xml:space="preserve">based on the BB reporting entity’s forecast </w:t>
            </w:r>
            <w:r w:rsidR="00830026">
              <w:t xml:space="preserve">or on forecast </w:t>
            </w:r>
            <w:r w:rsidR="00830026" w:rsidRPr="00ED3B5E">
              <w:t>nominations</w:t>
            </w:r>
            <w:r w:rsidR="00830026">
              <w:t xml:space="preserve"> where these are provided by BB shippers.</w:t>
            </w:r>
          </w:p>
        </w:tc>
        <w:tc>
          <w:tcPr>
            <w:tcW w:w="1598" w:type="pct"/>
          </w:tcPr>
          <w:p w14:paraId="42B36393" w14:textId="77777777" w:rsidR="00C769F7" w:rsidRDefault="00830026" w:rsidP="00830026">
            <w:pPr>
              <w:pStyle w:val="TableBodyText"/>
            </w:pPr>
            <w:r>
              <w:t>BB storage facilities:  Amend rule 182(1) and deleted rule 182(2).</w:t>
            </w:r>
          </w:p>
          <w:p w14:paraId="76FFE93F" w14:textId="77777777" w:rsidR="00830026" w:rsidRDefault="00830026" w:rsidP="00830026">
            <w:pPr>
              <w:pStyle w:val="TableBodyText"/>
            </w:pPr>
            <w:r>
              <w:t>BB pipelines:  Amend rule 183(1) and deleted rule 183(4).</w:t>
            </w:r>
          </w:p>
          <w:p w14:paraId="52A416D6" w14:textId="77777777" w:rsidR="00830026" w:rsidRDefault="00830026" w:rsidP="00830026">
            <w:pPr>
              <w:pStyle w:val="TableBodyText"/>
            </w:pPr>
            <w:r>
              <w:t>Production facilities: Amend rule 185(1) and deleted rule 185(2).</w:t>
            </w:r>
          </w:p>
        </w:tc>
      </w:tr>
      <w:tr w:rsidR="00830026" w:rsidRPr="008934EC" w14:paraId="74FA64AE" w14:textId="77777777" w:rsidTr="00C743E0">
        <w:trPr>
          <w:cantSplit/>
        </w:trPr>
        <w:tc>
          <w:tcPr>
            <w:tcW w:w="1422" w:type="pct"/>
          </w:tcPr>
          <w:p w14:paraId="19E4E2B6" w14:textId="77777777" w:rsidR="00830026" w:rsidRDefault="00830026" w:rsidP="00830026">
            <w:pPr>
              <w:pStyle w:val="TableBodyText"/>
            </w:pPr>
            <w:r>
              <w:t>Allow for facilities where no operational metering is installed.</w:t>
            </w:r>
          </w:p>
        </w:tc>
        <w:tc>
          <w:tcPr>
            <w:tcW w:w="1980" w:type="pct"/>
          </w:tcPr>
          <w:p w14:paraId="7CDA2DF7" w14:textId="77777777" w:rsidR="00830026" w:rsidRDefault="00830026" w:rsidP="00830026">
            <w:pPr>
              <w:pStyle w:val="TableBodyText"/>
            </w:pPr>
            <w:r>
              <w:t>Allow for AEMO and a BB reporting entity to agree how actual flows or use will be determined where there is no operational metering.</w:t>
            </w:r>
          </w:p>
        </w:tc>
        <w:tc>
          <w:tcPr>
            <w:tcW w:w="1598" w:type="pct"/>
          </w:tcPr>
          <w:p w14:paraId="5922525E" w14:textId="77777777" w:rsidR="00830026" w:rsidRDefault="00830026" w:rsidP="00830026">
            <w:pPr>
              <w:pStyle w:val="TableBodyText"/>
            </w:pPr>
            <w:r>
              <w:t>New rule 186(2).</w:t>
            </w:r>
          </w:p>
          <w:p w14:paraId="14BEC0E2" w14:textId="77777777" w:rsidR="0049210D" w:rsidRDefault="00830026" w:rsidP="0049210D">
            <w:pPr>
              <w:pStyle w:val="TableBodyText"/>
            </w:pPr>
            <w:r>
              <w:t>As a consequential changes, amend the definition</w:t>
            </w:r>
            <w:r w:rsidR="0049210D">
              <w:t>s</w:t>
            </w:r>
            <w:r>
              <w:t xml:space="preserve"> of ‘daily production data’</w:t>
            </w:r>
            <w:r w:rsidR="0049210D">
              <w:t xml:space="preserve"> and ‘daily flow data’ </w:t>
            </w:r>
            <w:r>
              <w:t>to remove the phrase ‘</w:t>
            </w:r>
            <w:r w:rsidRPr="00D850C1">
              <w:t>that is metered as having been, or estimated in good faith by the pipeline operator to have been</w:t>
            </w:r>
            <w:r>
              <w:t>’ each time it occurs.</w:t>
            </w:r>
          </w:p>
        </w:tc>
      </w:tr>
      <w:tr w:rsidR="0073690B" w:rsidRPr="008934EC" w14:paraId="3AF35CA2" w14:textId="77777777" w:rsidTr="00C743E0">
        <w:trPr>
          <w:cantSplit/>
        </w:trPr>
        <w:tc>
          <w:tcPr>
            <w:tcW w:w="1422" w:type="pct"/>
          </w:tcPr>
          <w:p w14:paraId="44F56B76" w14:textId="77777777" w:rsidR="0073690B" w:rsidRDefault="0073690B" w:rsidP="00C7113F">
            <w:pPr>
              <w:pStyle w:val="TableBodyText"/>
            </w:pPr>
            <w:r>
              <w:lastRenderedPageBreak/>
              <w:t>Drafting corrections</w:t>
            </w:r>
            <w:r w:rsidR="00C7113F">
              <w:t xml:space="preserve">, updates and </w:t>
            </w:r>
            <w:r>
              <w:t>clarifications</w:t>
            </w:r>
          </w:p>
        </w:tc>
        <w:tc>
          <w:tcPr>
            <w:tcW w:w="1980" w:type="pct"/>
          </w:tcPr>
          <w:p w14:paraId="16285846" w14:textId="77777777" w:rsidR="0073690B" w:rsidRDefault="0073690B" w:rsidP="006212A9">
            <w:pPr>
              <w:pStyle w:val="TableBodyText"/>
            </w:pPr>
            <w:r>
              <w:t>Correct</w:t>
            </w:r>
            <w:r w:rsidR="006C4236">
              <w:t>, update</w:t>
            </w:r>
            <w:r>
              <w:t xml:space="preserve"> </w:t>
            </w:r>
            <w:r w:rsidR="009B1183">
              <w:t xml:space="preserve">or clarify </w:t>
            </w:r>
            <w:r>
              <w:t xml:space="preserve">drafting </w:t>
            </w:r>
            <w:r w:rsidR="006C4236">
              <w:t xml:space="preserve">and </w:t>
            </w:r>
            <w:r>
              <w:t>cross referencing.</w:t>
            </w:r>
          </w:p>
          <w:p w14:paraId="24CF3712" w14:textId="77777777" w:rsidR="0073690B" w:rsidRDefault="0073690B" w:rsidP="009B1183">
            <w:pPr>
              <w:pStyle w:val="TableBodyText"/>
            </w:pPr>
            <w:r>
              <w:t>Define terms that are used multiple times in existing or proposed new rules</w:t>
            </w:r>
            <w:r w:rsidR="006C4236">
              <w:t xml:space="preserve"> to reduce duplication.</w:t>
            </w:r>
          </w:p>
        </w:tc>
        <w:tc>
          <w:tcPr>
            <w:tcW w:w="1598" w:type="pct"/>
          </w:tcPr>
          <w:p w14:paraId="3C806583" w14:textId="77777777" w:rsidR="0073690B" w:rsidRDefault="0073690B" w:rsidP="006212A9">
            <w:pPr>
              <w:pStyle w:val="TableBodyText"/>
            </w:pPr>
            <w:r>
              <w:t>Correct the cross reference in ‘BB information standard’.</w:t>
            </w:r>
          </w:p>
          <w:p w14:paraId="24C3205E" w14:textId="77777777" w:rsidR="00FE30F5" w:rsidRDefault="00FE30F5" w:rsidP="006212A9">
            <w:pPr>
              <w:pStyle w:val="TableBodyText"/>
            </w:pPr>
            <w:r>
              <w:t>Amend paragraph (b</w:t>
            </w:r>
            <w:proofErr w:type="gramStart"/>
            <w:r>
              <w:t>)(</w:t>
            </w:r>
            <w:proofErr w:type="gramEnd"/>
            <w:r>
              <w:t>ii) of ‘daily production data’ to align with the equivalent paragraph in</w:t>
            </w:r>
            <w:r w:rsidR="007B49E2">
              <w:t xml:space="preserve"> ’daily capacity’ and</w:t>
            </w:r>
            <w:r>
              <w:t xml:space="preserve"> ‘nameplate rating’ in </w:t>
            </w:r>
            <w:proofErr w:type="spellStart"/>
            <w:r>
              <w:t>subrule</w:t>
            </w:r>
            <w:proofErr w:type="spellEnd"/>
            <w:r>
              <w:t xml:space="preserve"> 141(2)(b)(ii).</w:t>
            </w:r>
          </w:p>
          <w:p w14:paraId="6CBD7E74" w14:textId="77777777" w:rsidR="0073690B" w:rsidRDefault="0073690B" w:rsidP="006212A9">
            <w:pPr>
              <w:pStyle w:val="TableBodyText"/>
            </w:pPr>
            <w:r>
              <w:t>Define ‘exchange agreement’ and use the definition as required</w:t>
            </w:r>
            <w:r w:rsidR="001D64F2">
              <w:t xml:space="preserve"> in Part 18.</w:t>
            </w:r>
          </w:p>
          <w:p w14:paraId="3CA90CD8" w14:textId="77777777" w:rsidR="0073690B" w:rsidRDefault="00C7113F" w:rsidP="006212A9">
            <w:pPr>
              <w:pStyle w:val="TableBodyText"/>
            </w:pPr>
            <w:r>
              <w:t>Define ‘</w:t>
            </w:r>
            <w:r w:rsidR="0073690B">
              <w:t>GST</w:t>
            </w:r>
            <w:r>
              <w:t>’</w:t>
            </w:r>
            <w:r w:rsidR="0073690B">
              <w:t xml:space="preserve"> and use the definition as required in </w:t>
            </w:r>
            <w:r w:rsidR="00606FE4">
              <w:t>Part 18.</w:t>
            </w:r>
          </w:p>
          <w:p w14:paraId="3C5E991B" w14:textId="77777777" w:rsidR="00FE30F5" w:rsidRDefault="00FE30F5" w:rsidP="00FE30F5">
            <w:pPr>
              <w:pStyle w:val="TableBodyText"/>
            </w:pPr>
            <w:r>
              <w:t xml:space="preserve">Add a reference to </w:t>
            </w:r>
            <w:r w:rsidR="00C7113F">
              <w:t>‘</w:t>
            </w:r>
            <w:r>
              <w:t>operational transportation services agreements</w:t>
            </w:r>
            <w:r w:rsidR="00C7113F">
              <w:t>’</w:t>
            </w:r>
            <w:r>
              <w:t xml:space="preserve"> in paragraph (a) of ‘BB shipper’ and correct paragraph (c).</w:t>
            </w:r>
          </w:p>
          <w:p w14:paraId="14246419" w14:textId="77777777" w:rsidR="00606FE4" w:rsidRDefault="00606FE4" w:rsidP="006212A9">
            <w:pPr>
              <w:pStyle w:val="TableBodyText"/>
            </w:pPr>
            <w:r>
              <w:t>Update the note</w:t>
            </w:r>
            <w:r w:rsidR="00C7113F">
              <w:t>s</w:t>
            </w:r>
            <w:r>
              <w:t xml:space="preserve"> in rules 165 and 166.</w:t>
            </w:r>
          </w:p>
          <w:p w14:paraId="5320CAE7" w14:textId="77777777" w:rsidR="0073690B" w:rsidRDefault="0073690B" w:rsidP="006212A9">
            <w:pPr>
              <w:pStyle w:val="TableBodyText"/>
            </w:pPr>
            <w:r>
              <w:t>Replace ‘</w:t>
            </w:r>
            <w:r w:rsidRPr="0073690B">
              <w:rPr>
                <w:i/>
              </w:rPr>
              <w:t>delivery or receipt point</w:t>
            </w:r>
            <w:r>
              <w:t>’ with ‘</w:t>
            </w:r>
            <w:r w:rsidRPr="0073690B">
              <w:rPr>
                <w:i/>
              </w:rPr>
              <w:t>receipt or delivery point</w:t>
            </w:r>
            <w:r>
              <w:t>’</w:t>
            </w:r>
            <w:r w:rsidR="001D64F2">
              <w:t xml:space="preserve"> </w:t>
            </w:r>
            <w:r w:rsidR="00C7113F">
              <w:t>where it appears in Part 18.</w:t>
            </w:r>
          </w:p>
          <w:p w14:paraId="2C14E61F" w14:textId="77777777" w:rsidR="00B536D0" w:rsidRDefault="00B536D0" w:rsidP="006212A9">
            <w:pPr>
              <w:pStyle w:val="TableBodyText"/>
            </w:pPr>
            <w:r>
              <w:t>Remove redundant words in rule 169(2).</w:t>
            </w:r>
          </w:p>
          <w:p w14:paraId="38CD03CF" w14:textId="77777777" w:rsidR="00B536D0" w:rsidRDefault="00B536D0" w:rsidP="006212A9">
            <w:pPr>
              <w:pStyle w:val="TableBodyText"/>
            </w:pPr>
            <w:r>
              <w:t>Deleted rule 177, as the content is now covered by ru</w:t>
            </w:r>
            <w:r w:rsidR="006C4236">
              <w:t>l</w:t>
            </w:r>
            <w:r>
              <w:t>e 175.</w:t>
            </w:r>
          </w:p>
          <w:p w14:paraId="2C180028" w14:textId="77777777" w:rsidR="000C68C4" w:rsidRDefault="000C68C4" w:rsidP="006212A9">
            <w:pPr>
              <w:pStyle w:val="TableBodyText"/>
            </w:pPr>
            <w:r>
              <w:t>Correct the drafting in rule 194(2) so that it applies to all publication, not just publication on the BB.</w:t>
            </w:r>
          </w:p>
          <w:p w14:paraId="2FCABDD9" w14:textId="77777777" w:rsidR="0049210D" w:rsidRDefault="0049210D" w:rsidP="0049210D">
            <w:pPr>
              <w:pStyle w:val="TableBodyText"/>
            </w:pPr>
            <w:r>
              <w:t>Clarify in rule 194(4)(b) that the obligation to aggregate data relating to market generators apples to NT market generators as well as those in the NEM.</w:t>
            </w:r>
          </w:p>
          <w:p w14:paraId="0FE1F3F8" w14:textId="77777777" w:rsidR="0049210D" w:rsidRDefault="0049210D" w:rsidP="0049210D">
            <w:pPr>
              <w:pStyle w:val="TableBodyText"/>
            </w:pPr>
            <w:r>
              <w:t>Extend rule 194(5) to all aggregation methods under the rule.</w:t>
            </w:r>
          </w:p>
          <w:p w14:paraId="6A59252B" w14:textId="77777777" w:rsidR="0049210D" w:rsidRDefault="0049210D" w:rsidP="0049210D">
            <w:pPr>
              <w:pStyle w:val="TableBodyText"/>
            </w:pPr>
            <w:r>
              <w:t>Clarify the drafting of rule 195(2).</w:t>
            </w:r>
          </w:p>
          <w:p w14:paraId="78F3C5AC" w14:textId="77777777" w:rsidR="0049210D" w:rsidRPr="008934EC" w:rsidRDefault="0049210D" w:rsidP="0049210D">
            <w:pPr>
              <w:pStyle w:val="TableBodyText"/>
            </w:pPr>
            <w:r>
              <w:t xml:space="preserve">Provide expressly that </w:t>
            </w:r>
            <w:proofErr w:type="spellStart"/>
            <w:r>
              <w:t>subrule</w:t>
            </w:r>
            <w:proofErr w:type="spellEnd"/>
            <w:r>
              <w:t xml:space="preserve"> (5) in rule 195A is subject to the remainder of the rule.</w:t>
            </w:r>
          </w:p>
        </w:tc>
      </w:tr>
    </w:tbl>
    <w:p w14:paraId="25358427" w14:textId="77777777" w:rsidR="004574FE" w:rsidRDefault="004574FE" w:rsidP="007740DB">
      <w:pPr>
        <w:pStyle w:val="BodyText"/>
      </w:pPr>
    </w:p>
    <w:p w14:paraId="111B82B8" w14:textId="77777777" w:rsidR="00560069" w:rsidRPr="00E51706" w:rsidRDefault="00710D14" w:rsidP="00560069">
      <w:pPr>
        <w:pStyle w:val="Heading1"/>
      </w:pPr>
      <w:bookmarkStart w:id="130" w:name="_Ref41656722"/>
      <w:bookmarkStart w:id="131" w:name="_Toc45015305"/>
      <w:r>
        <w:lastRenderedPageBreak/>
        <w:t>P</w:t>
      </w:r>
      <w:r w:rsidR="00560069">
        <w:t>roposed civil penalty provisions</w:t>
      </w:r>
      <w:bookmarkEnd w:id="130"/>
      <w:bookmarkEnd w:id="131"/>
    </w:p>
    <w:p w14:paraId="6772894F" w14:textId="542A26D0" w:rsidR="00560069" w:rsidRDefault="00560069" w:rsidP="00560069">
      <w:pPr>
        <w:pStyle w:val="BodyText"/>
      </w:pPr>
      <w:r>
        <w:t>Th</w:t>
      </w:r>
      <w:r w:rsidR="00D8126F">
        <w:t xml:space="preserve">e following table lists the provisions in the Law and Rules that </w:t>
      </w:r>
      <w:r w:rsidR="004F3221">
        <w:t xml:space="preserve">are </w:t>
      </w:r>
      <w:r w:rsidR="00D8126F">
        <w:t xml:space="preserve">proposed to be classified as civil penalty provisions </w:t>
      </w:r>
      <w:r w:rsidR="004F3221">
        <w:t>in the Law or Regulations</w:t>
      </w:r>
      <w:r w:rsidR="00B9237D">
        <w:t>.</w:t>
      </w:r>
      <w:r w:rsidR="00042079">
        <w:t xml:space="preserve"> The proposed tiers for the civil penalty provisions align with the </w:t>
      </w:r>
      <w:hyperlink r:id="rId27" w:history="1">
        <w:r w:rsidR="00042079" w:rsidRPr="000356A4">
          <w:t>proposed classification of tiers for the reform of the Australian Energy Regulator Civil Penalty Regime</w:t>
        </w:r>
      </w:hyperlink>
      <w:r w:rsidR="000356A4">
        <w:rPr>
          <w:rStyle w:val="FootnoteReference"/>
        </w:rPr>
        <w:footnoteReference w:id="42"/>
      </w:r>
      <w:r w:rsidR="00042079">
        <w:t>, which</w:t>
      </w:r>
      <w:r w:rsidR="00DA10F7">
        <w:t xml:space="preserve"> was released for public consul</w:t>
      </w:r>
      <w:r w:rsidR="00042079">
        <w:t xml:space="preserve">tation in July 2020.  </w:t>
      </w:r>
      <w:r w:rsidR="00777AA8">
        <w:t xml:space="preserve">Energy Ministers’ approval of the final classification of tiers, Decision Matrix and Concepts Table, is anticipated in late 2020 or early 2021. If you would like to provide feedback on the proposed tiers, please do so in the response template in </w:t>
      </w:r>
      <w:r w:rsidR="00777AA8" w:rsidRPr="000B4A0B">
        <w:rPr>
          <w:b/>
          <w:bCs/>
        </w:rPr>
        <w:t>Attachment B</w:t>
      </w:r>
      <w:r w:rsidR="00777AA8" w:rsidRPr="000B4A0B">
        <w:t>.</w:t>
      </w:r>
      <w:r w:rsidR="00777AA8">
        <w:t xml:space="preserve"> </w:t>
      </w:r>
    </w:p>
    <w:tbl>
      <w:tblPr>
        <w:tblStyle w:val="ACCCTable11"/>
        <w:tblW w:w="5000" w:type="pct"/>
        <w:tblLayout w:type="fixed"/>
        <w:tblLook w:val="06A0" w:firstRow="1" w:lastRow="0" w:firstColumn="1" w:lastColumn="0" w:noHBand="1" w:noVBand="1"/>
      </w:tblPr>
      <w:tblGrid>
        <w:gridCol w:w="2276"/>
        <w:gridCol w:w="4138"/>
        <w:gridCol w:w="3773"/>
        <w:gridCol w:w="3772"/>
      </w:tblGrid>
      <w:tr w:rsidR="001333C9" w:rsidRPr="002F7121" w14:paraId="251503ED" w14:textId="3BB9BE8D" w:rsidTr="001333C9">
        <w:trPr>
          <w:cnfStyle w:val="100000000000" w:firstRow="1" w:lastRow="0" w:firstColumn="0" w:lastColumn="0" w:oddVBand="0" w:evenVBand="0" w:oddHBand="0" w:evenHBand="0" w:firstRowFirstColumn="0" w:firstRowLastColumn="0" w:lastRowFirstColumn="0" w:lastRowLastColumn="0"/>
          <w:cantSplit/>
          <w:trHeight w:val="101"/>
          <w:tblHeader/>
        </w:trPr>
        <w:tc>
          <w:tcPr>
            <w:tcW w:w="815" w:type="pct"/>
            <w:tcBorders>
              <w:bottom w:val="single" w:sz="4" w:space="0" w:color="auto"/>
            </w:tcBorders>
            <w:shd w:val="clear" w:color="auto" w:fill="005595"/>
          </w:tcPr>
          <w:p w14:paraId="300A8BF1" w14:textId="77777777" w:rsidR="001333C9" w:rsidRDefault="001333C9" w:rsidP="007D35DE">
            <w:pPr>
              <w:spacing w:before="40" w:after="40"/>
              <w:rPr>
                <w:rFonts w:cs="Arial"/>
              </w:rPr>
            </w:pPr>
            <w:r>
              <w:rPr>
                <w:rFonts w:cs="Arial"/>
              </w:rPr>
              <w:t>Section or rule</w:t>
            </w:r>
          </w:p>
        </w:tc>
        <w:tc>
          <w:tcPr>
            <w:tcW w:w="1482" w:type="pct"/>
            <w:tcBorders>
              <w:bottom w:val="single" w:sz="4" w:space="0" w:color="auto"/>
            </w:tcBorders>
            <w:shd w:val="clear" w:color="auto" w:fill="005595"/>
            <w:hideMark/>
          </w:tcPr>
          <w:p w14:paraId="1FA77A23" w14:textId="77777777" w:rsidR="001333C9" w:rsidRPr="002F7121" w:rsidRDefault="001333C9" w:rsidP="0069560F">
            <w:pPr>
              <w:spacing w:before="40" w:after="40"/>
              <w:rPr>
                <w:rFonts w:cs="Arial"/>
              </w:rPr>
            </w:pPr>
            <w:r>
              <w:rPr>
                <w:rFonts w:cs="Arial"/>
              </w:rPr>
              <w:t>Summary of provision</w:t>
            </w:r>
          </w:p>
        </w:tc>
        <w:tc>
          <w:tcPr>
            <w:tcW w:w="1351" w:type="pct"/>
            <w:tcBorders>
              <w:bottom w:val="single" w:sz="4" w:space="0" w:color="auto"/>
            </w:tcBorders>
            <w:shd w:val="clear" w:color="auto" w:fill="005595"/>
            <w:hideMark/>
          </w:tcPr>
          <w:p w14:paraId="77056588" w14:textId="77777777" w:rsidR="001333C9" w:rsidRPr="002F7121" w:rsidRDefault="001333C9" w:rsidP="007D35DE">
            <w:pPr>
              <w:spacing w:before="40" w:after="40"/>
              <w:rPr>
                <w:rFonts w:cs="Arial"/>
              </w:rPr>
            </w:pPr>
            <w:r>
              <w:rPr>
                <w:rFonts w:cs="Arial"/>
              </w:rPr>
              <w:t>Explanatory notes</w:t>
            </w:r>
          </w:p>
        </w:tc>
        <w:tc>
          <w:tcPr>
            <w:tcW w:w="1351" w:type="pct"/>
            <w:tcBorders>
              <w:bottom w:val="single" w:sz="4" w:space="0" w:color="auto"/>
            </w:tcBorders>
            <w:shd w:val="clear" w:color="auto" w:fill="005595"/>
          </w:tcPr>
          <w:p w14:paraId="5FCFEE07" w14:textId="0620449C" w:rsidR="001333C9" w:rsidRDefault="001333C9" w:rsidP="007D35DE">
            <w:pPr>
              <w:spacing w:before="40" w:after="40"/>
              <w:rPr>
                <w:rFonts w:cs="Arial"/>
              </w:rPr>
            </w:pPr>
            <w:r>
              <w:rPr>
                <w:rFonts w:cs="Arial"/>
              </w:rPr>
              <w:t xml:space="preserve">Proposed tiers </w:t>
            </w:r>
          </w:p>
        </w:tc>
      </w:tr>
      <w:tr w:rsidR="001333C9" w:rsidRPr="00BD6D2B" w14:paraId="12ACAFF1" w14:textId="108A2D6A" w:rsidTr="001333C9">
        <w:trPr>
          <w:cantSplit/>
        </w:trPr>
        <w:tc>
          <w:tcPr>
            <w:tcW w:w="815" w:type="pct"/>
          </w:tcPr>
          <w:p w14:paraId="324455C5" w14:textId="77777777" w:rsidR="001333C9" w:rsidRDefault="001333C9" w:rsidP="00654769">
            <w:pPr>
              <w:pStyle w:val="TableBodyText"/>
            </w:pPr>
            <w:r>
              <w:t>Section 57</w:t>
            </w:r>
          </w:p>
        </w:tc>
        <w:tc>
          <w:tcPr>
            <w:tcW w:w="1482" w:type="pct"/>
          </w:tcPr>
          <w:p w14:paraId="029B22AA" w14:textId="77777777" w:rsidR="001333C9" w:rsidRDefault="001333C9" w:rsidP="00654769">
            <w:pPr>
              <w:pStyle w:val="TableBodyText"/>
            </w:pPr>
            <w:r>
              <w:t>Requirement for a person to comply with a price information order.</w:t>
            </w:r>
          </w:p>
        </w:tc>
        <w:tc>
          <w:tcPr>
            <w:tcW w:w="1351" w:type="pct"/>
          </w:tcPr>
          <w:p w14:paraId="148D7ACC" w14:textId="77777777" w:rsidR="001333C9" w:rsidRDefault="001333C9" w:rsidP="00770B1A">
            <w:pPr>
              <w:pStyle w:val="TableBodyText"/>
            </w:pPr>
            <w:r>
              <w:t xml:space="preserve">Section 57 of the Law currently applies to </w:t>
            </w:r>
            <w:r w:rsidRPr="00770B1A">
              <w:t>general regulatory information order</w:t>
            </w:r>
            <w:r>
              <w:t>s and is classified as a civil penalty provision under section 3 of the Law. The section will be extended to require compliance with price information orders.</w:t>
            </w:r>
          </w:p>
        </w:tc>
        <w:tc>
          <w:tcPr>
            <w:tcW w:w="1351" w:type="pct"/>
          </w:tcPr>
          <w:p w14:paraId="4A49FB4F" w14:textId="61560F39" w:rsidR="001333C9" w:rsidRPr="0044620A" w:rsidRDefault="001333C9" w:rsidP="001333C9">
            <w:pPr>
              <w:pStyle w:val="TableBodyText"/>
            </w:pPr>
            <w:r w:rsidRPr="0044620A">
              <w:t>Tier 1 for consisten</w:t>
            </w:r>
            <w:r w:rsidR="00B1423C">
              <w:t>c</w:t>
            </w:r>
            <w:r w:rsidRPr="0044620A">
              <w:t xml:space="preserve">y with regulatory information order provisions in the NEL; </w:t>
            </w:r>
            <w:r w:rsidR="004332F5" w:rsidRPr="0044620A">
              <w:t xml:space="preserve">Extend its application to include </w:t>
            </w:r>
            <w:r w:rsidRPr="0044620A">
              <w:t>price information order</w:t>
            </w:r>
          </w:p>
          <w:p w14:paraId="1FFCED0A" w14:textId="77777777" w:rsidR="001333C9" w:rsidRDefault="001333C9" w:rsidP="00770B1A">
            <w:pPr>
              <w:pStyle w:val="TableBodyText"/>
            </w:pPr>
          </w:p>
        </w:tc>
      </w:tr>
      <w:tr w:rsidR="001333C9" w:rsidRPr="00BD6D2B" w14:paraId="611FA9D2" w14:textId="04C6A141" w:rsidTr="001333C9">
        <w:trPr>
          <w:cantSplit/>
        </w:trPr>
        <w:tc>
          <w:tcPr>
            <w:tcW w:w="815" w:type="pct"/>
          </w:tcPr>
          <w:p w14:paraId="05E67424" w14:textId="77777777" w:rsidR="001333C9" w:rsidRDefault="001333C9" w:rsidP="00654769">
            <w:pPr>
              <w:pStyle w:val="TableBodyText"/>
            </w:pPr>
            <w:r>
              <w:t>Section 91DB(1)</w:t>
            </w:r>
          </w:p>
        </w:tc>
        <w:tc>
          <w:tcPr>
            <w:tcW w:w="1482" w:type="pct"/>
          </w:tcPr>
          <w:p w14:paraId="75023668" w14:textId="77777777" w:rsidR="001333C9" w:rsidRDefault="001333C9" w:rsidP="00654769">
            <w:pPr>
              <w:pStyle w:val="TableBodyText"/>
            </w:pPr>
            <w:r>
              <w:t>Requirement for a person who has possession or control of information in relation to the natural gas industry to give the information to AEMO for use by AEMO in the preparation of the gas statement of opportunities if the person is required to do so under the Rules.</w:t>
            </w:r>
          </w:p>
        </w:tc>
        <w:tc>
          <w:tcPr>
            <w:tcW w:w="1351" w:type="pct"/>
          </w:tcPr>
          <w:p w14:paraId="70EE2FDC" w14:textId="77777777" w:rsidR="001333C9" w:rsidRDefault="001333C9" w:rsidP="00770B1A">
            <w:pPr>
              <w:pStyle w:val="TableBodyText"/>
            </w:pPr>
            <w:r>
              <w:t xml:space="preserve">Classification of this provision as a civil penalty provision is consistent with the mandatory nature of the GSOO survey. </w:t>
            </w:r>
          </w:p>
          <w:p w14:paraId="7CAF0354" w14:textId="77777777" w:rsidR="001333C9" w:rsidRDefault="001333C9" w:rsidP="004B6D39">
            <w:pPr>
              <w:pStyle w:val="TableBodyText"/>
            </w:pPr>
            <w:r>
              <w:t xml:space="preserve">Proposed section </w:t>
            </w:r>
            <w:proofErr w:type="gramStart"/>
            <w:r>
              <w:t>91DB(</w:t>
            </w:r>
            <w:proofErr w:type="gramEnd"/>
            <w:r>
              <w:t>1) is similar to the obligation to provide information for the BB under section 223. Section 223 is classified as a civil penalty provision by section 3 of the Law.</w:t>
            </w:r>
          </w:p>
        </w:tc>
        <w:tc>
          <w:tcPr>
            <w:tcW w:w="1351" w:type="pct"/>
          </w:tcPr>
          <w:p w14:paraId="5324EED6" w14:textId="12BEA393" w:rsidR="001333C9" w:rsidRDefault="001333C9" w:rsidP="00770B1A">
            <w:pPr>
              <w:pStyle w:val="TableBodyText"/>
            </w:pPr>
            <w:r w:rsidRPr="0044620A">
              <w:t>Tier 2 – Inappropriate Market Participant Behaviour – General reporting requirements to a regulator</w:t>
            </w:r>
          </w:p>
        </w:tc>
      </w:tr>
      <w:tr w:rsidR="001333C9" w:rsidRPr="00BD6D2B" w14:paraId="27B6BAEF" w14:textId="41D7FC14" w:rsidTr="001333C9">
        <w:trPr>
          <w:cantSplit/>
        </w:trPr>
        <w:tc>
          <w:tcPr>
            <w:tcW w:w="815" w:type="pct"/>
          </w:tcPr>
          <w:p w14:paraId="16C2C451" w14:textId="77777777" w:rsidR="001333C9" w:rsidRDefault="001333C9" w:rsidP="00654769">
            <w:pPr>
              <w:pStyle w:val="TableBodyText"/>
            </w:pPr>
            <w:r>
              <w:t>Section 91DD</w:t>
            </w:r>
          </w:p>
        </w:tc>
        <w:tc>
          <w:tcPr>
            <w:tcW w:w="1482" w:type="pct"/>
          </w:tcPr>
          <w:p w14:paraId="48F227E6" w14:textId="77777777" w:rsidR="001333C9" w:rsidRDefault="001333C9" w:rsidP="00C8728D">
            <w:pPr>
              <w:pStyle w:val="TableBodyText"/>
            </w:pPr>
            <w:r>
              <w:t>Requirement that a person must not give GSOO information to AEMO that the person knows is false or misleading in a material particular.</w:t>
            </w:r>
          </w:p>
        </w:tc>
        <w:tc>
          <w:tcPr>
            <w:tcW w:w="1351" w:type="pct"/>
          </w:tcPr>
          <w:p w14:paraId="0CF17F8B" w14:textId="77777777" w:rsidR="001333C9" w:rsidRDefault="001333C9" w:rsidP="00C8728D">
            <w:pPr>
              <w:pStyle w:val="TableBodyText"/>
            </w:pPr>
            <w:r>
              <w:t>An equivalent prohibition applies in relation to BB information under section 225 and is also classified as a civil penalty provision by section 3 of the Law.</w:t>
            </w:r>
          </w:p>
        </w:tc>
        <w:tc>
          <w:tcPr>
            <w:tcW w:w="1351" w:type="pct"/>
          </w:tcPr>
          <w:p w14:paraId="15EE5A2B" w14:textId="1BC6A05C" w:rsidR="001333C9" w:rsidRDefault="001333C9" w:rsidP="00C8728D">
            <w:pPr>
              <w:pStyle w:val="TableBodyText"/>
            </w:pPr>
            <w:r w:rsidRPr="0044620A">
              <w:t>Tier 1 – Supply security and reliability – AEMO ability to operate power system efficiently (same as existing equivalent provision s 225)</w:t>
            </w:r>
          </w:p>
        </w:tc>
      </w:tr>
      <w:tr w:rsidR="001333C9" w:rsidRPr="00BD6D2B" w14:paraId="725AC498" w14:textId="3A8D8F99" w:rsidTr="001333C9">
        <w:trPr>
          <w:cantSplit/>
        </w:trPr>
        <w:tc>
          <w:tcPr>
            <w:tcW w:w="815" w:type="pct"/>
          </w:tcPr>
          <w:p w14:paraId="282E2896" w14:textId="77777777" w:rsidR="001333C9" w:rsidRDefault="001333C9" w:rsidP="007D35DE">
            <w:pPr>
              <w:pStyle w:val="TableBodyText"/>
            </w:pPr>
            <w:r>
              <w:lastRenderedPageBreak/>
              <w:t>Section 223(1) of the NGL, as amended by the draft Bill</w:t>
            </w:r>
          </w:p>
        </w:tc>
        <w:tc>
          <w:tcPr>
            <w:tcW w:w="1482" w:type="pct"/>
          </w:tcPr>
          <w:p w14:paraId="0DD7BA18" w14:textId="77777777" w:rsidR="001333C9" w:rsidRDefault="001333C9" w:rsidP="00D8126F">
            <w:pPr>
              <w:pStyle w:val="TableBodyText"/>
            </w:pPr>
            <w:r>
              <w:t>Requirement for a person who has possession or control of information in relation to the natural gas industry to give the information to AEMO for use by AEMO in connection with the Natural Gas Services Bulletin Board if the person is required to do so under the Rules.</w:t>
            </w:r>
          </w:p>
        </w:tc>
        <w:tc>
          <w:tcPr>
            <w:tcW w:w="1351" w:type="pct"/>
          </w:tcPr>
          <w:p w14:paraId="280AD5A8" w14:textId="77777777" w:rsidR="001333C9" w:rsidRDefault="001333C9" w:rsidP="00D8126F">
            <w:pPr>
              <w:pStyle w:val="TableBodyText"/>
            </w:pPr>
            <w:r>
              <w:t xml:space="preserve">Section 223(1) in its current form is already classified as a civil penalty provision by section 3 of the Law. </w:t>
            </w:r>
          </w:p>
          <w:p w14:paraId="42B34494" w14:textId="77777777" w:rsidR="001333C9" w:rsidRPr="00BD6D2B" w:rsidRDefault="001333C9" w:rsidP="00490FF3">
            <w:pPr>
              <w:pStyle w:val="TableBodyText"/>
            </w:pPr>
            <w:r>
              <w:t xml:space="preserve">Section </w:t>
            </w:r>
            <w:proofErr w:type="gramStart"/>
            <w:r>
              <w:t>223A(</w:t>
            </w:r>
            <w:proofErr w:type="gramEnd"/>
            <w:r>
              <w:t>1) is also classified as a civil penalty provision under the Regulations. The section is to be deleted.</w:t>
            </w:r>
          </w:p>
        </w:tc>
        <w:tc>
          <w:tcPr>
            <w:tcW w:w="1351" w:type="pct"/>
          </w:tcPr>
          <w:p w14:paraId="63CAC2BC" w14:textId="0C51947B" w:rsidR="001333C9" w:rsidRDefault="0002397C" w:rsidP="00D8126F">
            <w:pPr>
              <w:pStyle w:val="TableBodyText"/>
            </w:pPr>
            <w:r w:rsidRPr="0044620A">
              <w:t>Existing: Tier 2 – Inappropriate Market Participant Behaviour – General reporting requirements to a regulator</w:t>
            </w:r>
          </w:p>
        </w:tc>
      </w:tr>
      <w:tr w:rsidR="001333C9" w:rsidRPr="00BD6D2B" w14:paraId="3EB49D4D" w14:textId="4FE20637" w:rsidTr="001333C9">
        <w:trPr>
          <w:cantSplit/>
        </w:trPr>
        <w:tc>
          <w:tcPr>
            <w:tcW w:w="815" w:type="pct"/>
          </w:tcPr>
          <w:p w14:paraId="1F34EB77" w14:textId="77777777" w:rsidR="001333C9" w:rsidRDefault="001333C9" w:rsidP="007D35DE">
            <w:pPr>
              <w:pStyle w:val="TableBodyText"/>
            </w:pPr>
            <w:r>
              <w:t>Rule 135KE(2)</w:t>
            </w:r>
          </w:p>
        </w:tc>
        <w:tc>
          <w:tcPr>
            <w:tcW w:w="1482" w:type="pct"/>
          </w:tcPr>
          <w:p w14:paraId="4C39EB9A" w14:textId="6105633E" w:rsidR="001333C9" w:rsidRDefault="001333C9" w:rsidP="0032629B">
            <w:pPr>
              <w:pStyle w:val="TableBodyText"/>
            </w:pPr>
            <w:r>
              <w:t>Requirement for a GSOO reporting entity to participate in a GSOO survey in accordance with the GSOO Procedures.</w:t>
            </w:r>
          </w:p>
        </w:tc>
        <w:tc>
          <w:tcPr>
            <w:tcW w:w="1351" w:type="pct"/>
          </w:tcPr>
          <w:p w14:paraId="651055B3" w14:textId="77777777" w:rsidR="001333C9" w:rsidRDefault="001333C9" w:rsidP="00536260">
            <w:pPr>
              <w:pStyle w:val="TableBodyText"/>
            </w:pPr>
            <w:r>
              <w:t xml:space="preserve">Classification of this provision as a civil penalty provision is consistent with the mandatory nature of the GSOO survey. </w:t>
            </w:r>
          </w:p>
        </w:tc>
        <w:tc>
          <w:tcPr>
            <w:tcW w:w="1351" w:type="pct"/>
          </w:tcPr>
          <w:p w14:paraId="2D1556D4" w14:textId="34307A29" w:rsidR="001333C9" w:rsidRDefault="004332F5" w:rsidP="00536260">
            <w:pPr>
              <w:pStyle w:val="TableBodyText"/>
            </w:pPr>
            <w:r w:rsidRPr="0044620A">
              <w:t>Tier 2 – Inappropriate Market Participant Behaviour – General reporting requirements to a regulator</w:t>
            </w:r>
          </w:p>
        </w:tc>
      </w:tr>
      <w:tr w:rsidR="001333C9" w:rsidRPr="00BD6D2B" w14:paraId="46FDC0F4" w14:textId="26E4C6BB" w:rsidTr="001333C9">
        <w:trPr>
          <w:cantSplit/>
        </w:trPr>
        <w:tc>
          <w:tcPr>
            <w:tcW w:w="815" w:type="pct"/>
          </w:tcPr>
          <w:p w14:paraId="320374AE" w14:textId="77777777" w:rsidR="001333C9" w:rsidRDefault="001333C9" w:rsidP="007D35DE">
            <w:pPr>
              <w:pStyle w:val="TableBodyText"/>
            </w:pPr>
            <w:r>
              <w:t>Rule 135KG(1)</w:t>
            </w:r>
          </w:p>
        </w:tc>
        <w:tc>
          <w:tcPr>
            <w:tcW w:w="1482" w:type="pct"/>
          </w:tcPr>
          <w:p w14:paraId="49A00BA8" w14:textId="77777777" w:rsidR="001333C9" w:rsidRDefault="001333C9" w:rsidP="005B5921">
            <w:pPr>
              <w:pStyle w:val="TableBodyText"/>
            </w:pPr>
            <w:r>
              <w:t xml:space="preserve">Requirement for a GSOO reporting entity to </w:t>
            </w:r>
            <w:r w:rsidRPr="00B22C99">
              <w:t>provide</w:t>
            </w:r>
            <w:r>
              <w:t xml:space="preserve"> GSOO</w:t>
            </w:r>
            <w:r w:rsidRPr="00B22C99">
              <w:t xml:space="preserve"> information to AEMO</w:t>
            </w:r>
            <w:r>
              <w:t xml:space="preserve"> </w:t>
            </w:r>
            <w:r w:rsidRPr="00B22C99">
              <w:t>by the time specified in the GSOO Procedures.</w:t>
            </w:r>
          </w:p>
        </w:tc>
        <w:tc>
          <w:tcPr>
            <w:tcW w:w="1351" w:type="pct"/>
          </w:tcPr>
          <w:p w14:paraId="1BEBFAB5" w14:textId="77777777" w:rsidR="001333C9" w:rsidRDefault="001333C9" w:rsidP="00D8126F">
            <w:pPr>
              <w:pStyle w:val="TableBodyText"/>
            </w:pPr>
            <w:r>
              <w:t>Classification of this provision as a civil penalty provision is consistent with the mandatory nature of the GSOO survey.</w:t>
            </w:r>
          </w:p>
        </w:tc>
        <w:tc>
          <w:tcPr>
            <w:tcW w:w="1351" w:type="pct"/>
          </w:tcPr>
          <w:p w14:paraId="31A8C5E8" w14:textId="5727B808" w:rsidR="001333C9" w:rsidRDefault="004332F5" w:rsidP="00D8126F">
            <w:pPr>
              <w:pStyle w:val="TableBodyText"/>
            </w:pPr>
            <w:r w:rsidRPr="0044620A">
              <w:t>Tier 2 – Inappropriate Market Participant Behaviour – General reporting requirements to a regulator</w:t>
            </w:r>
          </w:p>
        </w:tc>
      </w:tr>
      <w:tr w:rsidR="001333C9" w:rsidRPr="00BD6D2B" w14:paraId="043A3766" w14:textId="37210B2D" w:rsidTr="001333C9">
        <w:trPr>
          <w:cantSplit/>
        </w:trPr>
        <w:tc>
          <w:tcPr>
            <w:tcW w:w="815" w:type="pct"/>
          </w:tcPr>
          <w:p w14:paraId="0FE02A42" w14:textId="77777777" w:rsidR="001333C9" w:rsidRDefault="001333C9" w:rsidP="007D35DE">
            <w:pPr>
              <w:pStyle w:val="TableBodyText"/>
            </w:pPr>
            <w:r>
              <w:t>Rule 135KG(2)</w:t>
            </w:r>
          </w:p>
        </w:tc>
        <w:tc>
          <w:tcPr>
            <w:tcW w:w="1482" w:type="pct"/>
          </w:tcPr>
          <w:p w14:paraId="25C1E2BF" w14:textId="77777777" w:rsidR="001333C9" w:rsidRDefault="001333C9" w:rsidP="005476E0">
            <w:pPr>
              <w:pStyle w:val="TableBodyText"/>
            </w:pPr>
            <w:r>
              <w:t xml:space="preserve">Requirement for a </w:t>
            </w:r>
            <w:r w:rsidRPr="005476E0">
              <w:t>GSOO reporting entity to provide</w:t>
            </w:r>
            <w:r>
              <w:t xml:space="preserve"> GSOO</w:t>
            </w:r>
            <w:r w:rsidRPr="005476E0">
              <w:t xml:space="preserve"> information to AEMO</w:t>
            </w:r>
            <w:r>
              <w:t xml:space="preserve"> </w:t>
            </w:r>
            <w:r w:rsidRPr="005476E0">
              <w:t>in the manner and form specified in, and otherwise in accordance with, the GSOO Procedures.</w:t>
            </w:r>
          </w:p>
        </w:tc>
        <w:tc>
          <w:tcPr>
            <w:tcW w:w="1351" w:type="pct"/>
          </w:tcPr>
          <w:p w14:paraId="1A2478C7" w14:textId="77777777" w:rsidR="001333C9" w:rsidRDefault="001333C9" w:rsidP="00D8126F">
            <w:pPr>
              <w:pStyle w:val="TableBodyText"/>
            </w:pPr>
            <w:r>
              <w:t>Classification of this provision as a civil penalty provision is consistent with the mandatory nature of the GSOO survey.</w:t>
            </w:r>
          </w:p>
        </w:tc>
        <w:tc>
          <w:tcPr>
            <w:tcW w:w="1351" w:type="pct"/>
          </w:tcPr>
          <w:p w14:paraId="09B6A19B" w14:textId="0522A3D2" w:rsidR="001333C9" w:rsidRDefault="004332F5" w:rsidP="00D8126F">
            <w:pPr>
              <w:pStyle w:val="TableBodyText"/>
            </w:pPr>
            <w:r w:rsidRPr="0044620A">
              <w:t>Tier 2 – Inappropriate Market Participant Behaviour – General reporting requirements to a regulator</w:t>
            </w:r>
          </w:p>
        </w:tc>
      </w:tr>
      <w:tr w:rsidR="001333C9" w:rsidRPr="00BD6D2B" w14:paraId="4D3477B7" w14:textId="53DB3BB9" w:rsidTr="001333C9">
        <w:trPr>
          <w:cantSplit/>
        </w:trPr>
        <w:tc>
          <w:tcPr>
            <w:tcW w:w="815" w:type="pct"/>
          </w:tcPr>
          <w:p w14:paraId="486BF402" w14:textId="77777777" w:rsidR="001333C9" w:rsidRDefault="001333C9" w:rsidP="007D35DE">
            <w:pPr>
              <w:pStyle w:val="TableBodyText"/>
            </w:pPr>
            <w:r>
              <w:t>Rule 135KG(3)</w:t>
            </w:r>
          </w:p>
        </w:tc>
        <w:tc>
          <w:tcPr>
            <w:tcW w:w="1482" w:type="pct"/>
          </w:tcPr>
          <w:p w14:paraId="707CD427" w14:textId="40B2B1B4" w:rsidR="001333C9" w:rsidRDefault="001333C9" w:rsidP="00B22C99">
            <w:pPr>
              <w:pStyle w:val="TableBodyText"/>
            </w:pPr>
            <w:r>
              <w:t>Requirement for a GSOO reporting entity to ensure that information it provides for a GSOO survey is prepared and submitted in accordance with the practices, methods and acts that would reasonably be expected from an experienced and competent person:</w:t>
            </w:r>
          </w:p>
          <w:p w14:paraId="7FE3DDCA" w14:textId="77777777" w:rsidR="001333C9" w:rsidRDefault="001333C9" w:rsidP="005B5921">
            <w:pPr>
              <w:pStyle w:val="Newtablebullet"/>
            </w:pPr>
            <w:r>
              <w:t>engaged in the activity in which the GSOO reporting entity engages in Australia;</w:t>
            </w:r>
          </w:p>
          <w:p w14:paraId="63C097E0" w14:textId="77777777" w:rsidR="001333C9" w:rsidRDefault="001333C9" w:rsidP="005B5921">
            <w:pPr>
              <w:pStyle w:val="Newtablebullet"/>
            </w:pPr>
            <w:r>
              <w:t xml:space="preserve">having the qualifications and experience reasonably to be expected of a person preparing the information in Australia; and </w:t>
            </w:r>
          </w:p>
          <w:p w14:paraId="6E8F5233" w14:textId="77777777" w:rsidR="001333C9" w:rsidRPr="00B22C99" w:rsidRDefault="001333C9" w:rsidP="005B5921">
            <w:pPr>
              <w:pStyle w:val="Newtablebullet"/>
            </w:pPr>
            <w:proofErr w:type="gramStart"/>
            <w:r>
              <w:t>acting</w:t>
            </w:r>
            <w:proofErr w:type="gramEnd"/>
            <w:r>
              <w:t xml:space="preserve"> with all due skill, diligence, prudence and foresight and in compliance with all applicable legislation (including these rules), authorisations and industry codes of practice.</w:t>
            </w:r>
          </w:p>
        </w:tc>
        <w:tc>
          <w:tcPr>
            <w:tcW w:w="1351" w:type="pct"/>
          </w:tcPr>
          <w:p w14:paraId="0B5168F7" w14:textId="77777777" w:rsidR="001333C9" w:rsidRDefault="001333C9" w:rsidP="0029437C">
            <w:pPr>
              <w:pStyle w:val="TableBodyText"/>
            </w:pPr>
            <w:r>
              <w:t>Classification of this provision as a civil penalty provision is consistent with the classification of other provisions in the Rules specifying information standards.</w:t>
            </w:r>
          </w:p>
        </w:tc>
        <w:tc>
          <w:tcPr>
            <w:tcW w:w="1351" w:type="pct"/>
          </w:tcPr>
          <w:p w14:paraId="1C8EFD2E" w14:textId="4F466B7F" w:rsidR="001333C9" w:rsidRDefault="004332F5" w:rsidP="0029437C">
            <w:pPr>
              <w:pStyle w:val="TableBodyText"/>
            </w:pPr>
            <w:r w:rsidRPr="0044620A">
              <w:t>Tier 2 – Inappropriate Market Participant Behaviour – General reporting requirements to a regulator</w:t>
            </w:r>
          </w:p>
        </w:tc>
      </w:tr>
      <w:tr w:rsidR="001333C9" w:rsidRPr="00BD6D2B" w14:paraId="29AD3AF1" w14:textId="081548A9" w:rsidTr="001333C9">
        <w:trPr>
          <w:cantSplit/>
        </w:trPr>
        <w:tc>
          <w:tcPr>
            <w:tcW w:w="815" w:type="pct"/>
          </w:tcPr>
          <w:p w14:paraId="70E172DB" w14:textId="77777777" w:rsidR="001333C9" w:rsidRDefault="001333C9" w:rsidP="007D35DE">
            <w:pPr>
              <w:pStyle w:val="TableBodyText"/>
            </w:pPr>
            <w:r>
              <w:lastRenderedPageBreak/>
              <w:t>Rule 135KG(4)</w:t>
            </w:r>
          </w:p>
        </w:tc>
        <w:tc>
          <w:tcPr>
            <w:tcW w:w="1482" w:type="pct"/>
          </w:tcPr>
          <w:p w14:paraId="1400316C" w14:textId="68CC59B6" w:rsidR="001333C9" w:rsidRDefault="001333C9" w:rsidP="00340B9B">
            <w:pPr>
              <w:pStyle w:val="TableBodyText"/>
            </w:pPr>
            <w:r>
              <w:t>Requirement for a GSOO reporting entity to ensure that a forecast or estimate provided for a GSOO survey is arrived at on a reasonable basis and represents the best forecast or estimate possible in the circumstances.</w:t>
            </w:r>
          </w:p>
        </w:tc>
        <w:tc>
          <w:tcPr>
            <w:tcW w:w="1351" w:type="pct"/>
          </w:tcPr>
          <w:p w14:paraId="6674CB6E" w14:textId="77777777" w:rsidR="001333C9" w:rsidRDefault="001333C9" w:rsidP="00D8126F">
            <w:pPr>
              <w:pStyle w:val="TableBodyText"/>
            </w:pPr>
            <w:r>
              <w:t>Classification of this provision as a civil penalty provision is consistent with the classification of other provisions in the Rules specifying information standards.</w:t>
            </w:r>
          </w:p>
        </w:tc>
        <w:tc>
          <w:tcPr>
            <w:tcW w:w="1351" w:type="pct"/>
          </w:tcPr>
          <w:p w14:paraId="33911F83" w14:textId="72686514" w:rsidR="001333C9" w:rsidRDefault="00E235FD" w:rsidP="00D8126F">
            <w:pPr>
              <w:pStyle w:val="TableBodyText"/>
            </w:pPr>
            <w:r w:rsidRPr="0044620A">
              <w:t>Tier 2 – Inappropriate Market Participant Behaviour – General reporting requirements to a regulator</w:t>
            </w:r>
          </w:p>
        </w:tc>
      </w:tr>
      <w:tr w:rsidR="001333C9" w:rsidRPr="00BD6D2B" w14:paraId="2FF2BB9F" w14:textId="36522464" w:rsidTr="001333C9">
        <w:trPr>
          <w:cantSplit/>
        </w:trPr>
        <w:tc>
          <w:tcPr>
            <w:tcW w:w="815" w:type="pct"/>
          </w:tcPr>
          <w:p w14:paraId="75BAEC51" w14:textId="77777777" w:rsidR="001333C9" w:rsidRPr="00BD6D2B" w:rsidRDefault="001333C9" w:rsidP="007D35DE">
            <w:pPr>
              <w:pStyle w:val="TableBodyText"/>
            </w:pPr>
            <w:r>
              <w:t>Rule 150(1)</w:t>
            </w:r>
          </w:p>
        </w:tc>
        <w:tc>
          <w:tcPr>
            <w:tcW w:w="1482" w:type="pct"/>
          </w:tcPr>
          <w:p w14:paraId="1F08C52E" w14:textId="77777777" w:rsidR="001333C9" w:rsidRPr="00BD6D2B" w:rsidRDefault="001333C9" w:rsidP="007D35DE">
            <w:pPr>
              <w:pStyle w:val="TableBodyText"/>
            </w:pPr>
            <w:r>
              <w:t xml:space="preserve">Requirement for </w:t>
            </w:r>
            <w:r w:rsidRPr="00D850C1">
              <w:t xml:space="preserve">a facility operator </w:t>
            </w:r>
            <w:r>
              <w:t xml:space="preserve">to register under </w:t>
            </w:r>
            <w:r w:rsidRPr="00D850C1">
              <w:t xml:space="preserve">Part </w:t>
            </w:r>
            <w:r>
              <w:t xml:space="preserve">18 </w:t>
            </w:r>
            <w:r w:rsidRPr="00D850C1">
              <w:t>as the BB reporting entity for each BB facility for which i</w:t>
            </w:r>
            <w:r>
              <w:t>t is a facility operator.</w:t>
            </w:r>
          </w:p>
        </w:tc>
        <w:tc>
          <w:tcPr>
            <w:tcW w:w="1351" w:type="pct"/>
          </w:tcPr>
          <w:p w14:paraId="2E8142F7" w14:textId="77777777" w:rsidR="001333C9" w:rsidRPr="00BD6D2B" w:rsidRDefault="001333C9" w:rsidP="00F667D9">
            <w:pPr>
              <w:pStyle w:val="TableBodyText"/>
            </w:pPr>
            <w:r>
              <w:t>Proposed new rule 150(1) will replace current rules 150(1), 151(1) and 156(1</w:t>
            </w:r>
            <w:proofErr w:type="gramStart"/>
            <w:r>
              <w:t>)(</w:t>
            </w:r>
            <w:proofErr w:type="gramEnd"/>
            <w:r>
              <w:t>b), which are classified as civil penalty provisions.</w:t>
            </w:r>
          </w:p>
        </w:tc>
        <w:tc>
          <w:tcPr>
            <w:tcW w:w="1351" w:type="pct"/>
          </w:tcPr>
          <w:p w14:paraId="1429A645" w14:textId="77777777" w:rsidR="00E235FD" w:rsidRPr="0044620A" w:rsidRDefault="00E235FD" w:rsidP="00E235FD">
            <w:pPr>
              <w:pStyle w:val="TableBodyText"/>
            </w:pPr>
            <w:r w:rsidRPr="0044620A">
              <w:t>Existing provision is Tier 1 – Supply Security &amp; Reliability – Security and safety of supply in the gas system.</w:t>
            </w:r>
          </w:p>
          <w:p w14:paraId="084AD51E" w14:textId="1CDC6B5A" w:rsidR="001333C9" w:rsidRDefault="00E235FD" w:rsidP="00E235FD">
            <w:pPr>
              <w:pStyle w:val="TableBodyText"/>
            </w:pPr>
            <w:r w:rsidRPr="0044620A">
              <w:t>New equivalent provision would remain at this classification.</w:t>
            </w:r>
          </w:p>
        </w:tc>
      </w:tr>
      <w:tr w:rsidR="001333C9" w:rsidRPr="00BD6D2B" w14:paraId="068AF612" w14:textId="6D425D76" w:rsidTr="001333C9">
        <w:trPr>
          <w:cantSplit/>
        </w:trPr>
        <w:tc>
          <w:tcPr>
            <w:tcW w:w="815" w:type="pct"/>
          </w:tcPr>
          <w:p w14:paraId="0E149DF4" w14:textId="77777777" w:rsidR="001333C9" w:rsidRDefault="001333C9" w:rsidP="007D35DE">
            <w:pPr>
              <w:pStyle w:val="TableBodyText"/>
            </w:pPr>
            <w:r>
              <w:t>Rule 150(2)</w:t>
            </w:r>
          </w:p>
        </w:tc>
        <w:tc>
          <w:tcPr>
            <w:tcW w:w="1482" w:type="pct"/>
          </w:tcPr>
          <w:p w14:paraId="47FC4F4A" w14:textId="77777777" w:rsidR="001333C9" w:rsidRDefault="001333C9" w:rsidP="007D35DE">
            <w:pPr>
              <w:pStyle w:val="TableBodyText"/>
            </w:pPr>
            <w:r>
              <w:t xml:space="preserve">Requirement for </w:t>
            </w:r>
            <w:r w:rsidRPr="00D850C1">
              <w:t xml:space="preserve">a facility operator </w:t>
            </w:r>
            <w:r>
              <w:t>to apply to register not later than:</w:t>
            </w:r>
          </w:p>
          <w:p w14:paraId="357AA5D2" w14:textId="77777777" w:rsidR="001333C9" w:rsidRDefault="001333C9" w:rsidP="007D35DE">
            <w:pPr>
              <w:pStyle w:val="Newtablebullet"/>
            </w:pPr>
            <w:r>
              <w:t>for a new BB facility, including a natural gas industry facility that becomes a BB facility following an extension or expansion, 20 business days before the facility or the relevant expansion or extension to the facility is commissioned;</w:t>
            </w:r>
          </w:p>
          <w:p w14:paraId="3D383E42" w14:textId="77777777" w:rsidR="001333C9" w:rsidRDefault="001333C9" w:rsidP="007D35DE">
            <w:pPr>
              <w:pStyle w:val="Newtablebullet"/>
            </w:pPr>
            <w:r>
              <w:t>where there is a change to the facility operator for a BB facility, 20 business days after the facility operator becomes a facility operator for the BB facility; or</w:t>
            </w:r>
          </w:p>
          <w:p w14:paraId="31B94311" w14:textId="77777777" w:rsidR="001333C9" w:rsidRDefault="001333C9" w:rsidP="00B9237D">
            <w:pPr>
              <w:pStyle w:val="Newtablebullet"/>
            </w:pPr>
            <w:proofErr w:type="gramStart"/>
            <w:r>
              <w:t>where</w:t>
            </w:r>
            <w:proofErr w:type="gramEnd"/>
            <w:r>
              <w:t xml:space="preserve"> applicable, 20 business days after an exemption from registration under Part 18 ceases to apply.</w:t>
            </w:r>
          </w:p>
        </w:tc>
        <w:tc>
          <w:tcPr>
            <w:tcW w:w="1351" w:type="pct"/>
          </w:tcPr>
          <w:p w14:paraId="2B4EBBE4" w14:textId="77777777" w:rsidR="001333C9" w:rsidRPr="00BD6D2B" w:rsidRDefault="001333C9" w:rsidP="00DD6CE8">
            <w:pPr>
              <w:pStyle w:val="TableBodyText"/>
            </w:pPr>
            <w:r>
              <w:t>Proposed new rule 150(2) will replace current rules 150(2), 151(2), 156(3</w:t>
            </w:r>
            <w:proofErr w:type="gramStart"/>
            <w:r>
              <w:t>)(</w:t>
            </w:r>
            <w:proofErr w:type="gramEnd"/>
            <w:r>
              <w:t>b) and 156(5), which are classified as civil penalty provisions.</w:t>
            </w:r>
          </w:p>
        </w:tc>
        <w:tc>
          <w:tcPr>
            <w:tcW w:w="1351" w:type="pct"/>
          </w:tcPr>
          <w:p w14:paraId="76D80496" w14:textId="77777777" w:rsidR="00E235FD" w:rsidRPr="0044620A" w:rsidRDefault="00E235FD" w:rsidP="00E235FD">
            <w:pPr>
              <w:pStyle w:val="TableBodyText"/>
            </w:pPr>
            <w:r w:rsidRPr="0044620A">
              <w:t>Existing provision is Tier 1 – Supply Security &amp; Reliability – Security and safety of supply in the gas system.</w:t>
            </w:r>
          </w:p>
          <w:p w14:paraId="2608621E" w14:textId="5834E182" w:rsidR="001333C9" w:rsidRDefault="00E235FD" w:rsidP="00E235FD">
            <w:pPr>
              <w:pStyle w:val="TableBodyText"/>
            </w:pPr>
            <w:r w:rsidRPr="0044620A">
              <w:t>New equivalent provision would remain at this classification.</w:t>
            </w:r>
          </w:p>
        </w:tc>
      </w:tr>
      <w:tr w:rsidR="001333C9" w14:paraId="06C9F61D" w14:textId="1730AC53" w:rsidTr="001333C9">
        <w:trPr>
          <w:cantSplit/>
        </w:trPr>
        <w:tc>
          <w:tcPr>
            <w:tcW w:w="815" w:type="pct"/>
          </w:tcPr>
          <w:p w14:paraId="1C0EB4A8" w14:textId="77777777" w:rsidR="001333C9" w:rsidRDefault="001333C9" w:rsidP="007D35DE">
            <w:pPr>
              <w:pStyle w:val="TableBodyText"/>
            </w:pPr>
            <w:r>
              <w:t>Rule 151(1)</w:t>
            </w:r>
          </w:p>
        </w:tc>
        <w:tc>
          <w:tcPr>
            <w:tcW w:w="1482" w:type="pct"/>
          </w:tcPr>
          <w:p w14:paraId="7B3559A2" w14:textId="77777777" w:rsidR="001333C9" w:rsidRDefault="001333C9" w:rsidP="007D35DE">
            <w:pPr>
              <w:pStyle w:val="TableBodyText"/>
            </w:pPr>
            <w:r>
              <w:t xml:space="preserve">Requirement for a </w:t>
            </w:r>
            <w:r w:rsidRPr="007D35DE">
              <w:t xml:space="preserve">field owner </w:t>
            </w:r>
            <w:r>
              <w:t xml:space="preserve">to </w:t>
            </w:r>
            <w:r w:rsidRPr="007D35DE">
              <w:t xml:space="preserve">register under Part </w:t>
            </w:r>
            <w:r>
              <w:t xml:space="preserve">18 </w:t>
            </w:r>
            <w:r w:rsidRPr="007D35DE">
              <w:t>as the BB reporting entity for each BB field interest for which it is a field owner</w:t>
            </w:r>
            <w:r>
              <w:t>.</w:t>
            </w:r>
          </w:p>
        </w:tc>
        <w:tc>
          <w:tcPr>
            <w:tcW w:w="1351" w:type="pct"/>
          </w:tcPr>
          <w:p w14:paraId="48BC9C6E" w14:textId="77777777" w:rsidR="001333C9" w:rsidRDefault="001333C9" w:rsidP="005A6ED7">
            <w:pPr>
              <w:pStyle w:val="TableBodyText"/>
            </w:pPr>
            <w:r>
              <w:t>This is a new requirement. Classification as a civil penalty provision is consistent with the classification of the equivalent existing provision for registrations relating to BB facilities.</w:t>
            </w:r>
          </w:p>
        </w:tc>
        <w:tc>
          <w:tcPr>
            <w:tcW w:w="1351" w:type="pct"/>
          </w:tcPr>
          <w:p w14:paraId="414FB4AF" w14:textId="34ED10D3" w:rsidR="001333C9" w:rsidRDefault="00E235FD" w:rsidP="005A6ED7">
            <w:pPr>
              <w:pStyle w:val="TableBodyText"/>
            </w:pPr>
            <w:r w:rsidRPr="0044620A">
              <w:t>Existing provision is Tier 1 – Supply Security &amp; Reliability – Security and safety of supply in the gas system.</w:t>
            </w:r>
          </w:p>
        </w:tc>
      </w:tr>
      <w:tr w:rsidR="001333C9" w14:paraId="41DFAD2C" w14:textId="0DE82ABA" w:rsidTr="001333C9">
        <w:trPr>
          <w:cantSplit/>
        </w:trPr>
        <w:tc>
          <w:tcPr>
            <w:tcW w:w="815" w:type="pct"/>
          </w:tcPr>
          <w:p w14:paraId="0CF37B53" w14:textId="77777777" w:rsidR="001333C9" w:rsidRDefault="001333C9" w:rsidP="007D35DE">
            <w:pPr>
              <w:pStyle w:val="TableBodyText"/>
            </w:pPr>
            <w:r>
              <w:lastRenderedPageBreak/>
              <w:t xml:space="preserve">Rule 151(2) </w:t>
            </w:r>
          </w:p>
        </w:tc>
        <w:tc>
          <w:tcPr>
            <w:tcW w:w="1482" w:type="pct"/>
          </w:tcPr>
          <w:p w14:paraId="73CEC8E2" w14:textId="77777777" w:rsidR="001333C9" w:rsidRDefault="001333C9" w:rsidP="007D35DE">
            <w:pPr>
              <w:pStyle w:val="TableBodyText"/>
            </w:pPr>
            <w:r>
              <w:t xml:space="preserve">Requirement for a </w:t>
            </w:r>
            <w:r w:rsidRPr="007D35DE">
              <w:t xml:space="preserve">field owner </w:t>
            </w:r>
            <w:r>
              <w:t>to apply to register not later than:</w:t>
            </w:r>
          </w:p>
          <w:p w14:paraId="5EFD8CF9" w14:textId="77777777" w:rsidR="001333C9" w:rsidRDefault="001333C9" w:rsidP="007D35DE">
            <w:pPr>
              <w:pStyle w:val="Newtablebullet"/>
            </w:pPr>
            <w:r>
              <w:t>20 business days after the field owner becomes a field owner for the BB field interest, including by reason of the acquisition of the interest or the grant of a petroleum tenement; or</w:t>
            </w:r>
          </w:p>
          <w:p w14:paraId="40160480" w14:textId="77777777" w:rsidR="001333C9" w:rsidRDefault="001333C9" w:rsidP="00B9237D">
            <w:pPr>
              <w:pStyle w:val="Newtablebullet"/>
            </w:pPr>
            <w:proofErr w:type="gramStart"/>
            <w:r>
              <w:t>where</w:t>
            </w:r>
            <w:proofErr w:type="gramEnd"/>
            <w:r>
              <w:t xml:space="preserve"> applicable, 20 business days after an exemption from registration under Part 18 ceases to apply.</w:t>
            </w:r>
          </w:p>
        </w:tc>
        <w:tc>
          <w:tcPr>
            <w:tcW w:w="1351" w:type="pct"/>
          </w:tcPr>
          <w:p w14:paraId="27B76663" w14:textId="77777777" w:rsidR="001333C9" w:rsidRDefault="001333C9" w:rsidP="007D35DE">
            <w:pPr>
              <w:pStyle w:val="TableBodyText"/>
            </w:pPr>
            <w:r>
              <w:t>This is a new requirement. Classification as a civil penalty provision is consistent with the classification of the equivalent existing provision for registrations relating to BB facilities.</w:t>
            </w:r>
          </w:p>
        </w:tc>
        <w:tc>
          <w:tcPr>
            <w:tcW w:w="1351" w:type="pct"/>
          </w:tcPr>
          <w:p w14:paraId="71457B5B" w14:textId="77777777" w:rsidR="00E235FD" w:rsidRPr="0044620A" w:rsidRDefault="00E235FD" w:rsidP="00E235FD">
            <w:pPr>
              <w:pStyle w:val="TableBodyText"/>
            </w:pPr>
            <w:r w:rsidRPr="0044620A">
              <w:t>Existing provision is Tier 1 – Supply Security &amp; Reliability – Security and safety of supply in the gas system.</w:t>
            </w:r>
          </w:p>
          <w:p w14:paraId="1EBBCED4" w14:textId="77777777" w:rsidR="001333C9" w:rsidRDefault="001333C9" w:rsidP="007D35DE">
            <w:pPr>
              <w:pStyle w:val="TableBodyText"/>
            </w:pPr>
          </w:p>
        </w:tc>
      </w:tr>
      <w:tr w:rsidR="001333C9" w14:paraId="1EA161F6" w14:textId="456FC401" w:rsidTr="001333C9">
        <w:trPr>
          <w:cantSplit/>
        </w:trPr>
        <w:tc>
          <w:tcPr>
            <w:tcW w:w="815" w:type="pct"/>
          </w:tcPr>
          <w:p w14:paraId="3D033638" w14:textId="77777777" w:rsidR="001333C9" w:rsidRDefault="001333C9" w:rsidP="007D35DE">
            <w:pPr>
              <w:pStyle w:val="TableBodyText"/>
            </w:pPr>
            <w:r>
              <w:t>Rule 152(1)</w:t>
            </w:r>
          </w:p>
        </w:tc>
        <w:tc>
          <w:tcPr>
            <w:tcW w:w="1482" w:type="pct"/>
          </w:tcPr>
          <w:p w14:paraId="3F43D5E4" w14:textId="77777777" w:rsidR="001333C9" w:rsidRDefault="001333C9" w:rsidP="008619F8">
            <w:pPr>
              <w:pStyle w:val="TableBodyText"/>
            </w:pPr>
            <w:r>
              <w:t>Requirement for a</w:t>
            </w:r>
            <w:r w:rsidRPr="00D850C1">
              <w:t xml:space="preserve"> facility developer </w:t>
            </w:r>
            <w:r>
              <w:t xml:space="preserve">to </w:t>
            </w:r>
            <w:r w:rsidRPr="00D850C1">
              <w:t xml:space="preserve">register under Part </w:t>
            </w:r>
            <w:r>
              <w:t xml:space="preserve">18 </w:t>
            </w:r>
            <w:r w:rsidRPr="00D850C1">
              <w:t>as the BB reporting entity for each facility development project for which it is a facility developer.</w:t>
            </w:r>
          </w:p>
        </w:tc>
        <w:tc>
          <w:tcPr>
            <w:tcW w:w="1351" w:type="pct"/>
          </w:tcPr>
          <w:p w14:paraId="2871539C" w14:textId="77777777" w:rsidR="001333C9" w:rsidRDefault="001333C9" w:rsidP="007D35DE">
            <w:pPr>
              <w:pStyle w:val="TableBodyText"/>
            </w:pPr>
            <w:r>
              <w:t>This is a new requirement. Classification as a civil penalty provision is consistent with the classification of the equivalent existing provision for registrations relating to BB facilities.</w:t>
            </w:r>
          </w:p>
        </w:tc>
        <w:tc>
          <w:tcPr>
            <w:tcW w:w="1351" w:type="pct"/>
          </w:tcPr>
          <w:p w14:paraId="0D02088B" w14:textId="77777777" w:rsidR="00E235FD" w:rsidRPr="0044620A" w:rsidRDefault="00E235FD" w:rsidP="00E235FD">
            <w:pPr>
              <w:pStyle w:val="TableBodyText"/>
            </w:pPr>
            <w:r w:rsidRPr="0044620A">
              <w:t>Tier 1 – Supply Security &amp; Reliability – Security and safety of supply in the gas system.</w:t>
            </w:r>
          </w:p>
          <w:p w14:paraId="6BBF3DDE" w14:textId="77777777" w:rsidR="001333C9" w:rsidRDefault="001333C9" w:rsidP="007D35DE">
            <w:pPr>
              <w:pStyle w:val="TableBodyText"/>
            </w:pPr>
          </w:p>
        </w:tc>
      </w:tr>
      <w:tr w:rsidR="001333C9" w14:paraId="2FC107EA" w14:textId="72052AA4" w:rsidTr="001333C9">
        <w:trPr>
          <w:cantSplit/>
        </w:trPr>
        <w:tc>
          <w:tcPr>
            <w:tcW w:w="815" w:type="pct"/>
          </w:tcPr>
          <w:p w14:paraId="3037EF7D" w14:textId="77777777" w:rsidR="001333C9" w:rsidRDefault="001333C9" w:rsidP="007D35DE">
            <w:pPr>
              <w:pStyle w:val="TableBodyText"/>
            </w:pPr>
            <w:r>
              <w:t>Rule 152(2)</w:t>
            </w:r>
          </w:p>
        </w:tc>
        <w:tc>
          <w:tcPr>
            <w:tcW w:w="1482" w:type="pct"/>
          </w:tcPr>
          <w:p w14:paraId="6CEB4F12" w14:textId="77777777" w:rsidR="001333C9" w:rsidRDefault="001333C9" w:rsidP="008619F8">
            <w:pPr>
              <w:pStyle w:val="TableBodyText"/>
            </w:pPr>
            <w:r>
              <w:t>Requirement for a facility developer to apply to register no later than:</w:t>
            </w:r>
          </w:p>
          <w:p w14:paraId="1A455C61" w14:textId="77777777" w:rsidR="001333C9" w:rsidRDefault="001333C9" w:rsidP="008619F8">
            <w:pPr>
              <w:pStyle w:val="Newtablebullet"/>
            </w:pPr>
            <w:r>
              <w:t>for a new facility development project, 20 business days after the facility development project first satisfies the criteria in the BB Procedures to be classified as a proposed development;</w:t>
            </w:r>
          </w:p>
          <w:p w14:paraId="71F5AC02" w14:textId="77777777" w:rsidR="001333C9" w:rsidRDefault="001333C9" w:rsidP="008619F8">
            <w:pPr>
              <w:pStyle w:val="Newtablebullet"/>
            </w:pPr>
            <w:r>
              <w:t>where there is a change to the facility developer for a registered facility development project, 20 business days after the facility developer becomes a facility developer for the facility development project; or</w:t>
            </w:r>
          </w:p>
          <w:p w14:paraId="78D4C075" w14:textId="77777777" w:rsidR="001333C9" w:rsidRDefault="001333C9" w:rsidP="008619F8">
            <w:pPr>
              <w:pStyle w:val="Newtablebullet"/>
            </w:pPr>
            <w:proofErr w:type="gramStart"/>
            <w:r>
              <w:t>where</w:t>
            </w:r>
            <w:proofErr w:type="gramEnd"/>
            <w:r>
              <w:t xml:space="preserve"> applicable, 20 business days after an exemption from registration due to the appointment of a responsible facility developer ceases to apply.</w:t>
            </w:r>
          </w:p>
        </w:tc>
        <w:tc>
          <w:tcPr>
            <w:tcW w:w="1351" w:type="pct"/>
          </w:tcPr>
          <w:p w14:paraId="14E852E6" w14:textId="77777777" w:rsidR="001333C9" w:rsidRDefault="001333C9" w:rsidP="007D35DE">
            <w:pPr>
              <w:pStyle w:val="TableBodyText"/>
            </w:pPr>
            <w:r>
              <w:t>This is a new requirement. Classification as a civil penalty provision is consistent with the classification of the equivalent existing provision for registrations relating to BB facilities.</w:t>
            </w:r>
          </w:p>
        </w:tc>
        <w:tc>
          <w:tcPr>
            <w:tcW w:w="1351" w:type="pct"/>
          </w:tcPr>
          <w:p w14:paraId="79FD965B" w14:textId="77777777" w:rsidR="00E235FD" w:rsidRPr="0044620A" w:rsidRDefault="00E235FD" w:rsidP="00E235FD">
            <w:pPr>
              <w:pStyle w:val="TableBodyText"/>
            </w:pPr>
            <w:r w:rsidRPr="0044620A">
              <w:t>Tier 1 – Supply Security &amp; Reliability – Security and safety of supply in the gas system.</w:t>
            </w:r>
          </w:p>
          <w:p w14:paraId="4B41C9A4" w14:textId="77777777" w:rsidR="001333C9" w:rsidRDefault="001333C9" w:rsidP="007D35DE">
            <w:pPr>
              <w:pStyle w:val="TableBodyText"/>
            </w:pPr>
          </w:p>
        </w:tc>
      </w:tr>
      <w:tr w:rsidR="001333C9" w14:paraId="2AC69338" w14:textId="294E518D" w:rsidTr="001333C9">
        <w:trPr>
          <w:cantSplit/>
        </w:trPr>
        <w:tc>
          <w:tcPr>
            <w:tcW w:w="815" w:type="pct"/>
          </w:tcPr>
          <w:p w14:paraId="1B5964FE" w14:textId="77777777" w:rsidR="001333C9" w:rsidRDefault="001333C9" w:rsidP="007D35DE">
            <w:pPr>
              <w:pStyle w:val="TableBodyText"/>
            </w:pPr>
            <w:r>
              <w:lastRenderedPageBreak/>
              <w:t>Rule 153(1)</w:t>
            </w:r>
          </w:p>
        </w:tc>
        <w:tc>
          <w:tcPr>
            <w:tcW w:w="1482" w:type="pct"/>
          </w:tcPr>
          <w:p w14:paraId="4F84149A" w14:textId="77777777" w:rsidR="001333C9" w:rsidRDefault="001333C9" w:rsidP="008619F8">
            <w:pPr>
              <w:pStyle w:val="TableBodyText"/>
            </w:pPr>
            <w:r>
              <w:t xml:space="preserve">Requirement for a </w:t>
            </w:r>
            <w:r w:rsidRPr="00D850C1">
              <w:t xml:space="preserve">BB allocation agent </w:t>
            </w:r>
            <w:r>
              <w:t>to</w:t>
            </w:r>
            <w:r w:rsidRPr="00D850C1">
              <w:t xml:space="preserve"> register under Part </w:t>
            </w:r>
            <w:r>
              <w:t xml:space="preserve">18 </w:t>
            </w:r>
            <w:r w:rsidRPr="00D850C1">
              <w:t>as the BB reporting entity for each BB allocation point for which it is the BB allocation agent.</w:t>
            </w:r>
          </w:p>
        </w:tc>
        <w:tc>
          <w:tcPr>
            <w:tcW w:w="1351" w:type="pct"/>
          </w:tcPr>
          <w:p w14:paraId="191737DB" w14:textId="77777777" w:rsidR="001333C9" w:rsidRDefault="001333C9" w:rsidP="00AD5798">
            <w:pPr>
              <w:pStyle w:val="TableBodyText"/>
            </w:pPr>
            <w:r>
              <w:t xml:space="preserve">Proposed new rule 153(1) will replace current rules </w:t>
            </w:r>
            <w:proofErr w:type="gramStart"/>
            <w:r>
              <w:t>158A(</w:t>
            </w:r>
            <w:proofErr w:type="gramEnd"/>
            <w:r>
              <w:t>1) and 158B(1) which are classified as a civil penalty provisions.</w:t>
            </w:r>
          </w:p>
        </w:tc>
        <w:tc>
          <w:tcPr>
            <w:tcW w:w="1351" w:type="pct"/>
          </w:tcPr>
          <w:p w14:paraId="05D837C3" w14:textId="77777777" w:rsidR="00E235FD" w:rsidRPr="0044620A" w:rsidRDefault="00E235FD" w:rsidP="00E235FD">
            <w:pPr>
              <w:pStyle w:val="TableBodyText"/>
            </w:pPr>
            <w:r w:rsidRPr="0044620A">
              <w:t>Existing r 158A(1) is Tier 2 – Market administration – inadequate record keeping or administrative processes</w:t>
            </w:r>
          </w:p>
          <w:p w14:paraId="3C9B5568" w14:textId="52DFE345" w:rsidR="001333C9" w:rsidRDefault="00E235FD" w:rsidP="00E235FD">
            <w:pPr>
              <w:pStyle w:val="TableBodyText"/>
            </w:pPr>
            <w:r w:rsidRPr="0044620A">
              <w:t xml:space="preserve">Existing </w:t>
            </w:r>
            <w:proofErr w:type="gramStart"/>
            <w:r w:rsidRPr="0044620A">
              <w:t>158B(</w:t>
            </w:r>
            <w:proofErr w:type="gramEnd"/>
            <w:r w:rsidRPr="0044620A">
              <w:t>1) is Tier 1 – Supply Security &amp; Reliability – Security and safety of supply in the gas system.</w:t>
            </w:r>
          </w:p>
        </w:tc>
      </w:tr>
      <w:tr w:rsidR="001333C9" w14:paraId="66ACE089" w14:textId="3E78C16D" w:rsidTr="001333C9">
        <w:trPr>
          <w:cantSplit/>
        </w:trPr>
        <w:tc>
          <w:tcPr>
            <w:tcW w:w="815" w:type="pct"/>
          </w:tcPr>
          <w:p w14:paraId="1F0A89D6" w14:textId="77777777" w:rsidR="001333C9" w:rsidRDefault="001333C9" w:rsidP="007D35DE">
            <w:pPr>
              <w:pStyle w:val="TableBodyText"/>
            </w:pPr>
            <w:r>
              <w:t>Rule 153(2)</w:t>
            </w:r>
          </w:p>
        </w:tc>
        <w:tc>
          <w:tcPr>
            <w:tcW w:w="1482" w:type="pct"/>
          </w:tcPr>
          <w:p w14:paraId="72569CF2" w14:textId="77777777" w:rsidR="001333C9" w:rsidRDefault="001333C9" w:rsidP="008D0C52">
            <w:pPr>
              <w:pStyle w:val="TableBodyText"/>
            </w:pPr>
            <w:r>
              <w:t>Requirement for a BB allocation agent to apply to AEMO to register under Part 18 in respect of a BB allocation point not later than:</w:t>
            </w:r>
          </w:p>
          <w:p w14:paraId="7FCFF7AE" w14:textId="77777777" w:rsidR="001333C9" w:rsidRDefault="001333C9" w:rsidP="008D0C52">
            <w:pPr>
              <w:pStyle w:val="Newtablebullet"/>
            </w:pPr>
            <w:r>
              <w:t>for a new BB allocation point, 20 business days after the relevant point becomes a BB allocation point; and</w:t>
            </w:r>
          </w:p>
          <w:p w14:paraId="685DD382" w14:textId="77777777" w:rsidR="001333C9" w:rsidRDefault="001333C9" w:rsidP="008D0C52">
            <w:pPr>
              <w:pStyle w:val="Newtablebullet"/>
            </w:pPr>
            <w:proofErr w:type="gramStart"/>
            <w:r>
              <w:t>where</w:t>
            </w:r>
            <w:proofErr w:type="gramEnd"/>
            <w:r>
              <w:t xml:space="preserve"> the BB allocation agent for a BB allocation point changes, 20 business days after the person becomes the BB allocation agent for the BB allocation point.</w:t>
            </w:r>
          </w:p>
        </w:tc>
        <w:tc>
          <w:tcPr>
            <w:tcW w:w="1351" w:type="pct"/>
          </w:tcPr>
          <w:p w14:paraId="72880175" w14:textId="77777777" w:rsidR="001333C9" w:rsidRDefault="001333C9" w:rsidP="00AD5798">
            <w:pPr>
              <w:pStyle w:val="TableBodyText"/>
            </w:pPr>
            <w:r>
              <w:t xml:space="preserve">Proposed new rule 153(2) will replace current rules </w:t>
            </w:r>
            <w:proofErr w:type="gramStart"/>
            <w:r>
              <w:t>158A(</w:t>
            </w:r>
            <w:proofErr w:type="gramEnd"/>
            <w:r>
              <w:t>2), 158B(2) and 158B(5) which are classified as civil penalty provisions.</w:t>
            </w:r>
          </w:p>
        </w:tc>
        <w:tc>
          <w:tcPr>
            <w:tcW w:w="1351" w:type="pct"/>
          </w:tcPr>
          <w:p w14:paraId="39A138E2" w14:textId="7746E3EF" w:rsidR="001333C9" w:rsidRDefault="00E235FD" w:rsidP="00AD5798">
            <w:pPr>
              <w:pStyle w:val="TableBodyText"/>
            </w:pPr>
            <w:r w:rsidRPr="0044620A">
              <w:t xml:space="preserve">As above; plus r </w:t>
            </w:r>
            <w:proofErr w:type="gramStart"/>
            <w:r w:rsidRPr="0044620A">
              <w:t>158B(</w:t>
            </w:r>
            <w:proofErr w:type="gramEnd"/>
            <w:r w:rsidRPr="0044620A">
              <w:t>5) is Tier 1 - Supply Security &amp; Reliability – Security and safety of supply in the gas system.</w:t>
            </w:r>
          </w:p>
        </w:tc>
      </w:tr>
      <w:tr w:rsidR="001333C9" w14:paraId="4A463E69" w14:textId="5D8D74DD" w:rsidTr="001333C9">
        <w:trPr>
          <w:cantSplit/>
        </w:trPr>
        <w:tc>
          <w:tcPr>
            <w:tcW w:w="815" w:type="pct"/>
          </w:tcPr>
          <w:p w14:paraId="112ECB81" w14:textId="77777777" w:rsidR="001333C9" w:rsidRDefault="001333C9" w:rsidP="007D35DE">
            <w:pPr>
              <w:pStyle w:val="TableBodyText"/>
            </w:pPr>
            <w:r>
              <w:t>Rule 155(3)</w:t>
            </w:r>
          </w:p>
        </w:tc>
        <w:tc>
          <w:tcPr>
            <w:tcW w:w="1482" w:type="pct"/>
          </w:tcPr>
          <w:p w14:paraId="4B41BE46" w14:textId="77777777" w:rsidR="001333C9" w:rsidRDefault="001333C9" w:rsidP="008D0C52">
            <w:pPr>
              <w:pStyle w:val="TableBodyText"/>
            </w:pPr>
            <w:r>
              <w:t xml:space="preserve">Requirement for each member of a </w:t>
            </w:r>
            <w:r w:rsidRPr="00D850C1">
              <w:rPr>
                <w:bCs/>
              </w:rPr>
              <w:t>facility operator group</w:t>
            </w:r>
            <w:r>
              <w:rPr>
                <w:bCs/>
              </w:rPr>
              <w:t xml:space="preserve">, </w:t>
            </w:r>
            <w:r w:rsidRPr="00D850C1">
              <w:rPr>
                <w:bCs/>
              </w:rPr>
              <w:t>field owner group</w:t>
            </w:r>
            <w:r w:rsidRPr="00D850C1">
              <w:t xml:space="preserve"> </w:t>
            </w:r>
            <w:r>
              <w:t>or facility developer group</w:t>
            </w:r>
            <w:r w:rsidRPr="00D850C1">
              <w:t xml:space="preserve"> </w:t>
            </w:r>
            <w:r>
              <w:t xml:space="preserve">to procure, </w:t>
            </w:r>
            <w:r w:rsidRPr="00D850C1">
              <w:t xml:space="preserve">and where necessary facilitate, the compliance of the relevant responsible reporting entity with its obligations under Part </w:t>
            </w:r>
            <w:r>
              <w:t xml:space="preserve">18 </w:t>
            </w:r>
            <w:r w:rsidRPr="00D850C1">
              <w:t>in relation to (as applicable)</w:t>
            </w:r>
            <w:r>
              <w:t xml:space="preserve"> the relevant BB facility, relevant group of BB field interests or relevant facility development project.</w:t>
            </w:r>
          </w:p>
        </w:tc>
        <w:tc>
          <w:tcPr>
            <w:tcW w:w="1351" w:type="pct"/>
          </w:tcPr>
          <w:p w14:paraId="342D55ED" w14:textId="77777777" w:rsidR="001333C9" w:rsidRDefault="001333C9" w:rsidP="00F667D9">
            <w:pPr>
              <w:pStyle w:val="TableBodyText"/>
            </w:pPr>
            <w:r>
              <w:t>To the extent it deals with facility operator groups, proposed new rule 155(3) will replace current rule 152(6</w:t>
            </w:r>
            <w:proofErr w:type="gramStart"/>
            <w:r>
              <w:t>)(</w:t>
            </w:r>
            <w:proofErr w:type="gramEnd"/>
            <w:r>
              <w:t>e) which is classified as a civil penalty provision.</w:t>
            </w:r>
          </w:p>
        </w:tc>
        <w:tc>
          <w:tcPr>
            <w:tcW w:w="1351" w:type="pct"/>
          </w:tcPr>
          <w:p w14:paraId="16C932E8" w14:textId="44392038" w:rsidR="001333C9" w:rsidRDefault="00E235FD" w:rsidP="00F667D9">
            <w:pPr>
              <w:pStyle w:val="TableBodyText"/>
            </w:pPr>
            <w:r w:rsidRPr="0044620A">
              <w:t xml:space="preserve">Existing rule is Tier 1 – Unacceptable Market Participant Behaviour – Financial gain to </w:t>
            </w:r>
            <w:r w:rsidR="00844777" w:rsidRPr="0044620A">
              <w:t>contravener</w:t>
            </w:r>
          </w:p>
        </w:tc>
      </w:tr>
      <w:tr w:rsidR="001333C9" w14:paraId="72F0A4D8" w14:textId="7F1305DD" w:rsidTr="001333C9">
        <w:trPr>
          <w:cantSplit/>
        </w:trPr>
        <w:tc>
          <w:tcPr>
            <w:tcW w:w="815" w:type="pct"/>
          </w:tcPr>
          <w:p w14:paraId="03D52FC5" w14:textId="77777777" w:rsidR="001333C9" w:rsidRDefault="001333C9" w:rsidP="007D35DE">
            <w:pPr>
              <w:pStyle w:val="TableBodyText"/>
            </w:pPr>
            <w:r>
              <w:t>Rule 156(2)</w:t>
            </w:r>
          </w:p>
        </w:tc>
        <w:tc>
          <w:tcPr>
            <w:tcW w:w="1482" w:type="pct"/>
          </w:tcPr>
          <w:p w14:paraId="24964214" w14:textId="77777777" w:rsidR="001333C9" w:rsidRDefault="001333C9" w:rsidP="008D0C52">
            <w:pPr>
              <w:pStyle w:val="TableBodyText"/>
            </w:pPr>
            <w:r>
              <w:t>Requirement for the outgoing BB reporting entity to give notice within 5 business days to AEMO of the change.</w:t>
            </w:r>
          </w:p>
        </w:tc>
        <w:tc>
          <w:tcPr>
            <w:tcW w:w="1351" w:type="pct"/>
          </w:tcPr>
          <w:p w14:paraId="3371C4DF" w14:textId="77777777" w:rsidR="001333C9" w:rsidRDefault="001333C9" w:rsidP="00AD5798">
            <w:pPr>
              <w:pStyle w:val="TableBodyText"/>
            </w:pPr>
            <w:r>
              <w:t>To the extent it deals with a change relating to a BB facility, proposed new rule 156(2) will replace current rules 156(1)(a) and 156(4) which are classified as civil penalty provisions.</w:t>
            </w:r>
          </w:p>
          <w:p w14:paraId="2E9A5D0E" w14:textId="77777777" w:rsidR="001333C9" w:rsidRDefault="001333C9" w:rsidP="00AD5798">
            <w:pPr>
              <w:pStyle w:val="TableBodyText"/>
            </w:pPr>
            <w:r>
              <w:t>To the extent it deals with a change relating to a BB allocation point, proposed new rule 156(2) will replace current rule 158B(3)(b) which is classified as civil penalty provision.</w:t>
            </w:r>
          </w:p>
        </w:tc>
        <w:tc>
          <w:tcPr>
            <w:tcW w:w="1351" w:type="pct"/>
          </w:tcPr>
          <w:p w14:paraId="0F45E2D9" w14:textId="21778F88" w:rsidR="00E235FD" w:rsidRPr="0044620A" w:rsidRDefault="00E235FD" w:rsidP="00E235FD">
            <w:pPr>
              <w:pStyle w:val="TableBodyText"/>
            </w:pPr>
            <w:r w:rsidRPr="0044620A">
              <w:t xml:space="preserve">Existing rule: 156(1) </w:t>
            </w:r>
            <w:r w:rsidR="00487099" w:rsidRPr="0044620A">
              <w:t xml:space="preserve">and 156(4) are </w:t>
            </w:r>
            <w:r w:rsidRPr="0044620A">
              <w:t xml:space="preserve">Tier 1 - Supply Security &amp; Reliability – Security and safety of supply in the gas system. </w:t>
            </w:r>
          </w:p>
          <w:p w14:paraId="17D4E500" w14:textId="77777777" w:rsidR="001333C9" w:rsidRDefault="001333C9" w:rsidP="00AD5798">
            <w:pPr>
              <w:pStyle w:val="TableBodyText"/>
            </w:pPr>
          </w:p>
        </w:tc>
      </w:tr>
      <w:tr w:rsidR="001333C9" w14:paraId="73F414F8" w14:textId="09011E8C" w:rsidTr="001333C9">
        <w:trPr>
          <w:cantSplit/>
        </w:trPr>
        <w:tc>
          <w:tcPr>
            <w:tcW w:w="815" w:type="pct"/>
          </w:tcPr>
          <w:p w14:paraId="26103D7B" w14:textId="14DBCF0E" w:rsidR="001333C9" w:rsidRDefault="001333C9" w:rsidP="007D35DE">
            <w:pPr>
              <w:pStyle w:val="TableBodyText"/>
            </w:pPr>
            <w:r>
              <w:lastRenderedPageBreak/>
              <w:t>157(8)</w:t>
            </w:r>
          </w:p>
        </w:tc>
        <w:tc>
          <w:tcPr>
            <w:tcW w:w="1482" w:type="pct"/>
          </w:tcPr>
          <w:p w14:paraId="58136801" w14:textId="55F661AA" w:rsidR="001333C9" w:rsidRDefault="001333C9" w:rsidP="00512DCC">
            <w:pPr>
              <w:pStyle w:val="TableBodyText"/>
            </w:pPr>
            <w:r>
              <w:t xml:space="preserve">Requirement for a BB reporting entity to comply with conditions of registration, which AEMO may impose to ensure that defects in applications are remedied and information required on registration is provided. </w:t>
            </w:r>
          </w:p>
        </w:tc>
        <w:tc>
          <w:tcPr>
            <w:tcW w:w="1351" w:type="pct"/>
          </w:tcPr>
          <w:p w14:paraId="7B89E3C6" w14:textId="680DA31A" w:rsidR="001333C9" w:rsidRDefault="001333C9" w:rsidP="00512DCC">
            <w:pPr>
              <w:pStyle w:val="TableBodyText"/>
            </w:pPr>
            <w:r>
              <w:t>Classification of this provision as a civil penalty provision is consistent with classification of the primary obligation to register as a civil penalty provision.</w:t>
            </w:r>
          </w:p>
        </w:tc>
        <w:tc>
          <w:tcPr>
            <w:tcW w:w="1351" w:type="pct"/>
          </w:tcPr>
          <w:p w14:paraId="0AFDA74C" w14:textId="730ED470" w:rsidR="001333C9" w:rsidRDefault="001B3A17" w:rsidP="001B3A17">
            <w:pPr>
              <w:pStyle w:val="TableBodyText"/>
            </w:pPr>
            <w:r>
              <w:t>Tier 1 – Supply Security &amp; Reliability</w:t>
            </w:r>
          </w:p>
        </w:tc>
      </w:tr>
      <w:tr w:rsidR="001333C9" w14:paraId="61A3CC77" w14:textId="36519495" w:rsidTr="001333C9">
        <w:trPr>
          <w:cantSplit/>
        </w:trPr>
        <w:tc>
          <w:tcPr>
            <w:tcW w:w="815" w:type="pct"/>
          </w:tcPr>
          <w:p w14:paraId="14F0EC9B" w14:textId="029A7736" w:rsidR="001333C9" w:rsidRDefault="001333C9" w:rsidP="000F60B3">
            <w:pPr>
              <w:pStyle w:val="TableBodyText"/>
            </w:pPr>
            <w:r>
              <w:t>Rule 158(2)</w:t>
            </w:r>
          </w:p>
        </w:tc>
        <w:tc>
          <w:tcPr>
            <w:tcW w:w="1482" w:type="pct"/>
          </w:tcPr>
          <w:p w14:paraId="79B1ACC7" w14:textId="77777777" w:rsidR="001333C9" w:rsidRDefault="001333C9" w:rsidP="00DD6CE8">
            <w:pPr>
              <w:pStyle w:val="TableBodyText"/>
            </w:pPr>
            <w:r>
              <w:t xml:space="preserve">Requirement for a </w:t>
            </w:r>
            <w:r w:rsidRPr="00D850C1">
              <w:t xml:space="preserve">responsible </w:t>
            </w:r>
            <w:r>
              <w:t xml:space="preserve">reporting entity to </w:t>
            </w:r>
            <w:r w:rsidRPr="00D850C1">
              <w:t xml:space="preserve">update the information about the </w:t>
            </w:r>
            <w:r>
              <w:t xml:space="preserve">relevant </w:t>
            </w:r>
            <w:r w:rsidRPr="00D850C1">
              <w:t>facility operator group</w:t>
            </w:r>
            <w:r>
              <w:t xml:space="preserve">, </w:t>
            </w:r>
            <w:r w:rsidRPr="00D850C1">
              <w:t>field owner group</w:t>
            </w:r>
            <w:r>
              <w:t xml:space="preserve"> or facility developer group</w:t>
            </w:r>
            <w:r w:rsidRPr="00D850C1">
              <w:t xml:space="preserve"> provided to AEMO on registration if there is any change</w:t>
            </w:r>
            <w:r>
              <w:t>.</w:t>
            </w:r>
          </w:p>
        </w:tc>
        <w:tc>
          <w:tcPr>
            <w:tcW w:w="1351" w:type="pct"/>
          </w:tcPr>
          <w:p w14:paraId="303E5085" w14:textId="7ADBF442" w:rsidR="001333C9" w:rsidRDefault="001333C9" w:rsidP="00DD6CE8">
            <w:pPr>
              <w:pStyle w:val="TableBodyText"/>
            </w:pPr>
            <w:r>
              <w:t>To the extent it deals with a change relating to a BB facility, proposed new rule 158(2) will replace current rule 157 which is classified as a civil penalty provision.</w:t>
            </w:r>
          </w:p>
        </w:tc>
        <w:tc>
          <w:tcPr>
            <w:tcW w:w="1351" w:type="pct"/>
          </w:tcPr>
          <w:p w14:paraId="72BDDB44" w14:textId="69F4CD2A" w:rsidR="001333C9" w:rsidRDefault="001B3A17" w:rsidP="001B3A17">
            <w:pPr>
              <w:pStyle w:val="TableBodyText"/>
            </w:pPr>
            <w:r>
              <w:t>Tier 1 – Supply Security &amp; Reliability</w:t>
            </w:r>
          </w:p>
        </w:tc>
      </w:tr>
      <w:tr w:rsidR="001333C9" w14:paraId="120CA1CB" w14:textId="5F788441" w:rsidTr="001333C9">
        <w:trPr>
          <w:cantSplit/>
        </w:trPr>
        <w:tc>
          <w:tcPr>
            <w:tcW w:w="815" w:type="pct"/>
          </w:tcPr>
          <w:p w14:paraId="63E7DC60" w14:textId="77777777" w:rsidR="001333C9" w:rsidRDefault="001333C9" w:rsidP="007D35DE">
            <w:pPr>
              <w:pStyle w:val="TableBodyText"/>
            </w:pPr>
            <w:r>
              <w:t>Rule 165(1)</w:t>
            </w:r>
          </w:p>
        </w:tc>
        <w:tc>
          <w:tcPr>
            <w:tcW w:w="1482" w:type="pct"/>
          </w:tcPr>
          <w:p w14:paraId="50FE4556" w14:textId="77777777" w:rsidR="001333C9" w:rsidRDefault="001333C9" w:rsidP="00DD6CE8">
            <w:pPr>
              <w:pStyle w:val="TableBodyText"/>
            </w:pPr>
            <w:r>
              <w:t>Requirement to comply with the BB information standard as set out in rule 165(2). Rule 165(2) is to be amended to extend it to reporting for BB field interests and facility development projects.</w:t>
            </w:r>
          </w:p>
        </w:tc>
        <w:tc>
          <w:tcPr>
            <w:tcW w:w="1351" w:type="pct"/>
          </w:tcPr>
          <w:p w14:paraId="45B6D4C0" w14:textId="77777777" w:rsidR="001333C9" w:rsidRDefault="001333C9" w:rsidP="00741CD5">
            <w:pPr>
              <w:pStyle w:val="TableBodyText"/>
            </w:pPr>
            <w:r>
              <w:t>Rule 165(1) is already classified as a civil penalty provision. Its operation will be extended to new BB reporting entities as a consequence of the change to rule 165(2).</w:t>
            </w:r>
          </w:p>
        </w:tc>
        <w:tc>
          <w:tcPr>
            <w:tcW w:w="1351" w:type="pct"/>
          </w:tcPr>
          <w:p w14:paraId="2D769B43" w14:textId="7510088A" w:rsidR="001333C9" w:rsidRDefault="001B3A17" w:rsidP="001B3A17">
            <w:pPr>
              <w:pStyle w:val="TableBodyText"/>
            </w:pPr>
            <w:r>
              <w:t>Tier 1 – Supply Security &amp; Reliability</w:t>
            </w:r>
          </w:p>
        </w:tc>
      </w:tr>
      <w:tr w:rsidR="001333C9" w14:paraId="39C36D1F" w14:textId="6EF2AFA6" w:rsidTr="001333C9">
        <w:trPr>
          <w:cantSplit/>
        </w:trPr>
        <w:tc>
          <w:tcPr>
            <w:tcW w:w="815" w:type="pct"/>
          </w:tcPr>
          <w:p w14:paraId="09A7ACA3" w14:textId="77777777" w:rsidR="001333C9" w:rsidRDefault="001333C9" w:rsidP="007D35DE">
            <w:pPr>
              <w:pStyle w:val="TableBodyText"/>
            </w:pPr>
            <w:r>
              <w:t>Rule 165(4)</w:t>
            </w:r>
          </w:p>
        </w:tc>
        <w:tc>
          <w:tcPr>
            <w:tcW w:w="1482" w:type="pct"/>
          </w:tcPr>
          <w:p w14:paraId="00968C10" w14:textId="77777777" w:rsidR="001333C9" w:rsidRDefault="001333C9" w:rsidP="00DD6CE8">
            <w:pPr>
              <w:pStyle w:val="TableBodyText"/>
            </w:pPr>
            <w:r>
              <w:t>Requirement to comply with the BB information standard when submitting updated information or data to AEMO under Part 18.</w:t>
            </w:r>
          </w:p>
        </w:tc>
        <w:tc>
          <w:tcPr>
            <w:tcW w:w="1351" w:type="pct"/>
          </w:tcPr>
          <w:p w14:paraId="2A87E0AF" w14:textId="77777777" w:rsidR="001333C9" w:rsidRDefault="001333C9" w:rsidP="00741CD5">
            <w:pPr>
              <w:pStyle w:val="TableBodyText"/>
            </w:pPr>
            <w:r>
              <w:t>Rule 165(4) is already classified as a civil penalty provision. Its operation will be extended to new BB reporting entities as a consequence of the change to rule 165(2).</w:t>
            </w:r>
          </w:p>
        </w:tc>
        <w:tc>
          <w:tcPr>
            <w:tcW w:w="1351" w:type="pct"/>
          </w:tcPr>
          <w:p w14:paraId="6F495742" w14:textId="194C9041" w:rsidR="001333C9" w:rsidRDefault="001B3A17" w:rsidP="001B3A17">
            <w:pPr>
              <w:pStyle w:val="TableBodyText"/>
            </w:pPr>
            <w:r>
              <w:t>Tier 1 – Supply Security &amp; Reliability</w:t>
            </w:r>
          </w:p>
        </w:tc>
      </w:tr>
      <w:tr w:rsidR="001333C9" w14:paraId="7896C3E5" w14:textId="322DA46D" w:rsidTr="001333C9">
        <w:trPr>
          <w:cantSplit/>
        </w:trPr>
        <w:tc>
          <w:tcPr>
            <w:tcW w:w="815" w:type="pct"/>
          </w:tcPr>
          <w:p w14:paraId="0ACA20D9" w14:textId="4DF4FD93" w:rsidR="001333C9" w:rsidRDefault="001333C9" w:rsidP="007D35DE">
            <w:pPr>
              <w:pStyle w:val="TableBodyText"/>
            </w:pPr>
            <w:r>
              <w:t>Rule 171(2)</w:t>
            </w:r>
          </w:p>
        </w:tc>
        <w:tc>
          <w:tcPr>
            <w:tcW w:w="1482" w:type="pct"/>
          </w:tcPr>
          <w:p w14:paraId="51E08AB1" w14:textId="77777777" w:rsidR="001333C9" w:rsidRDefault="001333C9" w:rsidP="00036B44">
            <w:pPr>
              <w:pStyle w:val="TableBodyText"/>
            </w:pPr>
            <w:r>
              <w:t>Requirement that where information to be reported relating to reserves and resources requires a thing to be classified, it must be classified in accordance with:</w:t>
            </w:r>
          </w:p>
          <w:p w14:paraId="3007BCF0" w14:textId="2E3597CC" w:rsidR="001333C9" w:rsidRDefault="001333C9" w:rsidP="00DA64AA">
            <w:pPr>
              <w:pStyle w:val="Newtablebullet"/>
            </w:pPr>
            <w:r>
              <w:t>SPE-PRMS, in the most specific resource class in which petroleum resources can be classified under SPE-PRMS; or</w:t>
            </w:r>
          </w:p>
          <w:p w14:paraId="075ACEB9" w14:textId="72B7A9A2" w:rsidR="001333C9" w:rsidRDefault="001333C9" w:rsidP="00DA64AA">
            <w:pPr>
              <w:pStyle w:val="Newtablebullet"/>
            </w:pPr>
            <w:proofErr w:type="gramStart"/>
            <w:r>
              <w:t>where</w:t>
            </w:r>
            <w:proofErr w:type="gramEnd"/>
            <w:r>
              <w:t xml:space="preserve"> SPE-PRMS does not provide for its classification, the BB Procedures.</w:t>
            </w:r>
          </w:p>
        </w:tc>
        <w:tc>
          <w:tcPr>
            <w:tcW w:w="1351" w:type="pct"/>
          </w:tcPr>
          <w:p w14:paraId="41B930ED" w14:textId="6E370F4F" w:rsidR="001333C9" w:rsidRDefault="001333C9" w:rsidP="00C83655">
            <w:pPr>
              <w:pStyle w:val="TableBodyText"/>
            </w:pPr>
            <w:r>
              <w:t>Classification of this provision as a civil penalty provision is consistent with classification of the requirement to comply with the BB information standard as a civil penalty provision.</w:t>
            </w:r>
          </w:p>
        </w:tc>
        <w:tc>
          <w:tcPr>
            <w:tcW w:w="1351" w:type="pct"/>
          </w:tcPr>
          <w:p w14:paraId="1C09A9E3" w14:textId="37704BD3" w:rsidR="001333C9" w:rsidRDefault="001B3A17" w:rsidP="00276C73">
            <w:pPr>
              <w:pStyle w:val="TableBodyText"/>
            </w:pPr>
            <w:r>
              <w:t xml:space="preserve">Tier 1 – Consistent with </w:t>
            </w:r>
            <w:r w:rsidR="00276C73">
              <w:t>classification</w:t>
            </w:r>
            <w:r>
              <w:t xml:space="preserve"> of BB provisions – Supply Security &amp; Reliability </w:t>
            </w:r>
          </w:p>
        </w:tc>
      </w:tr>
      <w:tr w:rsidR="001333C9" w14:paraId="0EBD6368" w14:textId="73B6B7A4" w:rsidTr="001333C9">
        <w:trPr>
          <w:cantSplit/>
        </w:trPr>
        <w:tc>
          <w:tcPr>
            <w:tcW w:w="815" w:type="pct"/>
          </w:tcPr>
          <w:p w14:paraId="7BC8A012" w14:textId="0AF39C2C" w:rsidR="001333C9" w:rsidRDefault="001333C9" w:rsidP="007D35DE">
            <w:pPr>
              <w:pStyle w:val="TableBodyText"/>
            </w:pPr>
            <w:r>
              <w:t>Rule 171(5)</w:t>
            </w:r>
          </w:p>
        </w:tc>
        <w:tc>
          <w:tcPr>
            <w:tcW w:w="1482" w:type="pct"/>
          </w:tcPr>
          <w:p w14:paraId="5AB1D044" w14:textId="7A575E1A" w:rsidR="001333C9" w:rsidRDefault="001333C9" w:rsidP="00DA64AA">
            <w:pPr>
              <w:pStyle w:val="TableBodyText"/>
            </w:pPr>
            <w:r w:rsidRPr="00D850C1">
              <w:t>Re</w:t>
            </w:r>
            <w:r>
              <w:t>quirement that re</w:t>
            </w:r>
            <w:r w:rsidRPr="00D850C1">
              <w:t xml:space="preserve">serves and resources estimates </w:t>
            </w:r>
            <w:r w:rsidRPr="00D850C1">
              <w:rPr>
                <w:bCs/>
              </w:rPr>
              <w:t>provided to AEMO must be prepared by, or under the supervision of a qualified gas industry professional.</w:t>
            </w:r>
          </w:p>
        </w:tc>
        <w:tc>
          <w:tcPr>
            <w:tcW w:w="1351" w:type="pct"/>
          </w:tcPr>
          <w:p w14:paraId="728FB91C" w14:textId="78D03C24" w:rsidR="001333C9" w:rsidRDefault="001333C9" w:rsidP="00741CD5">
            <w:pPr>
              <w:pStyle w:val="TableBodyText"/>
            </w:pPr>
            <w:r>
              <w:t>Classification of this provision as a civil penalty provision is consistent with classification of the requirement to comply with the BB information standard as a civil penalty provision.</w:t>
            </w:r>
          </w:p>
        </w:tc>
        <w:tc>
          <w:tcPr>
            <w:tcW w:w="1351" w:type="pct"/>
          </w:tcPr>
          <w:p w14:paraId="43B00C4F" w14:textId="2FE23171" w:rsidR="001333C9" w:rsidRDefault="001B3A17" w:rsidP="001B3A17">
            <w:pPr>
              <w:pStyle w:val="TableBodyText"/>
            </w:pPr>
            <w:r>
              <w:t xml:space="preserve">Tier 2 – Analogous to </w:t>
            </w:r>
            <w:proofErr w:type="gramStart"/>
            <w:r>
              <w:t>158A(</w:t>
            </w:r>
            <w:proofErr w:type="gramEnd"/>
            <w:r>
              <w:t xml:space="preserve">1) and (2). </w:t>
            </w:r>
          </w:p>
        </w:tc>
      </w:tr>
      <w:tr w:rsidR="001333C9" w14:paraId="6C45FE8B" w14:textId="32B84299" w:rsidTr="001333C9">
        <w:trPr>
          <w:cantSplit/>
        </w:trPr>
        <w:tc>
          <w:tcPr>
            <w:tcW w:w="815" w:type="pct"/>
          </w:tcPr>
          <w:p w14:paraId="7E1D4456" w14:textId="2BFF88BA" w:rsidR="001333C9" w:rsidRDefault="001333C9" w:rsidP="007D35DE">
            <w:pPr>
              <w:pStyle w:val="TableBodyText"/>
            </w:pPr>
            <w:r>
              <w:lastRenderedPageBreak/>
              <w:t>Rule 171(6)</w:t>
            </w:r>
          </w:p>
        </w:tc>
        <w:tc>
          <w:tcPr>
            <w:tcW w:w="1482" w:type="pct"/>
          </w:tcPr>
          <w:p w14:paraId="78BE7C19" w14:textId="40A206CB" w:rsidR="001333C9" w:rsidRDefault="001333C9" w:rsidP="00C83655">
            <w:pPr>
              <w:pStyle w:val="TableBodyText"/>
            </w:pPr>
            <w:r>
              <w:t>Requirement for gas price assumptions used to prepare reserves and resources estimates to:</w:t>
            </w:r>
          </w:p>
          <w:p w14:paraId="5F0FE4CD" w14:textId="15CADBF0" w:rsidR="001333C9" w:rsidRDefault="001333C9" w:rsidP="00C83655">
            <w:pPr>
              <w:pStyle w:val="Newtablebullet"/>
            </w:pPr>
            <w:r>
              <w:t>for contracted reserves, take into account contract prices and price escalation mechanisms over the contract term and any extension to it, if there is a reasonable expectation) that the contract will be extended; and</w:t>
            </w:r>
          </w:p>
          <w:p w14:paraId="43D39678" w14:textId="2362B0CE" w:rsidR="001333C9" w:rsidRDefault="001333C9" w:rsidP="00C83655">
            <w:pPr>
              <w:pStyle w:val="Newtablebullet"/>
            </w:pPr>
            <w:r>
              <w:t>for uncontracted reserves, use prices the BB reporting entity forecasts it will receive for the gas which must be verified by an independent qualified gas industry professional as falling within the range of gas price forecasts used or adopted by qualified gas industry professionals for the purpose of preparing such estimates or published by reputable independent Australian sources of gas price forecast information for Australia.</w:t>
            </w:r>
          </w:p>
        </w:tc>
        <w:tc>
          <w:tcPr>
            <w:tcW w:w="1351" w:type="pct"/>
          </w:tcPr>
          <w:p w14:paraId="274063EB" w14:textId="05F9C641" w:rsidR="001333C9" w:rsidRDefault="001333C9" w:rsidP="00741CD5">
            <w:pPr>
              <w:pStyle w:val="TableBodyText"/>
            </w:pPr>
            <w:r>
              <w:t>Classification of this provision as a civil penalty provision is consistent with classification of the requirement to comply with the BB information standard as a civil penalty provision.</w:t>
            </w:r>
          </w:p>
        </w:tc>
        <w:tc>
          <w:tcPr>
            <w:tcW w:w="1351" w:type="pct"/>
          </w:tcPr>
          <w:p w14:paraId="61DFB535" w14:textId="789EE651" w:rsidR="001333C9" w:rsidRDefault="001B3A17" w:rsidP="00741CD5">
            <w:pPr>
              <w:pStyle w:val="TableBodyText"/>
            </w:pPr>
            <w:r>
              <w:t>Tier 1 – Analogous to 165(4) – Supply Security &amp; Reliability</w:t>
            </w:r>
          </w:p>
        </w:tc>
      </w:tr>
      <w:tr w:rsidR="001333C9" w14:paraId="54ED657F" w14:textId="711551A8" w:rsidTr="001333C9">
        <w:trPr>
          <w:cantSplit/>
        </w:trPr>
        <w:tc>
          <w:tcPr>
            <w:tcW w:w="815" w:type="pct"/>
          </w:tcPr>
          <w:p w14:paraId="193E118C" w14:textId="6336772C" w:rsidR="001333C9" w:rsidRDefault="001333C9" w:rsidP="003D69C6">
            <w:pPr>
              <w:pStyle w:val="TableBodyText"/>
            </w:pPr>
            <w:r>
              <w:t>Rule 198D(1)</w:t>
            </w:r>
          </w:p>
        </w:tc>
        <w:tc>
          <w:tcPr>
            <w:tcW w:w="1482" w:type="pct"/>
          </w:tcPr>
          <w:p w14:paraId="7D33EA64" w14:textId="77777777" w:rsidR="001333C9" w:rsidRDefault="001333C9" w:rsidP="00536260">
            <w:pPr>
              <w:pStyle w:val="TableBodyText"/>
            </w:pPr>
            <w:r>
              <w:t xml:space="preserve">Requirement for a </w:t>
            </w:r>
            <w:r w:rsidRPr="00B22C99">
              <w:t xml:space="preserve">service provider required by </w:t>
            </w:r>
            <w:r>
              <w:t xml:space="preserve">Part 18A </w:t>
            </w:r>
            <w:r w:rsidRPr="00B22C99">
              <w:t>to prepare, publis</w:t>
            </w:r>
            <w:r>
              <w:t xml:space="preserve">h and maintain information to </w:t>
            </w:r>
            <w:r w:rsidRPr="00B22C99">
              <w:t>do so in accordance with the Part 18A information standard</w:t>
            </w:r>
          </w:p>
        </w:tc>
        <w:tc>
          <w:tcPr>
            <w:tcW w:w="1351" w:type="pct"/>
          </w:tcPr>
          <w:p w14:paraId="4BB409EB" w14:textId="77777777" w:rsidR="001333C9" w:rsidRDefault="001333C9" w:rsidP="00741CD5">
            <w:pPr>
              <w:pStyle w:val="TableBodyText"/>
            </w:pPr>
            <w:r>
              <w:t>Classification of this provision as a civil penalty provision is consistent with classification of the equivalent provision in Part 23.</w:t>
            </w:r>
          </w:p>
        </w:tc>
        <w:tc>
          <w:tcPr>
            <w:tcW w:w="1351" w:type="pct"/>
          </w:tcPr>
          <w:p w14:paraId="59EA8AB9" w14:textId="51A52BBC" w:rsidR="001333C9" w:rsidRDefault="001B3A17" w:rsidP="00741CD5">
            <w:pPr>
              <w:pStyle w:val="TableBodyText"/>
            </w:pPr>
            <w:r w:rsidRPr="0044620A">
              <w:t>Equivalent provision in Part 23 (r 552(1)(a)) is proposed as Tier 2 – Inappropriate Market Participant Behaviour – General reporting obligations</w:t>
            </w:r>
          </w:p>
        </w:tc>
      </w:tr>
      <w:tr w:rsidR="001333C9" w14:paraId="2DB30A0F" w14:textId="250044CD" w:rsidTr="001333C9">
        <w:trPr>
          <w:cantSplit/>
        </w:trPr>
        <w:tc>
          <w:tcPr>
            <w:tcW w:w="815" w:type="pct"/>
          </w:tcPr>
          <w:p w14:paraId="325B8CE8" w14:textId="3B86B2D1" w:rsidR="001333C9" w:rsidRDefault="001333C9" w:rsidP="003D69C6">
            <w:pPr>
              <w:pStyle w:val="TableBodyText"/>
            </w:pPr>
            <w:r>
              <w:t>Rule 198D(3)</w:t>
            </w:r>
          </w:p>
        </w:tc>
        <w:tc>
          <w:tcPr>
            <w:tcW w:w="1482" w:type="pct"/>
          </w:tcPr>
          <w:p w14:paraId="7D397CF7" w14:textId="77777777" w:rsidR="001333C9" w:rsidRPr="00B22C99" w:rsidRDefault="001333C9" w:rsidP="00536260">
            <w:pPr>
              <w:pStyle w:val="TableBodyText"/>
            </w:pPr>
            <w:r>
              <w:t xml:space="preserve">Requirement that </w:t>
            </w:r>
            <w:r w:rsidRPr="00B22C99">
              <w:t xml:space="preserve">a service provider </w:t>
            </w:r>
            <w:r>
              <w:t xml:space="preserve">who </w:t>
            </w:r>
            <w:r w:rsidRPr="00B22C99">
              <w:t>becomes aware that information required to be published by it under Part</w:t>
            </w:r>
            <w:r>
              <w:t xml:space="preserve"> 18A</w:t>
            </w:r>
            <w:r w:rsidRPr="00B22C99">
              <w:t xml:space="preserve"> does not comply with the Part 18A information standard or Part</w:t>
            </w:r>
            <w:r>
              <w:t xml:space="preserve"> 18A</w:t>
            </w:r>
            <w:r w:rsidRPr="00B22C99">
              <w:t>, or is inaccurate, the service provider must publish information that does comply as soon as practicable after the service provider becomes aware of the non-compliance or inaccuracy.</w:t>
            </w:r>
          </w:p>
        </w:tc>
        <w:tc>
          <w:tcPr>
            <w:tcW w:w="1351" w:type="pct"/>
          </w:tcPr>
          <w:p w14:paraId="217C0405" w14:textId="77777777" w:rsidR="001333C9" w:rsidRDefault="001333C9" w:rsidP="00741CD5">
            <w:pPr>
              <w:pStyle w:val="TableBodyText"/>
            </w:pPr>
            <w:r>
              <w:t>Classification of this provision as a civil penalty provision is consistent with classification of the equivalent provision in Part 23.</w:t>
            </w:r>
          </w:p>
        </w:tc>
        <w:tc>
          <w:tcPr>
            <w:tcW w:w="1351" w:type="pct"/>
          </w:tcPr>
          <w:p w14:paraId="165C384E" w14:textId="5EDA6045" w:rsidR="001333C9" w:rsidRDefault="001B3A17" w:rsidP="00741CD5">
            <w:pPr>
              <w:pStyle w:val="TableBodyText"/>
            </w:pPr>
            <w:r w:rsidRPr="0044620A">
              <w:t>Equivalent provision in Part 23 (r 552 (1)(a)) is proposed as Tier 2 – Inappropriate Market Participant Behaviour – General reporting obligations</w:t>
            </w:r>
          </w:p>
        </w:tc>
      </w:tr>
      <w:tr w:rsidR="001333C9" w14:paraId="04D8AB25" w14:textId="281A8566" w:rsidTr="001333C9">
        <w:trPr>
          <w:cantSplit/>
        </w:trPr>
        <w:tc>
          <w:tcPr>
            <w:tcW w:w="815" w:type="pct"/>
          </w:tcPr>
          <w:p w14:paraId="4895BDE9" w14:textId="3986E1FB" w:rsidR="001333C9" w:rsidRDefault="001333C9" w:rsidP="003D69C6">
            <w:pPr>
              <w:pStyle w:val="TableBodyText"/>
            </w:pPr>
            <w:r>
              <w:t>Rule 198E(1)</w:t>
            </w:r>
          </w:p>
        </w:tc>
        <w:tc>
          <w:tcPr>
            <w:tcW w:w="1482" w:type="pct"/>
          </w:tcPr>
          <w:p w14:paraId="33A37308" w14:textId="77777777" w:rsidR="001333C9" w:rsidRPr="00B22C99" w:rsidRDefault="001333C9" w:rsidP="00536260">
            <w:pPr>
              <w:pStyle w:val="TableBodyText"/>
            </w:pPr>
            <w:r>
              <w:t xml:space="preserve">Requirement that a service provider for a Part 18A facility must prepare, publish and maintain standing terms in accordance with rule </w:t>
            </w:r>
            <w:proofErr w:type="gramStart"/>
            <w:r>
              <w:t>198E  and</w:t>
            </w:r>
            <w:proofErr w:type="gramEnd"/>
            <w:r>
              <w:t xml:space="preserve"> weighted average price information in accordance with rule 198F in accordance with the NGL, Part 18A and the price reporting guidelines.</w:t>
            </w:r>
          </w:p>
        </w:tc>
        <w:tc>
          <w:tcPr>
            <w:tcW w:w="1351" w:type="pct"/>
          </w:tcPr>
          <w:p w14:paraId="2080B627" w14:textId="77777777" w:rsidR="001333C9" w:rsidRDefault="001333C9" w:rsidP="00741CD5">
            <w:pPr>
              <w:pStyle w:val="TableBodyText"/>
            </w:pPr>
            <w:r>
              <w:t>Classification of this provision as a civil penalty provision is consistent with classification of the equivalent provision in Part 23.</w:t>
            </w:r>
          </w:p>
        </w:tc>
        <w:tc>
          <w:tcPr>
            <w:tcW w:w="1351" w:type="pct"/>
          </w:tcPr>
          <w:p w14:paraId="1C7C53D4" w14:textId="1C197596" w:rsidR="001333C9" w:rsidRDefault="001B3A17" w:rsidP="00741CD5">
            <w:pPr>
              <w:pStyle w:val="TableBodyText"/>
            </w:pPr>
            <w:r w:rsidRPr="0044620A">
              <w:t>Equivalent provision in Part 23 (r 552 (1)(b)) is proposed as Tier 2 – Inappropriate Market Participant Behaviour – General reporting obligations</w:t>
            </w:r>
          </w:p>
        </w:tc>
      </w:tr>
      <w:tr w:rsidR="001333C9" w14:paraId="452904CA" w14:textId="5D4F504A" w:rsidTr="001333C9">
        <w:trPr>
          <w:cantSplit/>
        </w:trPr>
        <w:tc>
          <w:tcPr>
            <w:tcW w:w="815" w:type="pct"/>
          </w:tcPr>
          <w:p w14:paraId="072A6E08" w14:textId="06981CCC" w:rsidR="001333C9" w:rsidRDefault="001333C9" w:rsidP="003D69C6">
            <w:pPr>
              <w:pStyle w:val="TableBodyText"/>
            </w:pPr>
            <w:r>
              <w:lastRenderedPageBreak/>
              <w:t>Rule 198J(7)</w:t>
            </w:r>
          </w:p>
        </w:tc>
        <w:tc>
          <w:tcPr>
            <w:tcW w:w="1482" w:type="pct"/>
          </w:tcPr>
          <w:p w14:paraId="01CBD63E" w14:textId="77777777" w:rsidR="001333C9" w:rsidRDefault="001333C9" w:rsidP="00536260">
            <w:pPr>
              <w:pStyle w:val="TableBodyText"/>
            </w:pPr>
            <w:r>
              <w:t xml:space="preserve">Requirement that a </w:t>
            </w:r>
            <w:r w:rsidRPr="00B22C99">
              <w:t xml:space="preserve">service provider for a Part 18A facility for which an exemption has been granted under </w:t>
            </w:r>
            <w:r>
              <w:t xml:space="preserve">Part 18A </w:t>
            </w:r>
            <w:r w:rsidRPr="00B22C99">
              <w:t>must notify the AER without delay if circumstances change such that the Part 18A facility no longer qualifies for the exemption.</w:t>
            </w:r>
          </w:p>
        </w:tc>
        <w:tc>
          <w:tcPr>
            <w:tcW w:w="1351" w:type="pct"/>
          </w:tcPr>
          <w:p w14:paraId="03E6B7E2" w14:textId="77777777" w:rsidR="001333C9" w:rsidRDefault="001333C9" w:rsidP="00741CD5">
            <w:pPr>
              <w:pStyle w:val="TableBodyText"/>
            </w:pPr>
            <w:r>
              <w:t>Classification of this provision as a civil penalty provision is consistent with classification of the equivalent provision in Part 23.</w:t>
            </w:r>
          </w:p>
        </w:tc>
        <w:tc>
          <w:tcPr>
            <w:tcW w:w="1351" w:type="pct"/>
          </w:tcPr>
          <w:p w14:paraId="46C7FDBA" w14:textId="7D4AF8B2" w:rsidR="001333C9" w:rsidRDefault="001B3A17" w:rsidP="00741CD5">
            <w:pPr>
              <w:pStyle w:val="TableBodyText"/>
            </w:pPr>
            <w:r w:rsidRPr="0044620A">
              <w:t>Equivalent provision in Part 23 (r 585(8)) is proposed as Tier 2 – Inappropriate Market Participant Behaviour – General reporting obligations</w:t>
            </w:r>
          </w:p>
        </w:tc>
      </w:tr>
      <w:tr w:rsidR="001333C9" w14:paraId="20CFDDBE" w14:textId="39343F1B" w:rsidTr="001333C9">
        <w:trPr>
          <w:cantSplit/>
        </w:trPr>
        <w:tc>
          <w:tcPr>
            <w:tcW w:w="815" w:type="pct"/>
          </w:tcPr>
          <w:p w14:paraId="51A97FE1" w14:textId="149583F2" w:rsidR="001333C9" w:rsidRDefault="001333C9" w:rsidP="003D69C6">
            <w:pPr>
              <w:pStyle w:val="TableBodyText"/>
            </w:pPr>
            <w:r>
              <w:t>Rule 198K(2)</w:t>
            </w:r>
          </w:p>
        </w:tc>
        <w:tc>
          <w:tcPr>
            <w:tcW w:w="1482" w:type="pct"/>
          </w:tcPr>
          <w:p w14:paraId="6E9BC8BB" w14:textId="77777777" w:rsidR="001333C9" w:rsidRPr="00B22C99" w:rsidRDefault="001333C9" w:rsidP="00536260">
            <w:pPr>
              <w:pStyle w:val="TableBodyText"/>
            </w:pPr>
            <w:r>
              <w:t>Requirement that a</w:t>
            </w:r>
            <w:r w:rsidRPr="00536260">
              <w:t xml:space="preserve"> </w:t>
            </w:r>
            <w:r>
              <w:t>s</w:t>
            </w:r>
            <w:r w:rsidRPr="00536260">
              <w:t>ervice provider for a Part 18A facility for which an exemption has been granted must comply with any conditions of the exemption.</w:t>
            </w:r>
          </w:p>
        </w:tc>
        <w:tc>
          <w:tcPr>
            <w:tcW w:w="1351" w:type="pct"/>
          </w:tcPr>
          <w:p w14:paraId="6970A0A6" w14:textId="77777777" w:rsidR="001333C9" w:rsidRDefault="001333C9" w:rsidP="00741CD5">
            <w:pPr>
              <w:pStyle w:val="TableBodyText"/>
            </w:pPr>
            <w:r>
              <w:t>Classification of this provision as a civil penalty provision is consistent with classification of the equivalent provision in Part 23.</w:t>
            </w:r>
          </w:p>
        </w:tc>
        <w:tc>
          <w:tcPr>
            <w:tcW w:w="1351" w:type="pct"/>
          </w:tcPr>
          <w:p w14:paraId="2465B984" w14:textId="055FFED5" w:rsidR="001333C9" w:rsidRDefault="001B3A17" w:rsidP="00741CD5">
            <w:pPr>
              <w:pStyle w:val="TableBodyText"/>
            </w:pPr>
            <w:r w:rsidRPr="0044620A">
              <w:t>Equivalent provision in Part 23 (r 586(2)) is proposed as Tier 1 – Unacceptable Market Participant Behaviour – Failure to comply with notice or request from regulator</w:t>
            </w:r>
          </w:p>
        </w:tc>
      </w:tr>
    </w:tbl>
    <w:p w14:paraId="617A88E7" w14:textId="77777777" w:rsidR="00FA330B" w:rsidRDefault="00FA330B" w:rsidP="00E43796">
      <w:pPr>
        <w:pStyle w:val="TableBodyText"/>
      </w:pPr>
    </w:p>
    <w:p w14:paraId="34E2FFAD" w14:textId="77777777" w:rsidR="00761648" w:rsidRDefault="00761648" w:rsidP="00E43796">
      <w:pPr>
        <w:pStyle w:val="TableBodyText"/>
        <w:sectPr w:rsidR="00761648" w:rsidSect="00187103">
          <w:pgSz w:w="16839" w:h="11907" w:orient="landscape" w:code="9"/>
          <w:pgMar w:top="1440" w:right="1440" w:bottom="1276" w:left="1440" w:header="567" w:footer="275" w:gutter="0"/>
          <w:cols w:space="708"/>
          <w:docGrid w:linePitch="360"/>
        </w:sectPr>
      </w:pPr>
    </w:p>
    <w:p w14:paraId="0377700F" w14:textId="77777777" w:rsidR="005A3078" w:rsidRDefault="005A3078" w:rsidP="00EB5788">
      <w:pPr>
        <w:pStyle w:val="Heading1"/>
        <w:spacing w:before="0"/>
      </w:pPr>
      <w:bookmarkStart w:id="132" w:name="_Toc45015306"/>
      <w:bookmarkStart w:id="133" w:name="_Ref47421979"/>
      <w:bookmarkStart w:id="134" w:name="_Ref47509592"/>
      <w:r>
        <w:lastRenderedPageBreak/>
        <w:t xml:space="preserve">Potential </w:t>
      </w:r>
      <w:r w:rsidR="00C200E3">
        <w:t xml:space="preserve">reduction of </w:t>
      </w:r>
      <w:r>
        <w:t xml:space="preserve">duplication </w:t>
      </w:r>
      <w:r w:rsidR="00AD4D72">
        <w:t>in the Law</w:t>
      </w:r>
      <w:bookmarkEnd w:id="132"/>
      <w:bookmarkEnd w:id="133"/>
      <w:bookmarkEnd w:id="134"/>
      <w:r w:rsidR="00AD4D72">
        <w:t xml:space="preserve"> </w:t>
      </w:r>
    </w:p>
    <w:p w14:paraId="1812AB9F" w14:textId="77777777" w:rsidR="00EB5788" w:rsidRPr="007D1E71" w:rsidRDefault="007307DF" w:rsidP="007766FD">
      <w:pPr>
        <w:pStyle w:val="BodyText"/>
      </w:pPr>
      <w:r>
        <w:t xml:space="preserve">While not part of </w:t>
      </w:r>
      <w:r w:rsidR="002313B2">
        <w:t xml:space="preserve">the Draft </w:t>
      </w:r>
      <w:r w:rsidR="0081391A">
        <w:t>B</w:t>
      </w:r>
      <w:r>
        <w:t>ill</w:t>
      </w:r>
      <w:r w:rsidR="00AD4D72" w:rsidRPr="00AD4D72">
        <w:t xml:space="preserve">, </w:t>
      </w:r>
      <w:r>
        <w:t xml:space="preserve">the following table identifies </w:t>
      </w:r>
      <w:r w:rsidR="00C200E3">
        <w:t xml:space="preserve">those </w:t>
      </w:r>
      <w:r>
        <w:t xml:space="preserve">areas </w:t>
      </w:r>
      <w:r w:rsidR="00C200E3">
        <w:t xml:space="preserve">of </w:t>
      </w:r>
      <w:r>
        <w:t xml:space="preserve">the Law </w:t>
      </w:r>
      <w:r w:rsidR="00C200E3">
        <w:t>that would benefit from the removal of some of the duplication that has emerged over time</w:t>
      </w:r>
      <w:r w:rsidR="007766FD">
        <w:t xml:space="preserve">. </w:t>
      </w:r>
      <w:r w:rsidR="00EB5788">
        <w:t xml:space="preserve">Stakeholder feedback on these </w:t>
      </w:r>
      <w:r w:rsidR="007766FD">
        <w:t xml:space="preserve">potential changes to the Law is sought. </w:t>
      </w:r>
      <w:r w:rsidR="00EB5788">
        <w:t xml:space="preserve">If you would like to provide feedback on this issue, please do so in the response template in </w:t>
      </w:r>
      <w:r w:rsidR="00EB5788" w:rsidRPr="000B4A0B">
        <w:rPr>
          <w:b/>
          <w:bCs/>
        </w:rPr>
        <w:t>Attachment B</w:t>
      </w:r>
      <w:r w:rsidR="00EB5788" w:rsidRPr="000B4A0B">
        <w:t>.</w:t>
      </w:r>
      <w:r w:rsidR="00EB5788">
        <w:t xml:space="preserve"> </w:t>
      </w:r>
    </w:p>
    <w:p w14:paraId="1F4EA0C5" w14:textId="77777777" w:rsidR="007766FD" w:rsidRDefault="007766FD" w:rsidP="007766FD">
      <w:pPr>
        <w:pStyle w:val="BodyText"/>
      </w:pPr>
      <w:r>
        <w:t>Should a decision be made to make these changes, t</w:t>
      </w:r>
      <w:r w:rsidRPr="00AD4D72">
        <w:t xml:space="preserve">hey </w:t>
      </w:r>
      <w:r w:rsidR="003B2814">
        <w:t>w</w:t>
      </w:r>
      <w:r w:rsidRPr="00AD4D72">
        <w:t>ould come into effect at the same time</w:t>
      </w:r>
      <w:r>
        <w:t xml:space="preserve"> as other changes to the NGL</w:t>
      </w:r>
      <w:r w:rsidRPr="00AD4D72">
        <w:t>.</w:t>
      </w:r>
    </w:p>
    <w:tbl>
      <w:tblPr>
        <w:tblStyle w:val="TableGrid"/>
        <w:tblW w:w="5077" w:type="pct"/>
        <w:tblLook w:val="04A0" w:firstRow="1" w:lastRow="0" w:firstColumn="1" w:lastColumn="0" w:noHBand="0" w:noVBand="1"/>
      </w:tblPr>
      <w:tblGrid>
        <w:gridCol w:w="567"/>
        <w:gridCol w:w="2368"/>
        <w:gridCol w:w="4447"/>
        <w:gridCol w:w="6792"/>
      </w:tblGrid>
      <w:tr w:rsidR="003B37D9" w:rsidRPr="00AD4D72" w14:paraId="708D934E" w14:textId="77777777" w:rsidTr="003E1D01">
        <w:trPr>
          <w:cnfStyle w:val="100000000000" w:firstRow="1" w:lastRow="0" w:firstColumn="0" w:lastColumn="0" w:oddVBand="0" w:evenVBand="0" w:oddHBand="0" w:evenHBand="0" w:firstRowFirstColumn="0" w:firstRowLastColumn="0" w:lastRowFirstColumn="0" w:lastRowLastColumn="0"/>
          <w:trHeight w:val="50"/>
          <w:tblHeader/>
        </w:trPr>
        <w:tc>
          <w:tcPr>
            <w:tcW w:w="567" w:type="dxa"/>
          </w:tcPr>
          <w:p w14:paraId="267A6D46" w14:textId="77777777" w:rsidR="003B37D9" w:rsidRPr="00AD4D72" w:rsidRDefault="003B37D9" w:rsidP="00EB5788">
            <w:pPr>
              <w:pStyle w:val="BodyText"/>
              <w:spacing w:before="40" w:after="40"/>
            </w:pPr>
            <w:r>
              <w:t>Item</w:t>
            </w:r>
          </w:p>
        </w:tc>
        <w:tc>
          <w:tcPr>
            <w:tcW w:w="2368" w:type="dxa"/>
          </w:tcPr>
          <w:p w14:paraId="41BEE9C0" w14:textId="77777777" w:rsidR="003B37D9" w:rsidRPr="00AD4D72" w:rsidRDefault="003B37D9" w:rsidP="00EB5788">
            <w:pPr>
              <w:pStyle w:val="BodyText"/>
              <w:spacing w:before="40" w:after="40"/>
            </w:pPr>
            <w:r w:rsidRPr="00AD4D72">
              <w:t>Provisions</w:t>
            </w:r>
          </w:p>
        </w:tc>
        <w:tc>
          <w:tcPr>
            <w:tcW w:w="4447" w:type="dxa"/>
          </w:tcPr>
          <w:p w14:paraId="541A43FD" w14:textId="77777777" w:rsidR="003B37D9" w:rsidRPr="00AD4D72" w:rsidRDefault="003B37D9" w:rsidP="00EB5788">
            <w:pPr>
              <w:pStyle w:val="BodyText"/>
              <w:spacing w:before="40" w:after="40"/>
            </w:pPr>
            <w:r w:rsidRPr="00AD4D72">
              <w:t>Observations</w:t>
            </w:r>
          </w:p>
        </w:tc>
        <w:tc>
          <w:tcPr>
            <w:tcW w:w="6792" w:type="dxa"/>
          </w:tcPr>
          <w:p w14:paraId="0EAF2791" w14:textId="77777777" w:rsidR="003B37D9" w:rsidRPr="00AD4D72" w:rsidRDefault="003B37D9" w:rsidP="00EB5788">
            <w:pPr>
              <w:pStyle w:val="BodyText"/>
              <w:spacing w:before="40" w:after="40"/>
            </w:pPr>
            <w:r>
              <w:t xml:space="preserve">Potential changes to NGL to reduce duplication </w:t>
            </w:r>
          </w:p>
        </w:tc>
      </w:tr>
      <w:tr w:rsidR="003B37D9" w:rsidRPr="00AD4D72" w14:paraId="5D9E0D31" w14:textId="77777777" w:rsidTr="003E1D01">
        <w:tc>
          <w:tcPr>
            <w:tcW w:w="567" w:type="dxa"/>
          </w:tcPr>
          <w:p w14:paraId="025908EE" w14:textId="77777777" w:rsidR="003B37D9" w:rsidRPr="00AD4D72" w:rsidRDefault="003B37D9" w:rsidP="00237604">
            <w:pPr>
              <w:pStyle w:val="BodyText"/>
              <w:spacing w:before="80" w:after="80"/>
            </w:pPr>
            <w:r>
              <w:t>1</w:t>
            </w:r>
          </w:p>
        </w:tc>
        <w:tc>
          <w:tcPr>
            <w:tcW w:w="2368" w:type="dxa"/>
          </w:tcPr>
          <w:p w14:paraId="2CB85406" w14:textId="77777777" w:rsidR="003B37D9" w:rsidRPr="00AD4D72" w:rsidRDefault="003B37D9" w:rsidP="00237604">
            <w:pPr>
              <w:pStyle w:val="BodyText"/>
              <w:spacing w:before="80" w:after="80"/>
            </w:pPr>
            <w:r w:rsidRPr="00AD4D72">
              <w:t xml:space="preserve">Proposed </w:t>
            </w:r>
            <w:proofErr w:type="spellStart"/>
            <w:r w:rsidRPr="00AD4D72">
              <w:t>ss</w:t>
            </w:r>
            <w:proofErr w:type="spellEnd"/>
            <w:r w:rsidRPr="00AD4D72">
              <w:t> 91DC, 91DD, 91DE</w:t>
            </w:r>
          </w:p>
          <w:p w14:paraId="367C418D" w14:textId="77777777" w:rsidR="003B37D9" w:rsidRPr="00AD4D72" w:rsidRDefault="003B37D9" w:rsidP="00237604">
            <w:pPr>
              <w:pStyle w:val="BodyText"/>
              <w:spacing w:before="80" w:after="80"/>
            </w:pPr>
            <w:proofErr w:type="spellStart"/>
            <w:r w:rsidRPr="00AD4D72">
              <w:t>ss</w:t>
            </w:r>
            <w:proofErr w:type="spellEnd"/>
            <w:r w:rsidRPr="00AD4D72">
              <w:t> 91FEB,91FEC and 91FED</w:t>
            </w:r>
          </w:p>
          <w:p w14:paraId="57EB80C2" w14:textId="77777777" w:rsidR="003B37D9" w:rsidRPr="00AD4D72" w:rsidRDefault="003B37D9" w:rsidP="00237604">
            <w:pPr>
              <w:pStyle w:val="BodyText"/>
              <w:spacing w:before="80" w:after="80"/>
            </w:pPr>
            <w:r w:rsidRPr="00AD4D72">
              <w:t>s 91FEF, 91FEG 91FEH</w:t>
            </w:r>
          </w:p>
          <w:p w14:paraId="00B777B5" w14:textId="77777777" w:rsidR="003B37D9" w:rsidRPr="00AD4D72" w:rsidRDefault="003B37D9" w:rsidP="00237604">
            <w:pPr>
              <w:pStyle w:val="BodyText"/>
              <w:spacing w:before="80" w:after="80"/>
            </w:pPr>
            <w:r w:rsidRPr="00AD4D72">
              <w:t>s 224, 225 and 226</w:t>
            </w:r>
          </w:p>
        </w:tc>
        <w:tc>
          <w:tcPr>
            <w:tcW w:w="4447" w:type="dxa"/>
          </w:tcPr>
          <w:p w14:paraId="19781D71" w14:textId="77777777" w:rsidR="003B37D9" w:rsidRPr="00AD4D72" w:rsidRDefault="003B37D9" w:rsidP="00575F64">
            <w:pPr>
              <w:pStyle w:val="BodyText"/>
              <w:numPr>
                <w:ilvl w:val="0"/>
                <w:numId w:val="30"/>
              </w:numPr>
              <w:spacing w:before="80" w:after="80"/>
            </w:pPr>
            <w:r w:rsidRPr="00AD4D72">
              <w:t xml:space="preserve">Proposed s 91DC provides that a person must not refuse to comply with the requirement in s 91DB (to give GSOO information to AEMO) on the ground of any duty of confidence. </w:t>
            </w:r>
            <w:r>
              <w:t xml:space="preserve">This provision </w:t>
            </w:r>
            <w:r w:rsidRPr="00AD4D72">
              <w:t xml:space="preserve">is identical to </w:t>
            </w:r>
            <w:proofErr w:type="spellStart"/>
            <w:r w:rsidRPr="00AD4D72">
              <w:t>ss</w:t>
            </w:r>
            <w:proofErr w:type="spellEnd"/>
            <w:r w:rsidRPr="00AD4D72">
              <w:t xml:space="preserve"> 91FEB (STTM information), 91FEF (capacity auction information) and 224 (BB information).</w:t>
            </w:r>
          </w:p>
          <w:p w14:paraId="300E44DB" w14:textId="77777777" w:rsidR="003B37D9" w:rsidRPr="00AD4D72" w:rsidRDefault="003B37D9" w:rsidP="00575F64">
            <w:pPr>
              <w:pStyle w:val="BodyText"/>
              <w:numPr>
                <w:ilvl w:val="0"/>
                <w:numId w:val="30"/>
              </w:numPr>
              <w:spacing w:before="80" w:after="80"/>
            </w:pPr>
            <w:r w:rsidRPr="00AD4D72">
              <w:t xml:space="preserve">Proposed s 91DD provides that a person must not give GSOO information to AEMO that the persons knows is false or misleading in a material particular. </w:t>
            </w:r>
            <w:r>
              <w:t xml:space="preserve">This </w:t>
            </w:r>
            <w:r w:rsidRPr="00AD4D72">
              <w:t xml:space="preserve">is identical to </w:t>
            </w:r>
            <w:proofErr w:type="spellStart"/>
            <w:r w:rsidRPr="00AD4D72">
              <w:t>ss</w:t>
            </w:r>
            <w:proofErr w:type="spellEnd"/>
            <w:r w:rsidRPr="00AD4D72">
              <w:t xml:space="preserve"> 91FEC (STTM information), 91FEG (capacity auction information) and 225 (BB information), save that s 225 (for reasons which are not apparent) is not currently an offence provision, and the others are. </w:t>
            </w:r>
          </w:p>
          <w:p w14:paraId="2E744B81" w14:textId="77777777" w:rsidR="003B37D9" w:rsidRPr="00AD4D72" w:rsidRDefault="003B37D9" w:rsidP="00575F64">
            <w:pPr>
              <w:pStyle w:val="BodyText"/>
              <w:numPr>
                <w:ilvl w:val="0"/>
                <w:numId w:val="30"/>
              </w:numPr>
              <w:spacing w:before="80" w:after="80"/>
            </w:pPr>
            <w:r w:rsidRPr="00AD4D72">
              <w:t xml:space="preserve">Proposed s 91DE deals with the immunity of persons giving GSOO information to AEMO. </w:t>
            </w:r>
            <w:r>
              <w:t xml:space="preserve">This </w:t>
            </w:r>
            <w:r w:rsidRPr="00AD4D72">
              <w:t xml:space="preserve">is identical to </w:t>
            </w:r>
            <w:proofErr w:type="spellStart"/>
            <w:r w:rsidRPr="00AD4D72">
              <w:t>ss</w:t>
            </w:r>
            <w:proofErr w:type="spellEnd"/>
            <w:r w:rsidRPr="00AD4D72">
              <w:t> 91FED (STTM information), 91FEH (capacity auction information) and 226 (BB information).</w:t>
            </w:r>
          </w:p>
        </w:tc>
        <w:tc>
          <w:tcPr>
            <w:tcW w:w="6792" w:type="dxa"/>
          </w:tcPr>
          <w:p w14:paraId="3E817010" w14:textId="77777777" w:rsidR="003B37D9" w:rsidRPr="00AD4D72" w:rsidRDefault="003B37D9" w:rsidP="00237604">
            <w:pPr>
              <w:pStyle w:val="BodyText"/>
              <w:spacing w:before="80" w:after="80"/>
            </w:pPr>
            <w:r w:rsidRPr="00AD4D72">
              <w:t>In order to cut down on duplication, all of these provisions could be consolidated into a new Division (possibly, immediately before Division 7 of Part 6 of Chapter 2). This new Division could include the following:</w:t>
            </w:r>
          </w:p>
          <w:p w14:paraId="06B4EFFE" w14:textId="77777777" w:rsidR="003B37D9" w:rsidRPr="00AD4D72" w:rsidRDefault="003B37D9" w:rsidP="0081391A">
            <w:pPr>
              <w:pStyle w:val="BodyText"/>
              <w:numPr>
                <w:ilvl w:val="0"/>
                <w:numId w:val="30"/>
              </w:numPr>
              <w:spacing w:before="80" w:after="80"/>
            </w:pPr>
            <w:r w:rsidRPr="00AD4D72">
              <w:t>A provision modelled on proposed s 91DC</w:t>
            </w:r>
            <w:r>
              <w:t>,</w:t>
            </w:r>
            <w:r w:rsidRPr="00AD4D72">
              <w:t xml:space="preserve"> which provides that a person must not refuse to comply with the requirements in </w:t>
            </w:r>
            <w:proofErr w:type="spellStart"/>
            <w:r w:rsidRPr="00AD4D72">
              <w:t>ss</w:t>
            </w:r>
            <w:proofErr w:type="spellEnd"/>
            <w:r w:rsidRPr="00AD4D72">
              <w:t> </w:t>
            </w:r>
            <w:proofErr w:type="gramStart"/>
            <w:r w:rsidRPr="00AD4D72">
              <w:t>91DB(</w:t>
            </w:r>
            <w:proofErr w:type="gramEnd"/>
            <w:r w:rsidRPr="00AD4D72">
              <w:t>1), 91FEA(1), 91FEE(1) or 233(1) on the ground of any duty of confidence.</w:t>
            </w:r>
          </w:p>
          <w:p w14:paraId="4E7C441B" w14:textId="6EA66CCD" w:rsidR="00167649" w:rsidRDefault="003B37D9" w:rsidP="0008765C">
            <w:pPr>
              <w:pStyle w:val="BodyText"/>
              <w:numPr>
                <w:ilvl w:val="0"/>
                <w:numId w:val="30"/>
              </w:numPr>
              <w:spacing w:before="80" w:after="80"/>
            </w:pPr>
            <w:r w:rsidRPr="00AD4D72">
              <w:t>A provision modelled on proposed s 91DD</w:t>
            </w:r>
            <w:r>
              <w:t>,</w:t>
            </w:r>
            <w:r w:rsidRPr="00AD4D72">
              <w:t xml:space="preserve"> which provides that a person must not give GSOO information, STTM information, capacity auction information or BB information to AEMO that the person knows is false or misleading in a </w:t>
            </w:r>
            <w:r w:rsidR="00167649">
              <w:t>material particular.</w:t>
            </w:r>
          </w:p>
          <w:p w14:paraId="3305C819" w14:textId="01A8F009" w:rsidR="00AA371A" w:rsidRDefault="00167649" w:rsidP="0008765C">
            <w:pPr>
              <w:pStyle w:val="BodyText"/>
              <w:numPr>
                <w:ilvl w:val="0"/>
                <w:numId w:val="30"/>
              </w:numPr>
              <w:spacing w:before="80" w:after="80"/>
            </w:pPr>
            <w:r>
              <w:t>A provision modelled on proposed s 91DE, which provides that a person who gives GSOO information, STTM information, capacity auction information or BB information to AEMO does not incur any civil monetary liability etc.</w:t>
            </w:r>
          </w:p>
          <w:p w14:paraId="7FDA3800" w14:textId="77777777" w:rsidR="003B37D9" w:rsidRPr="00AD4D72" w:rsidRDefault="003B37D9" w:rsidP="00237604">
            <w:pPr>
              <w:pStyle w:val="BodyText"/>
              <w:spacing w:before="80" w:after="80"/>
            </w:pPr>
            <w:r w:rsidRPr="00AD4D72">
              <w:t xml:space="preserve">Notes referring to the new standalone provisions could then be inserted into </w:t>
            </w:r>
            <w:proofErr w:type="spellStart"/>
            <w:r w:rsidRPr="00AD4D72">
              <w:t>ss</w:t>
            </w:r>
            <w:proofErr w:type="spellEnd"/>
            <w:r w:rsidRPr="00AD4D72">
              <w:t> 91DB, 91FEA, 91FEE and 223.</w:t>
            </w:r>
          </w:p>
          <w:p w14:paraId="71A35ECB" w14:textId="77777777" w:rsidR="003B37D9" w:rsidRPr="00AD4D72" w:rsidRDefault="003B37D9" w:rsidP="00237604">
            <w:pPr>
              <w:pStyle w:val="BodyText"/>
              <w:spacing w:before="80" w:after="80"/>
            </w:pPr>
            <w:r>
              <w:t xml:space="preserve">If this change were made, the following </w:t>
            </w:r>
            <w:r w:rsidRPr="00AD4D72">
              <w:t xml:space="preserve">provisions </w:t>
            </w:r>
            <w:r>
              <w:t>c</w:t>
            </w:r>
            <w:r w:rsidRPr="00AD4D72">
              <w:t xml:space="preserve">ould be deleted: </w:t>
            </w:r>
          </w:p>
          <w:p w14:paraId="23788942" w14:textId="77777777" w:rsidR="003B37D9" w:rsidRPr="00AD4D72" w:rsidRDefault="003B37D9" w:rsidP="0081391A">
            <w:pPr>
              <w:pStyle w:val="BodyText"/>
              <w:numPr>
                <w:ilvl w:val="0"/>
                <w:numId w:val="30"/>
              </w:numPr>
              <w:spacing w:before="80" w:after="80"/>
            </w:pPr>
            <w:r w:rsidRPr="00AD4D72">
              <w:t xml:space="preserve">proposed new </w:t>
            </w:r>
            <w:proofErr w:type="spellStart"/>
            <w:r w:rsidRPr="00AD4D72">
              <w:t>ss</w:t>
            </w:r>
            <w:proofErr w:type="spellEnd"/>
            <w:r w:rsidRPr="00AD4D72">
              <w:t> 91DC, 91DD and 91DE (in the draft Bill)</w:t>
            </w:r>
            <w:r>
              <w:t>;</w:t>
            </w:r>
          </w:p>
          <w:p w14:paraId="62367806" w14:textId="77777777" w:rsidR="003B37D9" w:rsidRPr="00AD4D72" w:rsidRDefault="003B37D9" w:rsidP="0081391A">
            <w:pPr>
              <w:pStyle w:val="BodyText"/>
              <w:numPr>
                <w:ilvl w:val="0"/>
                <w:numId w:val="30"/>
              </w:numPr>
              <w:spacing w:before="80" w:after="80"/>
            </w:pPr>
            <w:proofErr w:type="spellStart"/>
            <w:r w:rsidRPr="00AD4D72">
              <w:t>ss</w:t>
            </w:r>
            <w:proofErr w:type="spellEnd"/>
            <w:r w:rsidRPr="00AD4D72">
              <w:t xml:space="preserve"> 91FEB (STTM information), 91FEF (capacity auction information) and 224 (BB information)</w:t>
            </w:r>
            <w:r>
              <w:t>;</w:t>
            </w:r>
          </w:p>
          <w:p w14:paraId="5EA77038" w14:textId="77777777" w:rsidR="003B37D9" w:rsidRPr="00AD4D72" w:rsidRDefault="003B37D9" w:rsidP="0081391A">
            <w:pPr>
              <w:pStyle w:val="BodyText"/>
              <w:numPr>
                <w:ilvl w:val="0"/>
                <w:numId w:val="30"/>
              </w:numPr>
              <w:spacing w:before="80" w:after="80"/>
            </w:pPr>
            <w:proofErr w:type="spellStart"/>
            <w:r w:rsidRPr="00AD4D72">
              <w:t>ss</w:t>
            </w:r>
            <w:proofErr w:type="spellEnd"/>
            <w:r w:rsidRPr="00AD4D72">
              <w:t> 91FEC (STTM information), 91FEG (capacity auction information) and 225 (BB information)</w:t>
            </w:r>
            <w:r>
              <w:t>; and</w:t>
            </w:r>
          </w:p>
          <w:p w14:paraId="5888FFB7" w14:textId="77777777" w:rsidR="003B37D9" w:rsidRPr="00AD4D72" w:rsidRDefault="003B37D9" w:rsidP="0081391A">
            <w:pPr>
              <w:pStyle w:val="BodyText"/>
              <w:numPr>
                <w:ilvl w:val="0"/>
                <w:numId w:val="30"/>
              </w:numPr>
              <w:spacing w:before="80" w:after="80"/>
            </w:pPr>
            <w:proofErr w:type="spellStart"/>
            <w:proofErr w:type="gramStart"/>
            <w:r w:rsidRPr="00AD4D72">
              <w:t>ss</w:t>
            </w:r>
            <w:proofErr w:type="spellEnd"/>
            <w:proofErr w:type="gramEnd"/>
            <w:r w:rsidRPr="00AD4D72">
              <w:t> 91FED (STTM information), 91FEH (capacity auction information) and 226 (BB information).</w:t>
            </w:r>
          </w:p>
          <w:p w14:paraId="1AC6F47D" w14:textId="77777777" w:rsidR="003B37D9" w:rsidRPr="00AD4D72" w:rsidRDefault="003B37D9" w:rsidP="00237604">
            <w:pPr>
              <w:pStyle w:val="BodyText"/>
              <w:spacing w:before="80" w:after="80"/>
            </w:pPr>
            <w:r w:rsidRPr="00AD4D72">
              <w:t xml:space="preserve">The cross reference to section 225 in the list of civil penalty provisions in s 3 </w:t>
            </w:r>
            <w:r>
              <w:t>c</w:t>
            </w:r>
            <w:r w:rsidRPr="00AD4D72">
              <w:t xml:space="preserve">ould </w:t>
            </w:r>
            <w:r>
              <w:t xml:space="preserve">also </w:t>
            </w:r>
            <w:r w:rsidRPr="00AD4D72">
              <w:t xml:space="preserve">be replaced with a cross reference to the equivalent new standalone provision.  </w:t>
            </w:r>
          </w:p>
        </w:tc>
      </w:tr>
      <w:tr w:rsidR="003B37D9" w:rsidRPr="00AD4D72" w14:paraId="603897FA" w14:textId="77777777" w:rsidTr="003E1D01">
        <w:trPr>
          <w:cnfStyle w:val="000000010000" w:firstRow="0" w:lastRow="0" w:firstColumn="0" w:lastColumn="0" w:oddVBand="0" w:evenVBand="0" w:oddHBand="0" w:evenHBand="1" w:firstRowFirstColumn="0" w:firstRowLastColumn="0" w:lastRowFirstColumn="0" w:lastRowLastColumn="0"/>
        </w:trPr>
        <w:tc>
          <w:tcPr>
            <w:tcW w:w="567" w:type="dxa"/>
          </w:tcPr>
          <w:p w14:paraId="136CE9F8" w14:textId="77777777" w:rsidR="003B37D9" w:rsidRPr="00AD4D72" w:rsidRDefault="003B37D9" w:rsidP="00EB5788">
            <w:pPr>
              <w:pStyle w:val="BodyText"/>
              <w:spacing w:before="60" w:after="60"/>
            </w:pPr>
            <w:r>
              <w:lastRenderedPageBreak/>
              <w:t>2</w:t>
            </w:r>
          </w:p>
        </w:tc>
        <w:tc>
          <w:tcPr>
            <w:tcW w:w="2368" w:type="dxa"/>
          </w:tcPr>
          <w:p w14:paraId="5458886A" w14:textId="77777777" w:rsidR="003B37D9" w:rsidRPr="00AD4D72" w:rsidRDefault="003B37D9" w:rsidP="00EB5788">
            <w:pPr>
              <w:pStyle w:val="BodyText"/>
              <w:spacing w:before="60" w:after="60"/>
            </w:pPr>
            <w:proofErr w:type="spellStart"/>
            <w:r w:rsidRPr="00AD4D72">
              <w:t>ss</w:t>
            </w:r>
            <w:proofErr w:type="spellEnd"/>
            <w:r w:rsidRPr="00AD4D72">
              <w:t xml:space="preserve"> 91FC(5), 91FC(7) and 91FE </w:t>
            </w:r>
          </w:p>
        </w:tc>
        <w:tc>
          <w:tcPr>
            <w:tcW w:w="4447" w:type="dxa"/>
          </w:tcPr>
          <w:p w14:paraId="6376229F" w14:textId="77777777" w:rsidR="003B37D9" w:rsidRPr="00AD4D72" w:rsidRDefault="003B37D9" w:rsidP="00EB5788">
            <w:pPr>
              <w:pStyle w:val="BodyText"/>
              <w:spacing w:before="60" w:after="60"/>
            </w:pPr>
            <w:r w:rsidRPr="00AD4D72">
              <w:t>There is also a degree of overlap with the market information instrument provisions. In particular:</w:t>
            </w:r>
          </w:p>
          <w:p w14:paraId="461B1EFA" w14:textId="77777777" w:rsidR="003B37D9" w:rsidRPr="00AD4D72" w:rsidRDefault="003B37D9" w:rsidP="00575F64">
            <w:pPr>
              <w:pStyle w:val="BodyText"/>
              <w:numPr>
                <w:ilvl w:val="0"/>
                <w:numId w:val="32"/>
              </w:numPr>
              <w:spacing w:before="60" w:after="60"/>
            </w:pPr>
            <w:proofErr w:type="gramStart"/>
            <w:r w:rsidRPr="00AD4D72">
              <w:t>s</w:t>
            </w:r>
            <w:proofErr w:type="gramEnd"/>
            <w:r w:rsidRPr="00AD4D72">
              <w:t> 91FC(5) provides that ‘the duty to comply with a market information instrument prevails over a duty of confidence’.  This is similar to proposed s 91DC.</w:t>
            </w:r>
          </w:p>
          <w:p w14:paraId="19804845" w14:textId="77777777" w:rsidR="003B37D9" w:rsidRPr="00AD4D72" w:rsidRDefault="003B37D9" w:rsidP="00575F64">
            <w:pPr>
              <w:pStyle w:val="BodyText"/>
              <w:numPr>
                <w:ilvl w:val="0"/>
                <w:numId w:val="32"/>
              </w:numPr>
              <w:spacing w:before="60" w:after="60"/>
            </w:pPr>
            <w:proofErr w:type="gramStart"/>
            <w:r w:rsidRPr="00AD4D72">
              <w:t>s</w:t>
            </w:r>
            <w:proofErr w:type="gramEnd"/>
            <w:r w:rsidRPr="00AD4D72">
              <w:t> 91FE is in the same terms as proposed s 91DD, except that s 91FE is a penalty provision.</w:t>
            </w:r>
          </w:p>
          <w:p w14:paraId="696144AC" w14:textId="77777777" w:rsidR="003B37D9" w:rsidRPr="00AD4D72" w:rsidRDefault="003B37D9" w:rsidP="00575F64">
            <w:pPr>
              <w:pStyle w:val="BodyText"/>
              <w:numPr>
                <w:ilvl w:val="0"/>
                <w:numId w:val="32"/>
              </w:numPr>
              <w:spacing w:before="60" w:after="60"/>
            </w:pPr>
            <w:r w:rsidRPr="00AD4D72">
              <w:t xml:space="preserve">s 91FC(7) provides that ‘a person incurs no liability, by complying with a market information instrument, for breach of contract, breach of confidence or any other civil wrong.’ Proposed s 91DE is in similar terms, but s 91FC(7) confers an absolute immunity, whereas the immunity in relation to complying with a requirement to give GSOO information </w:t>
            </w:r>
            <w:proofErr w:type="spellStart"/>
            <w:r w:rsidRPr="00AD4D72">
              <w:t>etc</w:t>
            </w:r>
            <w:proofErr w:type="spellEnd"/>
            <w:r w:rsidRPr="00AD4D72">
              <w:t xml:space="preserve"> in section 91DE does not apply if the person acted in bad faith or through negligence.</w:t>
            </w:r>
          </w:p>
        </w:tc>
        <w:tc>
          <w:tcPr>
            <w:tcW w:w="6792" w:type="dxa"/>
          </w:tcPr>
          <w:p w14:paraId="539470DF" w14:textId="77777777" w:rsidR="003B37D9" w:rsidRPr="0051660D" w:rsidRDefault="003B37D9" w:rsidP="00EB5788">
            <w:pPr>
              <w:pStyle w:val="BodyText"/>
              <w:spacing w:before="60" w:after="60"/>
            </w:pPr>
            <w:r w:rsidRPr="0051660D">
              <w:t>These aspects of the market information instruments could also be incorporated in the new standalone provisions. This could be done, for instance, by:</w:t>
            </w:r>
          </w:p>
          <w:p w14:paraId="00BAF48E" w14:textId="77777777" w:rsidR="003B37D9" w:rsidRPr="0051660D" w:rsidRDefault="003B37D9" w:rsidP="00575F64">
            <w:pPr>
              <w:pStyle w:val="BodyText"/>
              <w:numPr>
                <w:ilvl w:val="0"/>
                <w:numId w:val="33"/>
              </w:numPr>
              <w:spacing w:before="60" w:after="60"/>
            </w:pPr>
            <w:r w:rsidRPr="0051660D">
              <w:t>extending the new standalone provision modelled on proposed s 91DC to information provided in accordance with s 91FC(3); and</w:t>
            </w:r>
          </w:p>
          <w:p w14:paraId="1F44A163" w14:textId="77777777" w:rsidR="003B37D9" w:rsidRPr="0051660D" w:rsidRDefault="003B37D9" w:rsidP="00575F64">
            <w:pPr>
              <w:pStyle w:val="BodyText"/>
              <w:numPr>
                <w:ilvl w:val="0"/>
                <w:numId w:val="33"/>
              </w:numPr>
              <w:spacing w:before="60" w:after="60"/>
            </w:pPr>
            <w:r w:rsidRPr="0051660D">
              <w:t xml:space="preserve">extending the new standalone provisions modelled on proposed </w:t>
            </w:r>
            <w:proofErr w:type="spellStart"/>
            <w:r w:rsidRPr="0051660D">
              <w:t>ss</w:t>
            </w:r>
            <w:proofErr w:type="spellEnd"/>
            <w:r w:rsidRPr="0051660D">
              <w:t> 91DD and 91DE to information provided in accordance with s 91FC(3).</w:t>
            </w:r>
          </w:p>
          <w:p w14:paraId="26F0167A" w14:textId="77777777" w:rsidR="003B37D9" w:rsidRPr="0051660D" w:rsidRDefault="003B37D9" w:rsidP="00EB5788">
            <w:pPr>
              <w:pStyle w:val="BodyText"/>
              <w:spacing w:before="60" w:after="60"/>
            </w:pPr>
            <w:r w:rsidRPr="0051660D">
              <w:t>An alternative approach would be to:</w:t>
            </w:r>
          </w:p>
          <w:p w14:paraId="639B1E8C" w14:textId="77777777" w:rsidR="003B37D9" w:rsidRPr="0051660D" w:rsidRDefault="003B37D9" w:rsidP="00575F64">
            <w:pPr>
              <w:pStyle w:val="BodyText"/>
              <w:numPr>
                <w:ilvl w:val="0"/>
                <w:numId w:val="34"/>
              </w:numPr>
              <w:spacing w:before="60" w:after="60"/>
            </w:pPr>
            <w:r w:rsidRPr="0051660D">
              <w:t>make the new standalone provision modelled on proposed s 91DC apply to ‘any requirement under the NGL, the Regulations or the Rules to give information to AEMO’ (rather than to the requirements in ss. 91DB(1), 91FEA(1), 91FC(3), 91FEE(1) or 233(1)); and</w:t>
            </w:r>
          </w:p>
          <w:p w14:paraId="50EFC959" w14:textId="65DA2B12" w:rsidR="003B37D9" w:rsidRPr="0051660D" w:rsidRDefault="003B37D9" w:rsidP="00575F64">
            <w:pPr>
              <w:pStyle w:val="BodyText"/>
              <w:numPr>
                <w:ilvl w:val="0"/>
                <w:numId w:val="34"/>
              </w:numPr>
              <w:spacing w:before="60" w:after="60"/>
            </w:pPr>
            <w:r w:rsidRPr="0051660D">
              <w:t xml:space="preserve">make the new standalone provisions modelled on proposed </w:t>
            </w:r>
            <w:proofErr w:type="spellStart"/>
            <w:r w:rsidRPr="0051660D">
              <w:t>ss</w:t>
            </w:r>
            <w:proofErr w:type="spellEnd"/>
            <w:r w:rsidRPr="0051660D">
              <w:t xml:space="preserve"> 91DD and 91DE apply to any information that the person is required under the NGL, the Regulations or the Rules to give to AEMO (rather than to GSOO information </w:t>
            </w:r>
            <w:r w:rsidR="00993F89" w:rsidRPr="0051660D">
              <w:t>etc.</w:t>
            </w:r>
            <w:r w:rsidRPr="0051660D">
              <w:t>).</w:t>
            </w:r>
          </w:p>
          <w:p w14:paraId="1A0C2D75" w14:textId="77777777" w:rsidR="003B37D9" w:rsidRPr="00AD4D72" w:rsidRDefault="003B37D9" w:rsidP="00EB5788">
            <w:pPr>
              <w:pStyle w:val="BodyText"/>
              <w:spacing w:before="60" w:after="60"/>
            </w:pPr>
            <w:r w:rsidRPr="0051660D">
              <w:t>The redundant provisions could then be repealed.</w:t>
            </w:r>
            <w:r w:rsidRPr="00AD4D72">
              <w:t xml:space="preserve"> </w:t>
            </w:r>
          </w:p>
        </w:tc>
      </w:tr>
      <w:tr w:rsidR="003B37D9" w:rsidRPr="00AD4D72" w14:paraId="4EE996B9" w14:textId="77777777" w:rsidTr="003E1D01">
        <w:tc>
          <w:tcPr>
            <w:tcW w:w="567" w:type="dxa"/>
          </w:tcPr>
          <w:p w14:paraId="762B2DAE" w14:textId="77777777" w:rsidR="003B37D9" w:rsidRPr="00AD4D72" w:rsidRDefault="003B37D9" w:rsidP="004F3221">
            <w:pPr>
              <w:pStyle w:val="BodyText"/>
              <w:spacing w:before="40" w:after="40"/>
            </w:pPr>
            <w:r>
              <w:t>3</w:t>
            </w:r>
          </w:p>
        </w:tc>
        <w:tc>
          <w:tcPr>
            <w:tcW w:w="2368" w:type="dxa"/>
          </w:tcPr>
          <w:p w14:paraId="71846092" w14:textId="77777777" w:rsidR="003B37D9" w:rsidRPr="00AD4D72" w:rsidRDefault="003B37D9" w:rsidP="004F3221">
            <w:pPr>
              <w:pStyle w:val="BodyText"/>
              <w:spacing w:before="40" w:after="40"/>
            </w:pPr>
            <w:r w:rsidRPr="00AD4D72">
              <w:t>Proposed s 91DG.</w:t>
            </w:r>
          </w:p>
          <w:p w14:paraId="7E79C4AF" w14:textId="77777777" w:rsidR="003B37D9" w:rsidRPr="00AD4D72" w:rsidRDefault="003B37D9" w:rsidP="004F3221">
            <w:pPr>
              <w:pStyle w:val="BodyText"/>
              <w:spacing w:before="40" w:after="40"/>
            </w:pPr>
            <w:proofErr w:type="spellStart"/>
            <w:r w:rsidRPr="00AD4D72">
              <w:t>ss</w:t>
            </w:r>
            <w:proofErr w:type="spellEnd"/>
            <w:r w:rsidRPr="00AD4D72">
              <w:t xml:space="preserve"> 91BM, 91BRI,91BRP, 91MA, 228 </w:t>
            </w:r>
          </w:p>
        </w:tc>
        <w:tc>
          <w:tcPr>
            <w:tcW w:w="4447" w:type="dxa"/>
          </w:tcPr>
          <w:p w14:paraId="207B7353" w14:textId="77777777" w:rsidR="003B37D9" w:rsidRPr="00AD4D72" w:rsidRDefault="003B37D9" w:rsidP="004F3221">
            <w:pPr>
              <w:pStyle w:val="BodyText"/>
              <w:spacing w:before="40" w:after="40"/>
            </w:pPr>
            <w:r w:rsidRPr="00AD4D72">
              <w:t>Proposed s 91DG deals with the nature of GSOO Procedures. Everything in proposed s 91DG(3), (4) and (5) also appears in:</w:t>
            </w:r>
          </w:p>
          <w:p w14:paraId="3B03F378" w14:textId="77777777" w:rsidR="003B37D9" w:rsidRPr="00AD4D72" w:rsidRDefault="003B37D9" w:rsidP="00575F64">
            <w:pPr>
              <w:pStyle w:val="BodyText"/>
              <w:numPr>
                <w:ilvl w:val="0"/>
                <w:numId w:val="34"/>
              </w:numPr>
              <w:spacing w:before="40" w:after="40"/>
            </w:pPr>
            <w:proofErr w:type="gramStart"/>
            <w:r w:rsidRPr="00AD4D72">
              <w:t>s</w:t>
            </w:r>
            <w:proofErr w:type="gramEnd"/>
            <w:r w:rsidRPr="00AD4D72">
              <w:t xml:space="preserve"> 91BM(3), (4) and (5) (Wholesale Market Procedures)</w:t>
            </w:r>
            <w:r>
              <w:t>.</w:t>
            </w:r>
          </w:p>
          <w:p w14:paraId="21A024E7" w14:textId="77777777" w:rsidR="003B37D9" w:rsidRPr="00AD4D72" w:rsidRDefault="003B37D9" w:rsidP="00575F64">
            <w:pPr>
              <w:pStyle w:val="BodyText"/>
              <w:numPr>
                <w:ilvl w:val="0"/>
                <w:numId w:val="34"/>
              </w:numPr>
              <w:spacing w:before="40" w:after="40"/>
            </w:pPr>
            <w:proofErr w:type="gramStart"/>
            <w:r w:rsidRPr="00AD4D72">
              <w:t>s</w:t>
            </w:r>
            <w:proofErr w:type="gramEnd"/>
            <w:r w:rsidRPr="00AD4D72">
              <w:t xml:space="preserve"> 91BRI(3), (4) and (5) (STTM Procedures)</w:t>
            </w:r>
            <w:r>
              <w:t>.</w:t>
            </w:r>
          </w:p>
          <w:p w14:paraId="17B47163" w14:textId="77777777" w:rsidR="003B37D9" w:rsidRPr="00AD4D72" w:rsidRDefault="003B37D9" w:rsidP="00575F64">
            <w:pPr>
              <w:pStyle w:val="BodyText"/>
              <w:numPr>
                <w:ilvl w:val="0"/>
                <w:numId w:val="34"/>
              </w:numPr>
              <w:spacing w:before="40" w:after="40"/>
            </w:pPr>
            <w:proofErr w:type="gramStart"/>
            <w:r w:rsidRPr="00AD4D72">
              <w:t>s</w:t>
            </w:r>
            <w:proofErr w:type="gramEnd"/>
            <w:r w:rsidRPr="00AD4D72">
              <w:t xml:space="preserve"> 91BRP(3), (4) and (5) (Capacity Transfer and Auction Procedures)</w:t>
            </w:r>
            <w:r>
              <w:t>.</w:t>
            </w:r>
          </w:p>
          <w:p w14:paraId="006E90AD" w14:textId="77777777" w:rsidR="003B37D9" w:rsidRPr="00AD4D72" w:rsidRDefault="003B37D9" w:rsidP="00575F64">
            <w:pPr>
              <w:pStyle w:val="BodyText"/>
              <w:numPr>
                <w:ilvl w:val="0"/>
                <w:numId w:val="34"/>
              </w:numPr>
              <w:spacing w:before="40" w:after="40"/>
            </w:pPr>
            <w:proofErr w:type="gramStart"/>
            <w:r w:rsidRPr="00AD4D72">
              <w:t>s</w:t>
            </w:r>
            <w:proofErr w:type="gramEnd"/>
            <w:r w:rsidRPr="00AD4D72">
              <w:t xml:space="preserve"> 91MA(3), (4) and (5) (Retail Market Procedures)</w:t>
            </w:r>
            <w:r>
              <w:t>.</w:t>
            </w:r>
          </w:p>
          <w:p w14:paraId="2CB0E8AF" w14:textId="77777777" w:rsidR="003B37D9" w:rsidRPr="00AD4D72" w:rsidRDefault="003B37D9" w:rsidP="00575F64">
            <w:pPr>
              <w:pStyle w:val="BodyText"/>
              <w:numPr>
                <w:ilvl w:val="0"/>
                <w:numId w:val="34"/>
              </w:numPr>
              <w:spacing w:before="40" w:after="40"/>
            </w:pPr>
            <w:proofErr w:type="spellStart"/>
            <w:proofErr w:type="gramStart"/>
            <w:r w:rsidRPr="00AD4D72">
              <w:t>ss</w:t>
            </w:r>
            <w:proofErr w:type="spellEnd"/>
            <w:proofErr w:type="gramEnd"/>
            <w:r w:rsidRPr="00AD4D72">
              <w:t xml:space="preserve"> 228(3), (4) and (5) (BB Procedures).</w:t>
            </w:r>
          </w:p>
          <w:p w14:paraId="19DB3F05" w14:textId="77777777" w:rsidR="003B37D9" w:rsidRPr="00AD4D72" w:rsidRDefault="003B37D9" w:rsidP="004F3221">
            <w:pPr>
              <w:pStyle w:val="BodyText"/>
              <w:spacing w:before="40" w:after="40"/>
            </w:pPr>
            <w:r w:rsidRPr="00AD4D72">
              <w:t>There are differences as follows:</w:t>
            </w:r>
          </w:p>
          <w:p w14:paraId="0B0D5FB3" w14:textId="77777777" w:rsidR="003B37D9" w:rsidRPr="00AD4D72" w:rsidRDefault="003B37D9" w:rsidP="00575F64">
            <w:pPr>
              <w:pStyle w:val="BodyText"/>
              <w:numPr>
                <w:ilvl w:val="0"/>
                <w:numId w:val="34"/>
              </w:numPr>
              <w:spacing w:before="40" w:after="40"/>
            </w:pPr>
            <w:proofErr w:type="gramStart"/>
            <w:r w:rsidRPr="00AD4D72">
              <w:t>an</w:t>
            </w:r>
            <w:proofErr w:type="gramEnd"/>
            <w:r w:rsidRPr="00AD4D72">
              <w:t xml:space="preserve"> additional provision dealing with the requirement to give an indemnity is included in s 91BM(3)(d) and s 91MA(3)(e)</w:t>
            </w:r>
            <w:r>
              <w:t>.</w:t>
            </w:r>
          </w:p>
          <w:p w14:paraId="1B1D0CB1" w14:textId="77777777" w:rsidR="003B37D9" w:rsidRPr="00AD4D72" w:rsidRDefault="003B37D9" w:rsidP="00575F64">
            <w:pPr>
              <w:pStyle w:val="BodyText"/>
              <w:numPr>
                <w:ilvl w:val="0"/>
                <w:numId w:val="34"/>
              </w:numPr>
              <w:spacing w:before="40" w:after="40"/>
            </w:pPr>
            <w:proofErr w:type="gramStart"/>
            <w:r w:rsidRPr="00AD4D72">
              <w:t>s</w:t>
            </w:r>
            <w:proofErr w:type="gramEnd"/>
            <w:r w:rsidRPr="00AD4D72">
              <w:t xml:space="preserve"> 91MA(3)(a) is unique</w:t>
            </w:r>
            <w:r>
              <w:t>.</w:t>
            </w:r>
          </w:p>
          <w:p w14:paraId="447C960A" w14:textId="77777777" w:rsidR="003B37D9" w:rsidRPr="00AD4D72" w:rsidRDefault="003B37D9" w:rsidP="004F3221">
            <w:pPr>
              <w:pStyle w:val="BodyText"/>
              <w:spacing w:before="40" w:after="40"/>
            </w:pPr>
            <w:r w:rsidRPr="00AD4D72">
              <w:lastRenderedPageBreak/>
              <w:t>In addition</w:t>
            </w:r>
            <w:r>
              <w:t>,</w:t>
            </w:r>
            <w:r w:rsidRPr="00AD4D72">
              <w:t xml:space="preserve"> there are variations in how proposed s 91DG(3)(c) is mirrored in the other provisions: </w:t>
            </w:r>
          </w:p>
          <w:p w14:paraId="7A94D482" w14:textId="77777777" w:rsidR="003B37D9" w:rsidRPr="00AD4D72" w:rsidRDefault="003B37D9" w:rsidP="00575F64">
            <w:pPr>
              <w:pStyle w:val="BodyText"/>
              <w:numPr>
                <w:ilvl w:val="0"/>
                <w:numId w:val="35"/>
              </w:numPr>
              <w:spacing w:before="40" w:after="40"/>
            </w:pPr>
            <w:proofErr w:type="gramStart"/>
            <w:r w:rsidRPr="00AD4D72">
              <w:t>s</w:t>
            </w:r>
            <w:proofErr w:type="gramEnd"/>
            <w:r w:rsidRPr="00AD4D72">
              <w:t xml:space="preserve"> 91BM(3)(c) provides that the Wholesale Market Procedures may confer rights or impose obligations on ‘Registered participants, exempted participants, or other persons’</w:t>
            </w:r>
            <w:r>
              <w:t>.</w:t>
            </w:r>
            <w:r w:rsidRPr="00AD4D72">
              <w:t xml:space="preserve"> </w:t>
            </w:r>
          </w:p>
          <w:p w14:paraId="3AA983B3" w14:textId="77777777" w:rsidR="003B37D9" w:rsidRPr="00AD4D72" w:rsidRDefault="003B37D9" w:rsidP="00575F64">
            <w:pPr>
              <w:pStyle w:val="BodyText"/>
              <w:numPr>
                <w:ilvl w:val="0"/>
                <w:numId w:val="35"/>
              </w:numPr>
              <w:spacing w:before="40" w:after="40"/>
            </w:pPr>
            <w:proofErr w:type="gramStart"/>
            <w:r w:rsidRPr="00AD4D72">
              <w:t>s</w:t>
            </w:r>
            <w:proofErr w:type="gramEnd"/>
            <w:r w:rsidRPr="00AD4D72">
              <w:t xml:space="preserve"> 91BRI(3)(c) provides that the STTM Procedures may confer rights or impose obligations on ‘STTM trading participants, exempted participants, or other persons’</w:t>
            </w:r>
            <w:r>
              <w:t>.</w:t>
            </w:r>
            <w:r w:rsidRPr="00AD4D72">
              <w:t xml:space="preserve"> </w:t>
            </w:r>
          </w:p>
          <w:p w14:paraId="142E4944" w14:textId="77777777" w:rsidR="003B37D9" w:rsidRPr="00AD4D72" w:rsidRDefault="003B37D9" w:rsidP="00575F64">
            <w:pPr>
              <w:pStyle w:val="BodyText"/>
              <w:numPr>
                <w:ilvl w:val="0"/>
                <w:numId w:val="35"/>
              </w:numPr>
              <w:spacing w:before="40" w:after="40"/>
            </w:pPr>
            <w:r w:rsidRPr="00AD4D72">
              <w:t>s 91BRP(3)(c) provides that the Capacity Transfer and Auction Procedures may confer rights or impose obligations on ‘a transportation service provider, a transportation facility user, a capacity auction participant or a gas trading exchange member’</w:t>
            </w:r>
            <w:r>
              <w:t>.</w:t>
            </w:r>
          </w:p>
          <w:p w14:paraId="4EBD6402" w14:textId="77777777" w:rsidR="003B37D9" w:rsidRPr="00AD4D72" w:rsidRDefault="003B37D9" w:rsidP="00575F64">
            <w:pPr>
              <w:pStyle w:val="BodyText"/>
              <w:numPr>
                <w:ilvl w:val="0"/>
                <w:numId w:val="35"/>
              </w:numPr>
              <w:spacing w:before="40" w:after="40"/>
            </w:pPr>
            <w:proofErr w:type="gramStart"/>
            <w:r w:rsidRPr="00AD4D72">
              <w:t>s</w:t>
            </w:r>
            <w:proofErr w:type="gramEnd"/>
            <w:r w:rsidRPr="00AD4D72">
              <w:t> 91MA(3)(d) provides that the Retail Market Procedures may confer rights or impose obligations on ‘Registered Participants, exempted participants, users, end users or other persons’.</w:t>
            </w:r>
          </w:p>
        </w:tc>
        <w:tc>
          <w:tcPr>
            <w:tcW w:w="6792" w:type="dxa"/>
          </w:tcPr>
          <w:p w14:paraId="52B2844E" w14:textId="77777777" w:rsidR="003B37D9" w:rsidRPr="00AD4D72" w:rsidRDefault="003B37D9" w:rsidP="004F3221">
            <w:pPr>
              <w:pStyle w:val="BodyText"/>
              <w:spacing w:before="40" w:after="40"/>
            </w:pPr>
            <w:r>
              <w:lastRenderedPageBreak/>
              <w:t xml:space="preserve">The following changes could be made to reduce the </w:t>
            </w:r>
            <w:r w:rsidRPr="00AD4D72">
              <w:t>duplication</w:t>
            </w:r>
            <w:r>
              <w:t xml:space="preserve"> across these provisions</w:t>
            </w:r>
            <w:r w:rsidRPr="00AD4D72">
              <w:t>:</w:t>
            </w:r>
          </w:p>
          <w:p w14:paraId="258A8D8A" w14:textId="77777777" w:rsidR="003B37D9" w:rsidRPr="00AD4D72" w:rsidRDefault="003B37D9" w:rsidP="00575F64">
            <w:pPr>
              <w:pStyle w:val="BodyText"/>
              <w:numPr>
                <w:ilvl w:val="0"/>
                <w:numId w:val="34"/>
              </w:numPr>
              <w:spacing w:before="40" w:after="40"/>
            </w:pPr>
            <w:r w:rsidRPr="00AD4D72">
              <w:t xml:space="preserve">A new standalone provision in Division 11 of Part 6 of Chapter 2 </w:t>
            </w:r>
            <w:r>
              <w:t>c</w:t>
            </w:r>
            <w:r w:rsidRPr="00AD4D72">
              <w:t xml:space="preserve">ould apply to all AEMO Procedures (covering the Wholesale Market Procedures, the STTM Procedures, the Capacity Transfer and Auction Procedures, the Retail Market Procedures, the BB Procedures and the GSOO Procedures) </w:t>
            </w:r>
          </w:p>
          <w:p w14:paraId="4F649B82" w14:textId="77777777" w:rsidR="003B37D9" w:rsidRPr="00AD4D72" w:rsidRDefault="003B37D9" w:rsidP="00575F64">
            <w:pPr>
              <w:pStyle w:val="BodyText"/>
              <w:numPr>
                <w:ilvl w:val="0"/>
                <w:numId w:val="34"/>
              </w:numPr>
              <w:spacing w:before="40" w:after="40"/>
            </w:pPr>
            <w:r w:rsidRPr="00AD4D72">
              <w:t xml:space="preserve">The new standalone provision </w:t>
            </w:r>
            <w:r>
              <w:t>c</w:t>
            </w:r>
            <w:r w:rsidRPr="00AD4D72">
              <w:t>ould be based on proposed s </w:t>
            </w:r>
            <w:proofErr w:type="gramStart"/>
            <w:r w:rsidRPr="00AD4D72">
              <w:t>91DG(</w:t>
            </w:r>
            <w:proofErr w:type="gramEnd"/>
            <w:r w:rsidRPr="00AD4D72">
              <w:t>3), (4) and (5).</w:t>
            </w:r>
          </w:p>
          <w:p w14:paraId="61AEA2CA" w14:textId="77777777" w:rsidR="003B37D9" w:rsidRPr="00AD4D72" w:rsidRDefault="003B37D9" w:rsidP="00575F64">
            <w:pPr>
              <w:pStyle w:val="BodyText"/>
              <w:numPr>
                <w:ilvl w:val="0"/>
                <w:numId w:val="34"/>
              </w:numPr>
              <w:spacing w:before="40" w:after="40"/>
            </w:pPr>
            <w:r w:rsidRPr="00AD4D72">
              <w:t>The equivalent of s 91DG(3)(c) in the new standalone provision should state that:</w:t>
            </w:r>
          </w:p>
          <w:p w14:paraId="03A8140D" w14:textId="77777777" w:rsidR="003B37D9" w:rsidRPr="00AD4D72" w:rsidRDefault="003B37D9" w:rsidP="00575F64">
            <w:pPr>
              <w:pStyle w:val="BodyText"/>
              <w:numPr>
                <w:ilvl w:val="0"/>
                <w:numId w:val="27"/>
              </w:numPr>
              <w:spacing w:before="40" w:after="40"/>
            </w:pPr>
            <w:r w:rsidRPr="00AD4D72">
              <w:t>the Capacity Transfer and Auction Procedures may confer rights or impose obligations on a transportation service provider, a transportation facility user, a capacity auction participant or a gas trading exchange member; and</w:t>
            </w:r>
          </w:p>
          <w:p w14:paraId="6215E314" w14:textId="77777777" w:rsidR="003B37D9" w:rsidRPr="00AD4D72" w:rsidRDefault="003B37D9" w:rsidP="00575F64">
            <w:pPr>
              <w:pStyle w:val="BodyText"/>
              <w:numPr>
                <w:ilvl w:val="0"/>
                <w:numId w:val="27"/>
              </w:numPr>
              <w:spacing w:before="40" w:after="40"/>
            </w:pPr>
            <w:proofErr w:type="gramStart"/>
            <w:r w:rsidRPr="00AD4D72">
              <w:t>all</w:t>
            </w:r>
            <w:proofErr w:type="gramEnd"/>
            <w:r w:rsidRPr="00AD4D72">
              <w:t xml:space="preserve"> other Procedures may confer rights or impose obligations on any person</w:t>
            </w:r>
            <w:r>
              <w:t>.</w:t>
            </w:r>
          </w:p>
          <w:p w14:paraId="7CB5647B" w14:textId="77777777" w:rsidR="003B37D9" w:rsidRPr="00241F5E" w:rsidRDefault="003B37D9" w:rsidP="00575F64">
            <w:pPr>
              <w:pStyle w:val="BodyText"/>
              <w:numPr>
                <w:ilvl w:val="0"/>
                <w:numId w:val="26"/>
              </w:numPr>
              <w:spacing w:before="40" w:after="40"/>
            </w:pPr>
            <w:r w:rsidRPr="00241F5E">
              <w:lastRenderedPageBreak/>
              <w:t xml:space="preserve">The equivalent of s </w:t>
            </w:r>
            <w:proofErr w:type="gramStart"/>
            <w:r w:rsidRPr="00241F5E">
              <w:t>91BM(</w:t>
            </w:r>
            <w:proofErr w:type="gramEnd"/>
            <w:r w:rsidRPr="00241F5E">
              <w:t>3)(d) and 91MA(3)(e) could be moved into the new standalone provision, but expressed to apply only to the Wholesale Market Procedures and Retail Market Procedures</w:t>
            </w:r>
            <w:r w:rsidR="00241F5E">
              <w:t>.</w:t>
            </w:r>
            <w:r w:rsidRPr="00241F5E">
              <w:t xml:space="preserve">  </w:t>
            </w:r>
          </w:p>
          <w:p w14:paraId="55DCCA4E" w14:textId="77777777" w:rsidR="003B37D9" w:rsidRPr="00AD4D72" w:rsidRDefault="003B37D9" w:rsidP="00575F64">
            <w:pPr>
              <w:pStyle w:val="BodyText"/>
              <w:numPr>
                <w:ilvl w:val="0"/>
                <w:numId w:val="26"/>
              </w:numPr>
              <w:spacing w:before="40" w:after="40"/>
            </w:pPr>
            <w:r w:rsidRPr="00AD4D72">
              <w:t xml:space="preserve">The following sections </w:t>
            </w:r>
            <w:r>
              <w:t>c</w:t>
            </w:r>
            <w:r w:rsidRPr="00AD4D72">
              <w:t>ould be deleted and replaced with provisions that states that the new standalone provision applies to the relevant Procedures:</w:t>
            </w:r>
          </w:p>
          <w:p w14:paraId="1249E37D" w14:textId="77777777" w:rsidR="003B37D9" w:rsidRPr="00AD4D72" w:rsidRDefault="003B37D9" w:rsidP="00575F64">
            <w:pPr>
              <w:pStyle w:val="BodyText"/>
              <w:numPr>
                <w:ilvl w:val="0"/>
                <w:numId w:val="28"/>
              </w:numPr>
              <w:spacing w:before="40" w:after="40"/>
            </w:pPr>
            <w:proofErr w:type="spellStart"/>
            <w:proofErr w:type="gramStart"/>
            <w:r w:rsidRPr="00AD4D72">
              <w:t>ss</w:t>
            </w:r>
            <w:proofErr w:type="spellEnd"/>
            <w:proofErr w:type="gramEnd"/>
            <w:r w:rsidRPr="00AD4D72">
              <w:t> 91BM(3), (4) and (5)</w:t>
            </w:r>
            <w:r>
              <w:t>.</w:t>
            </w:r>
          </w:p>
          <w:p w14:paraId="37A8DB06" w14:textId="77777777" w:rsidR="003B37D9" w:rsidRPr="00AD4D72" w:rsidRDefault="003B37D9" w:rsidP="00575F64">
            <w:pPr>
              <w:pStyle w:val="BodyText"/>
              <w:numPr>
                <w:ilvl w:val="0"/>
                <w:numId w:val="28"/>
              </w:numPr>
              <w:spacing w:before="40" w:after="40"/>
            </w:pPr>
            <w:proofErr w:type="spellStart"/>
            <w:proofErr w:type="gramStart"/>
            <w:r w:rsidRPr="00AD4D72">
              <w:t>ss</w:t>
            </w:r>
            <w:proofErr w:type="spellEnd"/>
            <w:proofErr w:type="gramEnd"/>
            <w:r w:rsidRPr="00AD4D72">
              <w:t> 91BRI(3), (4) and (5)</w:t>
            </w:r>
            <w:r>
              <w:t>.</w:t>
            </w:r>
          </w:p>
          <w:p w14:paraId="63E739E3" w14:textId="77777777" w:rsidR="003B37D9" w:rsidRPr="00AD4D72" w:rsidRDefault="003B37D9" w:rsidP="00575F64">
            <w:pPr>
              <w:pStyle w:val="BodyText"/>
              <w:numPr>
                <w:ilvl w:val="0"/>
                <w:numId w:val="28"/>
              </w:numPr>
              <w:spacing w:before="40" w:after="40"/>
            </w:pPr>
            <w:proofErr w:type="spellStart"/>
            <w:proofErr w:type="gramStart"/>
            <w:r w:rsidRPr="00AD4D72">
              <w:t>ss</w:t>
            </w:r>
            <w:proofErr w:type="spellEnd"/>
            <w:proofErr w:type="gramEnd"/>
            <w:r w:rsidRPr="00AD4D72">
              <w:t> 91BRP(3), (4) and (5)</w:t>
            </w:r>
            <w:r>
              <w:t>.</w:t>
            </w:r>
          </w:p>
          <w:p w14:paraId="38A4A8F5" w14:textId="77777777" w:rsidR="003B37D9" w:rsidRPr="00AD4D72" w:rsidRDefault="003B37D9" w:rsidP="00575F64">
            <w:pPr>
              <w:pStyle w:val="BodyText"/>
              <w:numPr>
                <w:ilvl w:val="0"/>
                <w:numId w:val="28"/>
              </w:numPr>
              <w:spacing w:before="40" w:after="40"/>
            </w:pPr>
            <w:proofErr w:type="gramStart"/>
            <w:r w:rsidRPr="00AD4D72">
              <w:t>proposed</w:t>
            </w:r>
            <w:proofErr w:type="gramEnd"/>
            <w:r w:rsidRPr="00AD4D72">
              <w:t xml:space="preserve"> new </w:t>
            </w:r>
            <w:proofErr w:type="spellStart"/>
            <w:r w:rsidRPr="00AD4D72">
              <w:t>ss</w:t>
            </w:r>
            <w:proofErr w:type="spellEnd"/>
            <w:r w:rsidRPr="00AD4D72">
              <w:t> 91DG(3), (4) and (5) (in the draft Bill)</w:t>
            </w:r>
            <w:r>
              <w:t>.</w:t>
            </w:r>
          </w:p>
          <w:p w14:paraId="1FF2A3A3" w14:textId="77777777" w:rsidR="003B37D9" w:rsidRPr="00AD4D72" w:rsidRDefault="003B37D9" w:rsidP="00575F64">
            <w:pPr>
              <w:pStyle w:val="BodyText"/>
              <w:numPr>
                <w:ilvl w:val="0"/>
                <w:numId w:val="28"/>
              </w:numPr>
              <w:spacing w:before="40" w:after="40"/>
            </w:pPr>
            <w:proofErr w:type="spellStart"/>
            <w:proofErr w:type="gramStart"/>
            <w:r w:rsidRPr="00AD4D72">
              <w:t>ss</w:t>
            </w:r>
            <w:proofErr w:type="spellEnd"/>
            <w:proofErr w:type="gramEnd"/>
            <w:r w:rsidRPr="00AD4D72">
              <w:t> 228(3), (4) and (5).</w:t>
            </w:r>
          </w:p>
          <w:p w14:paraId="3A7C5585" w14:textId="77777777" w:rsidR="003B37D9" w:rsidRPr="00AD4D72" w:rsidRDefault="003B37D9" w:rsidP="00575F64">
            <w:pPr>
              <w:pStyle w:val="BodyText"/>
              <w:numPr>
                <w:ilvl w:val="0"/>
                <w:numId w:val="26"/>
              </w:numPr>
              <w:spacing w:before="40" w:after="40"/>
            </w:pPr>
            <w:proofErr w:type="spellStart"/>
            <w:r>
              <w:t>s</w:t>
            </w:r>
            <w:r w:rsidRPr="00AD4D72">
              <w:t>s</w:t>
            </w:r>
            <w:proofErr w:type="spellEnd"/>
            <w:r w:rsidRPr="00AD4D72">
              <w:t xml:space="preserve"> 91MA(3), (4) and (5) </w:t>
            </w:r>
            <w:r>
              <w:t>c</w:t>
            </w:r>
            <w:r w:rsidRPr="00AD4D72">
              <w:t>ould be deleted and replaced with a provision that provides that the Retail Market Procedures may apply to regulated retail gas markets generally or any 1 or more the regulated retail gas markets (i.e. s 91MA(3)(a)), and that otherwise, the new standalone provision applies to the Procedures.</w:t>
            </w:r>
          </w:p>
        </w:tc>
      </w:tr>
      <w:tr w:rsidR="00661ADD" w:rsidRPr="00AD4D72" w14:paraId="04D89D90" w14:textId="77777777" w:rsidTr="00661ADD">
        <w:trPr>
          <w:cnfStyle w:val="000000010000" w:firstRow="0" w:lastRow="0" w:firstColumn="0" w:lastColumn="0" w:oddVBand="0" w:evenVBand="0" w:oddHBand="0" w:evenHBand="1" w:firstRowFirstColumn="0" w:firstRowLastColumn="0" w:lastRowFirstColumn="0" w:lastRowLastColumn="0"/>
          <w:trHeight w:val="3593"/>
        </w:trPr>
        <w:tc>
          <w:tcPr>
            <w:tcW w:w="567" w:type="dxa"/>
            <w:vMerge w:val="restart"/>
          </w:tcPr>
          <w:p w14:paraId="72481504" w14:textId="77777777" w:rsidR="00661ADD" w:rsidRPr="00AD4D72" w:rsidRDefault="00661ADD" w:rsidP="00EB5788">
            <w:pPr>
              <w:pStyle w:val="BodyText"/>
              <w:spacing w:before="60" w:after="60"/>
            </w:pPr>
            <w:r>
              <w:lastRenderedPageBreak/>
              <w:t>4</w:t>
            </w:r>
          </w:p>
        </w:tc>
        <w:tc>
          <w:tcPr>
            <w:tcW w:w="2368" w:type="dxa"/>
            <w:vMerge w:val="restart"/>
          </w:tcPr>
          <w:p w14:paraId="525B242D" w14:textId="77777777" w:rsidR="00661ADD" w:rsidRPr="00AD4D72" w:rsidRDefault="00661ADD" w:rsidP="00EB5788">
            <w:pPr>
              <w:pStyle w:val="BodyText"/>
              <w:spacing w:before="60" w:after="60"/>
            </w:pPr>
            <w:r w:rsidRPr="00AD4D72">
              <w:t>Compliance with AEMO Procedures</w:t>
            </w:r>
          </w:p>
        </w:tc>
        <w:tc>
          <w:tcPr>
            <w:tcW w:w="4447" w:type="dxa"/>
          </w:tcPr>
          <w:p w14:paraId="0D87B794" w14:textId="77777777" w:rsidR="00661ADD" w:rsidRPr="00AD4D72" w:rsidRDefault="00661ADD" w:rsidP="00EB5788">
            <w:pPr>
              <w:pStyle w:val="BodyText"/>
              <w:spacing w:before="60" w:after="60"/>
            </w:pPr>
            <w:r w:rsidRPr="00AD4D72">
              <w:t>Proposed s 91DH deals with compliance with the GSOO Procedures. It is in identical terms to s 228A (BB Procedures).</w:t>
            </w:r>
          </w:p>
          <w:p w14:paraId="2A9A6B74" w14:textId="77777777" w:rsidR="00661ADD" w:rsidRPr="00AD4D72" w:rsidRDefault="00661ADD" w:rsidP="00EB5788">
            <w:pPr>
              <w:pStyle w:val="BodyText"/>
              <w:spacing w:before="60" w:after="60"/>
            </w:pPr>
            <w:r>
              <w:t xml:space="preserve">These sections are similar to other provisions dealing with compliance with other AEMO Procedures, including the STTM, Wholesale Market, Capacity Transfer and Auction, and Retail Market procedures. There are, however, also some differences. For example: </w:t>
            </w:r>
          </w:p>
          <w:p w14:paraId="01190DF2" w14:textId="77777777" w:rsidR="00661ADD" w:rsidRPr="00AD4D72" w:rsidRDefault="00661ADD" w:rsidP="00011B88">
            <w:pPr>
              <w:pStyle w:val="BodyText"/>
              <w:numPr>
                <w:ilvl w:val="0"/>
                <w:numId w:val="36"/>
              </w:numPr>
              <w:spacing w:before="60" w:after="60"/>
            </w:pPr>
            <w:proofErr w:type="spellStart"/>
            <w:proofErr w:type="gramStart"/>
            <w:r w:rsidRPr="00AD4D72">
              <w:t>ss</w:t>
            </w:r>
            <w:proofErr w:type="spellEnd"/>
            <w:proofErr w:type="gramEnd"/>
            <w:r w:rsidRPr="00AD4D72">
              <w:t xml:space="preserve"> 91DH(2) and 228A(2) provide that a person is not required to comply with the relevant Procedures to the extent of any inconsistency with an applicable access arrangement. Of the other provisions, only s 91MB(2) (Retail Market Procedures) has the same provision</w:t>
            </w:r>
          </w:p>
          <w:p w14:paraId="3938B75C" w14:textId="77777777" w:rsidR="00661ADD" w:rsidRPr="00661ADD" w:rsidRDefault="00661ADD" w:rsidP="00661ADD">
            <w:pPr>
              <w:pStyle w:val="BodyText"/>
              <w:numPr>
                <w:ilvl w:val="0"/>
                <w:numId w:val="36"/>
              </w:numPr>
              <w:spacing w:before="60" w:after="60"/>
            </w:pPr>
            <w:proofErr w:type="spellStart"/>
            <w:r w:rsidRPr="00AD4D72">
              <w:lastRenderedPageBreak/>
              <w:t>ss</w:t>
            </w:r>
            <w:proofErr w:type="spellEnd"/>
            <w:r w:rsidRPr="00AD4D72">
              <w:t xml:space="preserve"> 91DH(3) and (4) and 228(3) and (4) provide that if AEMO has reason to believe that a person is not complying </w:t>
            </w:r>
            <w:r>
              <w:t xml:space="preserve">with </w:t>
            </w:r>
            <w:r w:rsidRPr="00AD4D72">
              <w:t>the GSOO</w:t>
            </w:r>
            <w:r>
              <w:t xml:space="preserve"> or </w:t>
            </w:r>
            <w:r w:rsidRPr="00AD4D72">
              <w:t xml:space="preserve">BB Procedures, it may, by notice in writing, direct the person to comply with the Procedures, and the person must do so. The other provisions require AEMO to determine whether the breach is material or not, and then make separate provision for how material and non-material breaches are dealt with. These other provisions are identical, </w:t>
            </w:r>
            <w:r>
              <w:t>except</w:t>
            </w:r>
            <w:r w:rsidRPr="00AD4D72">
              <w:t xml:space="preserve"> that s </w:t>
            </w:r>
            <w:proofErr w:type="gramStart"/>
            <w:r w:rsidRPr="00AD4D72">
              <w:t>91BRQ(</w:t>
            </w:r>
            <w:proofErr w:type="gramEnd"/>
            <w:r w:rsidRPr="00AD4D72">
              <w:t>7) does not require AEMO to publish its decision that a breach of the Capacity Transfer and Auction Procedures is non-material on its website.</w:t>
            </w:r>
          </w:p>
        </w:tc>
        <w:tc>
          <w:tcPr>
            <w:tcW w:w="6792" w:type="dxa"/>
          </w:tcPr>
          <w:p w14:paraId="4FDF11F9" w14:textId="77777777" w:rsidR="00661ADD" w:rsidRPr="0061293F" w:rsidRDefault="00661ADD" w:rsidP="00EB5788">
            <w:pPr>
              <w:pStyle w:val="BodyText"/>
              <w:spacing w:before="60" w:after="60"/>
            </w:pPr>
            <w:r w:rsidRPr="0061293F">
              <w:lastRenderedPageBreak/>
              <w:t>To remove some of this duplication, two new standalone provisions could be created in Division 11 of Part 6 of Chapter 2 that could operate as follows:</w:t>
            </w:r>
          </w:p>
          <w:p w14:paraId="3BC162B0" w14:textId="252160FD" w:rsidR="00661ADD" w:rsidRPr="0061293F" w:rsidRDefault="00661ADD" w:rsidP="00C94A07">
            <w:pPr>
              <w:pStyle w:val="BodyText"/>
              <w:numPr>
                <w:ilvl w:val="0"/>
                <w:numId w:val="41"/>
              </w:numPr>
              <w:spacing w:before="60" w:after="60"/>
              <w:ind w:left="442" w:hanging="357"/>
            </w:pPr>
            <w:r w:rsidRPr="0061293F">
              <w:t>One provision could deal with compliance with the Wholesale Market Procedures, the STTM Procedures, the Capacity Transfer and Auction Procedures and the Retail Market Procedures and would</w:t>
            </w:r>
            <w:r w:rsidR="001325C7">
              <w:t xml:space="preserve"> align the following provisions so the same approach is taken for all Procedures</w:t>
            </w:r>
            <w:r w:rsidRPr="0061293F">
              <w:t>:</w:t>
            </w:r>
          </w:p>
          <w:p w14:paraId="04F3BCA1" w14:textId="74B7818F" w:rsidR="00661ADD" w:rsidRPr="0061293F" w:rsidRDefault="001325C7" w:rsidP="00C94A07">
            <w:pPr>
              <w:pStyle w:val="BodyText"/>
              <w:numPr>
                <w:ilvl w:val="0"/>
                <w:numId w:val="42"/>
              </w:numPr>
              <w:spacing w:before="60" w:after="60"/>
              <w:ind w:left="799" w:hanging="357"/>
            </w:pPr>
            <w:r>
              <w:t xml:space="preserve">remove all provisions that </w:t>
            </w:r>
            <w:r w:rsidR="00661ADD" w:rsidRPr="0061293F">
              <w:t>state that a person is not required to comply with the relevant Procedures to the extent of any inconsistency with an applicable access arrangement; and</w:t>
            </w:r>
          </w:p>
          <w:p w14:paraId="159812EE" w14:textId="5E321A44" w:rsidR="00661ADD" w:rsidRPr="0061293F" w:rsidRDefault="00BC26E3" w:rsidP="00C94A07">
            <w:pPr>
              <w:pStyle w:val="BodyText"/>
              <w:numPr>
                <w:ilvl w:val="0"/>
                <w:numId w:val="42"/>
              </w:numPr>
              <w:spacing w:before="60" w:after="60"/>
              <w:ind w:left="799" w:hanging="357"/>
            </w:pPr>
            <w:proofErr w:type="gramStart"/>
            <w:r>
              <w:t>provide</w:t>
            </w:r>
            <w:proofErr w:type="gramEnd"/>
            <w:r>
              <w:t xml:space="preserve"> in all cases for </w:t>
            </w:r>
            <w:r w:rsidR="00661ADD" w:rsidRPr="0061293F">
              <w:t>AEMO to publish its decision that a breach of Procedures is non-material on its website.</w:t>
            </w:r>
          </w:p>
          <w:p w14:paraId="061AEEE9" w14:textId="77777777" w:rsidR="00661ADD" w:rsidRPr="0061293F" w:rsidRDefault="00661ADD" w:rsidP="00C94A07">
            <w:pPr>
              <w:pStyle w:val="BodyText"/>
              <w:numPr>
                <w:ilvl w:val="0"/>
                <w:numId w:val="41"/>
              </w:numPr>
              <w:spacing w:before="60" w:after="60"/>
              <w:ind w:left="442" w:hanging="357"/>
            </w:pPr>
            <w:r w:rsidRPr="0061293F">
              <w:t>Another provision could deal with compliance with the GSOO and BB Procedures.</w:t>
            </w:r>
          </w:p>
          <w:p w14:paraId="524C07D5" w14:textId="77777777" w:rsidR="00661ADD" w:rsidRPr="00AD4D72" w:rsidRDefault="00661ADD" w:rsidP="00EB5788">
            <w:pPr>
              <w:pStyle w:val="BodyText"/>
              <w:spacing w:before="60" w:after="60"/>
            </w:pPr>
            <w:r w:rsidRPr="00AD4D72">
              <w:lastRenderedPageBreak/>
              <w:t xml:space="preserve">The following provisions could be deleted, and notes inserted in </w:t>
            </w:r>
            <w:proofErr w:type="spellStart"/>
            <w:r w:rsidRPr="00AD4D72">
              <w:t>ss</w:t>
            </w:r>
            <w:proofErr w:type="spellEnd"/>
            <w:r w:rsidRPr="00AD4D72">
              <w:t xml:space="preserve"> 91BM, 91BRI, 91BRP, 91DG, 91MA and 228 to the effect that compliance with the relevant Procedures is dealt with in the new standalone provisions:</w:t>
            </w:r>
          </w:p>
          <w:p w14:paraId="49D55025" w14:textId="77777777" w:rsidR="00661ADD" w:rsidRPr="00AD4D72" w:rsidRDefault="00661ADD" w:rsidP="00575F64">
            <w:pPr>
              <w:pStyle w:val="BodyText"/>
              <w:numPr>
                <w:ilvl w:val="0"/>
                <w:numId w:val="38"/>
              </w:numPr>
              <w:spacing w:before="60" w:after="60"/>
            </w:pPr>
            <w:proofErr w:type="gramStart"/>
            <w:r w:rsidRPr="00AD4D72">
              <w:t>s</w:t>
            </w:r>
            <w:proofErr w:type="gramEnd"/>
            <w:r w:rsidRPr="00AD4D72">
              <w:t> 91BN</w:t>
            </w:r>
            <w:r>
              <w:t>.</w:t>
            </w:r>
          </w:p>
          <w:p w14:paraId="17706626" w14:textId="77777777" w:rsidR="00661ADD" w:rsidRPr="00AD4D72" w:rsidRDefault="00661ADD" w:rsidP="00575F64">
            <w:pPr>
              <w:pStyle w:val="BodyText"/>
              <w:numPr>
                <w:ilvl w:val="0"/>
                <w:numId w:val="38"/>
              </w:numPr>
              <w:spacing w:before="60" w:after="60"/>
            </w:pPr>
            <w:proofErr w:type="gramStart"/>
            <w:r w:rsidRPr="00AD4D72">
              <w:t>s</w:t>
            </w:r>
            <w:proofErr w:type="gramEnd"/>
            <w:r w:rsidRPr="00AD4D72">
              <w:t> 91BRJ</w:t>
            </w:r>
            <w:r>
              <w:t>.</w:t>
            </w:r>
          </w:p>
          <w:p w14:paraId="4E0B76F4" w14:textId="77777777" w:rsidR="00661ADD" w:rsidRPr="00AD4D72" w:rsidRDefault="00661ADD" w:rsidP="00575F64">
            <w:pPr>
              <w:pStyle w:val="BodyText"/>
              <w:numPr>
                <w:ilvl w:val="0"/>
                <w:numId w:val="38"/>
              </w:numPr>
              <w:spacing w:before="60" w:after="60"/>
            </w:pPr>
            <w:proofErr w:type="gramStart"/>
            <w:r w:rsidRPr="00AD4D72">
              <w:t>s</w:t>
            </w:r>
            <w:proofErr w:type="gramEnd"/>
            <w:r w:rsidRPr="00AD4D72">
              <w:t> 91BRQ</w:t>
            </w:r>
            <w:r>
              <w:t>.</w:t>
            </w:r>
          </w:p>
          <w:p w14:paraId="28DF3C7E" w14:textId="77777777" w:rsidR="00661ADD" w:rsidRPr="00AD4D72" w:rsidRDefault="00661ADD" w:rsidP="00575F64">
            <w:pPr>
              <w:pStyle w:val="BodyText"/>
              <w:numPr>
                <w:ilvl w:val="0"/>
                <w:numId w:val="38"/>
              </w:numPr>
              <w:spacing w:before="60" w:after="60"/>
            </w:pPr>
            <w:proofErr w:type="gramStart"/>
            <w:r w:rsidRPr="00AD4D72">
              <w:t>proposed</w:t>
            </w:r>
            <w:proofErr w:type="gramEnd"/>
            <w:r w:rsidRPr="00AD4D72">
              <w:t xml:space="preserve"> new s 91DH (in the draft Bill)</w:t>
            </w:r>
            <w:r>
              <w:t>.</w:t>
            </w:r>
          </w:p>
          <w:p w14:paraId="17207D0D" w14:textId="77777777" w:rsidR="00661ADD" w:rsidRPr="00AD4D72" w:rsidRDefault="00661ADD" w:rsidP="00575F64">
            <w:pPr>
              <w:pStyle w:val="BodyText"/>
              <w:numPr>
                <w:ilvl w:val="0"/>
                <w:numId w:val="38"/>
              </w:numPr>
              <w:spacing w:before="60" w:after="60"/>
            </w:pPr>
            <w:proofErr w:type="gramStart"/>
            <w:r w:rsidRPr="00AD4D72">
              <w:t>s</w:t>
            </w:r>
            <w:proofErr w:type="gramEnd"/>
            <w:r w:rsidRPr="00AD4D72">
              <w:t> 91MB</w:t>
            </w:r>
            <w:r>
              <w:t>.</w:t>
            </w:r>
          </w:p>
          <w:p w14:paraId="546A15F1" w14:textId="77777777" w:rsidR="00661ADD" w:rsidRPr="001D38A0" w:rsidRDefault="00661ADD" w:rsidP="001D38A0">
            <w:pPr>
              <w:pStyle w:val="BodyText"/>
              <w:numPr>
                <w:ilvl w:val="0"/>
                <w:numId w:val="38"/>
              </w:numPr>
              <w:spacing w:before="60" w:after="60"/>
            </w:pPr>
            <w:proofErr w:type="gramStart"/>
            <w:r w:rsidRPr="00AD4D72">
              <w:t>s</w:t>
            </w:r>
            <w:proofErr w:type="gramEnd"/>
            <w:r w:rsidRPr="00AD4D72">
              <w:t> 228A.</w:t>
            </w:r>
          </w:p>
        </w:tc>
      </w:tr>
      <w:tr w:rsidR="001D38A0" w:rsidRPr="00AD4D72" w14:paraId="6945C2BB" w14:textId="77777777" w:rsidTr="001D38A0">
        <w:trPr>
          <w:trHeight w:val="5519"/>
        </w:trPr>
        <w:tc>
          <w:tcPr>
            <w:tcW w:w="567" w:type="dxa"/>
            <w:vMerge/>
            <w:shd w:val="clear" w:color="auto" w:fill="E1E2E7" w:themeFill="background2"/>
          </w:tcPr>
          <w:p w14:paraId="05215D15" w14:textId="77777777" w:rsidR="001D38A0" w:rsidRDefault="001D38A0" w:rsidP="00EB5788">
            <w:pPr>
              <w:pStyle w:val="BodyText"/>
              <w:spacing w:before="60" w:after="60"/>
            </w:pPr>
          </w:p>
        </w:tc>
        <w:tc>
          <w:tcPr>
            <w:tcW w:w="2368" w:type="dxa"/>
            <w:vMerge/>
            <w:shd w:val="clear" w:color="auto" w:fill="E1E2E7" w:themeFill="background2"/>
          </w:tcPr>
          <w:p w14:paraId="6BFC91D8" w14:textId="77777777" w:rsidR="001D38A0" w:rsidRPr="00AD4D72" w:rsidRDefault="001D38A0" w:rsidP="00EB5788">
            <w:pPr>
              <w:pStyle w:val="BodyText"/>
              <w:spacing w:before="60" w:after="60"/>
            </w:pPr>
          </w:p>
        </w:tc>
        <w:tc>
          <w:tcPr>
            <w:tcW w:w="4447" w:type="dxa"/>
            <w:shd w:val="clear" w:color="auto" w:fill="E1E2E7" w:themeFill="background2"/>
          </w:tcPr>
          <w:p w14:paraId="5373F38B" w14:textId="77777777" w:rsidR="001D38A0" w:rsidRDefault="001D38A0" w:rsidP="00661ADD">
            <w:pPr>
              <w:rPr>
                <w:rFonts w:eastAsiaTheme="minorHAnsi" w:cs="Arial"/>
                <w:szCs w:val="18"/>
                <w:lang w:eastAsia="fr-CA"/>
              </w:rPr>
            </w:pPr>
            <w:r w:rsidRPr="009D4813">
              <w:rPr>
                <w:rFonts w:eastAsiaTheme="minorHAnsi" w:cs="Arial"/>
                <w:szCs w:val="18"/>
                <w:lang w:eastAsia="fr-CA"/>
              </w:rPr>
              <w:t>Sections 91DH</w:t>
            </w:r>
            <w:r>
              <w:rPr>
                <w:rFonts w:eastAsiaTheme="minorHAnsi" w:cs="Arial"/>
                <w:szCs w:val="18"/>
                <w:lang w:eastAsia="fr-CA"/>
              </w:rPr>
              <w:t>(2)</w:t>
            </w:r>
            <w:r w:rsidRPr="009D4813">
              <w:rPr>
                <w:rFonts w:eastAsiaTheme="minorHAnsi" w:cs="Arial"/>
                <w:szCs w:val="18"/>
                <w:lang w:eastAsia="fr-CA"/>
              </w:rPr>
              <w:t xml:space="preserve"> of the draft Bill mirrors section 228A</w:t>
            </w:r>
            <w:r>
              <w:rPr>
                <w:rFonts w:eastAsiaTheme="minorHAnsi" w:cs="Arial"/>
                <w:szCs w:val="18"/>
                <w:lang w:eastAsia="fr-CA"/>
              </w:rPr>
              <w:t>(2)</w:t>
            </w:r>
            <w:r w:rsidRPr="009D4813">
              <w:rPr>
                <w:rFonts w:eastAsiaTheme="minorHAnsi" w:cs="Arial"/>
                <w:szCs w:val="18"/>
                <w:lang w:eastAsia="fr-CA"/>
              </w:rPr>
              <w:t xml:space="preserve"> of the NGL, which states the following:</w:t>
            </w:r>
          </w:p>
          <w:p w14:paraId="225300E0" w14:textId="77777777" w:rsidR="001D38A0" w:rsidRPr="001D38A0" w:rsidRDefault="001D38A0" w:rsidP="00661ADD">
            <w:pPr>
              <w:rPr>
                <w:rFonts w:eastAsiaTheme="minorHAnsi" w:cs="Arial"/>
                <w:i/>
                <w:iCs/>
                <w:szCs w:val="18"/>
                <w:lang w:eastAsia="fr-CA"/>
              </w:rPr>
            </w:pPr>
            <w:r w:rsidRPr="001D38A0">
              <w:rPr>
                <w:rFonts w:eastAsiaTheme="minorHAnsi"/>
                <w:i/>
                <w:iCs/>
                <w:szCs w:val="18"/>
                <w:lang w:eastAsia="fr-CA"/>
              </w:rPr>
              <w:t>“…if there is an inconsistency between an applicable access arrangement and the BB Procedures, a person is, to the extent of the inconsistency, not required to comply with the BB Procedures.”</w:t>
            </w:r>
          </w:p>
          <w:p w14:paraId="655561FF" w14:textId="1646CAAA" w:rsidR="001D38A0" w:rsidRPr="009D4813" w:rsidRDefault="001D38A0" w:rsidP="00661ADD">
            <w:pPr>
              <w:rPr>
                <w:rFonts w:eastAsiaTheme="minorHAnsi" w:cs="Arial"/>
                <w:szCs w:val="18"/>
                <w:lang w:eastAsia="fr-CA"/>
              </w:rPr>
            </w:pPr>
            <w:r>
              <w:rPr>
                <w:rFonts w:eastAsiaTheme="minorHAnsi" w:cs="Arial"/>
                <w:szCs w:val="18"/>
                <w:lang w:eastAsia="fr-CA"/>
              </w:rPr>
              <w:t xml:space="preserve">It is, </w:t>
            </w:r>
            <w:r w:rsidRPr="009D4813">
              <w:rPr>
                <w:rFonts w:eastAsiaTheme="minorHAnsi" w:cs="Arial"/>
                <w:szCs w:val="18"/>
                <w:lang w:eastAsia="fr-CA"/>
              </w:rPr>
              <w:t xml:space="preserve">however, unclear whether sub-section (2) is required in either section 228A or 91DH. Specifically, it is unclear in what circumstances there would be an inconsistency </w:t>
            </w:r>
            <w:r w:rsidR="001325C7">
              <w:rPr>
                <w:rFonts w:eastAsiaTheme="minorHAnsi" w:cs="Arial"/>
                <w:szCs w:val="18"/>
                <w:lang w:eastAsia="fr-CA"/>
              </w:rPr>
              <w:t xml:space="preserve">(rather than a mere overlap, for example in relation to forecasts) </w:t>
            </w:r>
            <w:r w:rsidRPr="009D4813">
              <w:rPr>
                <w:rFonts w:eastAsiaTheme="minorHAnsi" w:cs="Arial"/>
                <w:szCs w:val="18"/>
                <w:lang w:eastAsia="fr-CA"/>
              </w:rPr>
              <w:t xml:space="preserve">between a full regulation pipeline service provider’s access arrangement and either the Bulletin Board or GSOO Procedures, and if this should be a reason for the service provider not to comply with these procedures. </w:t>
            </w:r>
          </w:p>
          <w:p w14:paraId="179D5E90" w14:textId="77777777" w:rsidR="001D38A0" w:rsidRPr="00AD4D72" w:rsidRDefault="001D38A0" w:rsidP="00661ADD">
            <w:pPr>
              <w:pStyle w:val="BodyText"/>
              <w:spacing w:before="60" w:after="60"/>
            </w:pPr>
            <w:r w:rsidRPr="009D4813">
              <w:rPr>
                <w:rFonts w:eastAsiaTheme="minorHAnsi" w:cs="Arial"/>
                <w:szCs w:val="18"/>
                <w:lang w:eastAsia="fr-CA"/>
              </w:rPr>
              <w:t>We are therefore interested in obtaining stakeholders’ views on whether or not this sub-section should be retained in these two sections. If you think it should be retained, please outline the circumstances in which you think it would be likely to be operable and what the risks would be to removing this sub-section.</w:t>
            </w:r>
          </w:p>
        </w:tc>
        <w:tc>
          <w:tcPr>
            <w:tcW w:w="6792" w:type="dxa"/>
            <w:shd w:val="clear" w:color="auto" w:fill="E1E2E7" w:themeFill="background2"/>
          </w:tcPr>
          <w:p w14:paraId="0B417582" w14:textId="77777777" w:rsidR="001D38A0" w:rsidRPr="00AD4D72" w:rsidRDefault="001D38A0" w:rsidP="00EB5788">
            <w:pPr>
              <w:pStyle w:val="BodyText"/>
              <w:spacing w:before="60" w:after="60"/>
            </w:pPr>
          </w:p>
        </w:tc>
      </w:tr>
    </w:tbl>
    <w:p w14:paraId="344C7D37" w14:textId="77777777" w:rsidR="00FA330B" w:rsidRPr="004F3221" w:rsidRDefault="00FA330B" w:rsidP="004F3221">
      <w:pPr>
        <w:pStyle w:val="BodyText"/>
        <w:rPr>
          <w:sz w:val="2"/>
          <w:szCs w:val="2"/>
        </w:rPr>
      </w:pPr>
    </w:p>
    <w:sectPr w:rsidR="00FA330B" w:rsidRPr="004F3221" w:rsidSect="004F3221">
      <w:pgSz w:w="16839" w:h="11907" w:orient="landscape" w:code="9"/>
      <w:pgMar w:top="1440" w:right="1440" w:bottom="993" w:left="1440" w:header="567" w:footer="27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5373C" w16cex:dateUtc="2020-07-07T01:49:00Z"/>
  <w16cex:commentExtensible w16cex:durableId="22AEDFCF" w16cex:dateUtc="2020-07-07T01:49:00Z"/>
  <w16cex:commentExtensible w16cex:durableId="22AEE024" w16cex:dateUtc="2020-07-07T0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A7D3AD" w16cid:durableId="22D4D913"/>
  <w16cid:commentId w16cid:paraId="31EA75F5" w16cid:durableId="22AED5A8"/>
  <w16cid:commentId w16cid:paraId="2C500762" w16cid:durableId="22D4D916"/>
  <w16cid:commentId w16cid:paraId="7DEA5033" w16cid:durableId="22B1D8CD"/>
  <w16cid:commentId w16cid:paraId="6B0C2636" w16cid:durableId="22AED5AC"/>
  <w16cid:commentId w16cid:paraId="47908CE9" w16cid:durableId="22D4D919"/>
  <w16cid:commentId w16cid:paraId="28378DF2" w16cid:durableId="22D5373C"/>
  <w16cid:commentId w16cid:paraId="764D4D02" w16cid:durableId="22D5373B"/>
  <w16cid:commentId w16cid:paraId="75A7251B" w16cid:durableId="22AEDFCF"/>
  <w16cid:commentId w16cid:paraId="4527554C" w16cid:durableId="22B1D8D0"/>
  <w16cid:commentId w16cid:paraId="4C22CC1E" w16cid:durableId="22AED5AD"/>
  <w16cid:commentId w16cid:paraId="6DFD8751" w16cid:durableId="22AED5AE"/>
  <w16cid:commentId w16cid:paraId="43BDA5CD" w16cid:durableId="22AEE024"/>
  <w16cid:commentId w16cid:paraId="7CB2D665" w16cid:durableId="22B1D8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4DDDB" w14:textId="77777777" w:rsidR="00F5622C" w:rsidRDefault="00F5622C" w:rsidP="00256624">
      <w:r>
        <w:separator/>
      </w:r>
    </w:p>
    <w:p w14:paraId="173FDEF9" w14:textId="77777777" w:rsidR="00F5622C" w:rsidRDefault="00F5622C"/>
  </w:endnote>
  <w:endnote w:type="continuationSeparator" w:id="0">
    <w:p w14:paraId="71EA723A" w14:textId="77777777" w:rsidR="00F5622C" w:rsidRDefault="00F5622C" w:rsidP="00256624">
      <w:r>
        <w:continuationSeparator/>
      </w:r>
    </w:p>
    <w:p w14:paraId="4A2D179A" w14:textId="77777777" w:rsidR="00F5622C" w:rsidRDefault="00F5622C"/>
  </w:endnote>
  <w:endnote w:type="continuationNotice" w:id="1">
    <w:p w14:paraId="7C271FEE" w14:textId="77777777" w:rsidR="00F5622C" w:rsidRDefault="00F562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Gotham Light">
    <w:altName w:val="Calibri"/>
    <w:panose1 w:val="00000000000000000000"/>
    <w:charset w:val="00"/>
    <w:family w:val="swiss"/>
    <w:notTrueType/>
    <w:pitch w:val="default"/>
    <w:sig w:usb0="00000003" w:usb1="00000000" w:usb2="00000000" w:usb3="00000000" w:csb0="00000001" w:csb1="00000000"/>
  </w:font>
  <w:font w:name="ArialMT">
    <w:altName w:val="Times New Roman"/>
    <w:charset w:val="00"/>
    <w:family w:val="auto"/>
    <w:pitch w:val="default"/>
  </w:font>
  <w:font w:name="Myriad Pro">
    <w:altName w:val="Arial"/>
    <w:panose1 w:val="00000000000000000000"/>
    <w:charset w:val="00"/>
    <w:family w:val="swiss"/>
    <w:notTrueType/>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Demi Cond">
    <w:panose1 w:val="020B07060304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1B0E8" w14:textId="77777777" w:rsidR="00F5622C" w:rsidRDefault="00F5622C">
    <w:pPr>
      <w:pStyle w:val="Footer"/>
    </w:pPr>
    <w:bookmarkStart w:id="0" w:name="_Hlk491874953"/>
    <w:bookmarkStart w:id="1" w:name="_Hlk491874954"/>
    <w:bookmarkStart w:id="2" w:name="_Hlk491874955"/>
    <w:bookmarkStart w:id="3" w:name="_Hlk492057950"/>
    <w:bookmarkStart w:id="4" w:name="_Hlk492057951"/>
    <w:bookmarkStart w:id="5" w:name="_Hlk492057952"/>
    <w:bookmarkStart w:id="6" w:name="_Hlk492112249"/>
    <w:bookmarkStart w:id="7" w:name="_Hlk492112250"/>
    <w:bookmarkStart w:id="8" w:name="_Hlk492112251"/>
    <w:bookmarkStart w:id="9" w:name="_Hlk508461632"/>
    <w:bookmarkStart w:id="10" w:name="_Hlk508461633"/>
    <w:bookmarkStart w:id="11" w:name="_Hlk508797780"/>
    <w:bookmarkStart w:id="12" w:name="_Hlk508797781"/>
    <w:bookmarkEnd w:id="0"/>
    <w:bookmarkEnd w:id="1"/>
    <w:bookmarkEnd w:id="2"/>
    <w:bookmarkEnd w:id="3"/>
    <w:bookmarkEnd w:id="4"/>
    <w:bookmarkEnd w:id="5"/>
    <w:bookmarkEnd w:id="6"/>
    <w:bookmarkEnd w:id="7"/>
    <w:bookmarkEnd w:id="8"/>
    <w:bookmarkEnd w:id="9"/>
    <w:bookmarkEnd w:id="10"/>
    <w:bookmarkEnd w:id="11"/>
    <w:bookmarkEnd w:id="1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FC552" w14:textId="77777777" w:rsidR="00F5622C" w:rsidRDefault="00F562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2587F" w14:textId="77777777" w:rsidR="00F5622C" w:rsidRDefault="00F5622C">
    <w:pPr>
      <w:pStyle w:val="Footer"/>
    </w:pPr>
    <w:bookmarkStart w:id="13" w:name="_Hlk491874947"/>
    <w:bookmarkStart w:id="14" w:name="_Hlk491874948"/>
    <w:bookmarkStart w:id="15" w:name="_Hlk491874949"/>
    <w:bookmarkStart w:id="16" w:name="_Hlk492057944"/>
    <w:bookmarkStart w:id="17" w:name="_Hlk492057945"/>
    <w:bookmarkStart w:id="18" w:name="_Hlk492057946"/>
    <w:bookmarkStart w:id="19" w:name="_Hlk492112243"/>
    <w:bookmarkStart w:id="20" w:name="_Hlk492112244"/>
    <w:bookmarkStart w:id="21" w:name="_Hlk492112245"/>
    <w:bookmarkStart w:id="22" w:name="_Hlk508461628"/>
    <w:bookmarkStart w:id="23" w:name="_Hlk508461629"/>
    <w:bookmarkStart w:id="24" w:name="_Hlk508797771"/>
    <w:bookmarkStart w:id="25" w:name="_Hlk508797772"/>
    <w:bookmarkEnd w:id="13"/>
    <w:bookmarkEnd w:id="14"/>
    <w:bookmarkEnd w:id="15"/>
    <w:bookmarkEnd w:id="16"/>
    <w:bookmarkEnd w:id="17"/>
    <w:bookmarkEnd w:id="18"/>
    <w:bookmarkEnd w:id="19"/>
    <w:bookmarkEnd w:id="20"/>
    <w:bookmarkEnd w:id="21"/>
    <w:bookmarkEnd w:id="22"/>
    <w:bookmarkEnd w:id="23"/>
    <w:bookmarkEnd w:id="24"/>
    <w:bookmarkEnd w:id="25"/>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83C81" w14:textId="77777777" w:rsidR="00F5622C" w:rsidRDefault="00F5622C" w:rsidP="003D512C">
    <w:pPr>
      <w:pStyle w:val="Footer"/>
      <w:pBdr>
        <w:top w:val="single" w:sz="4" w:space="1" w:color="0099CC"/>
      </w:pBdr>
      <w:spacing w:line="80" w:lineRule="exact"/>
    </w:pPr>
  </w:p>
  <w:p w14:paraId="13D5E952" w14:textId="77777777" w:rsidR="00F5622C" w:rsidRPr="003B6692" w:rsidRDefault="00F5622C" w:rsidP="003B6692">
    <w:pPr>
      <w:pStyle w:val="Footer"/>
    </w:pPr>
    <w:r>
      <w:fldChar w:fldCharType="begin"/>
    </w:r>
    <w:r>
      <w:instrText xml:space="preserve"> PAGE   \* MERGEFORMAT </w:instrText>
    </w:r>
    <w:r>
      <w:fldChar w:fldCharType="separate"/>
    </w:r>
    <w:r w:rsidR="00107827">
      <w:rPr>
        <w:noProof/>
      </w:rPr>
      <w:t>ii</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BC8A0" w14:textId="77777777" w:rsidR="00F5622C" w:rsidRDefault="00F5622C" w:rsidP="00852D52">
    <w:pPr>
      <w:pStyle w:val="Footer"/>
      <w:pBdr>
        <w:top w:val="single" w:sz="4" w:space="1" w:color="0099CC"/>
      </w:pBdr>
      <w:spacing w:line="80" w:lineRule="exact"/>
    </w:pPr>
  </w:p>
  <w:p w14:paraId="55EC77D8" w14:textId="77777777" w:rsidR="00F5622C" w:rsidRDefault="00F5622C" w:rsidP="004B3D51">
    <w:pPr>
      <w:pStyle w:val="Footer"/>
    </w:pPr>
    <w:r>
      <w:fldChar w:fldCharType="begin"/>
    </w:r>
    <w:r>
      <w:instrText xml:space="preserve"> PAGE   \* MERGEFORMAT </w:instrText>
    </w:r>
    <w:r>
      <w:fldChar w:fldCharType="separate"/>
    </w:r>
    <w:r w:rsidR="00107827">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DCD21" w14:textId="77777777" w:rsidR="00F5622C" w:rsidRPr="0022372B" w:rsidRDefault="00F5622C" w:rsidP="0022372B">
      <w:pPr>
        <w:pStyle w:val="Footer"/>
        <w:spacing w:after="80" w:line="240" w:lineRule="auto"/>
        <w:jc w:val="left"/>
        <w:rPr>
          <w:color w:val="A9A8A9" w:themeColor="accent4"/>
          <w:sz w:val="16"/>
          <w:szCs w:val="16"/>
        </w:rPr>
      </w:pPr>
      <w:r w:rsidRPr="0022372B">
        <w:rPr>
          <w:color w:val="A9A8A9" w:themeColor="accent4"/>
          <w:sz w:val="16"/>
          <w:szCs w:val="16"/>
        </w:rPr>
        <w:t>_________________________________</w:t>
      </w:r>
    </w:p>
  </w:footnote>
  <w:footnote w:type="continuationSeparator" w:id="0">
    <w:p w14:paraId="4C5BE724" w14:textId="77777777" w:rsidR="00F5622C" w:rsidRPr="0022372B" w:rsidRDefault="00F5622C" w:rsidP="0022372B">
      <w:pPr>
        <w:pStyle w:val="Footer"/>
        <w:spacing w:after="80" w:line="240" w:lineRule="auto"/>
        <w:jc w:val="left"/>
        <w:rPr>
          <w:color w:val="A9A8A9" w:themeColor="accent4"/>
          <w:sz w:val="16"/>
          <w:szCs w:val="16"/>
        </w:rPr>
      </w:pPr>
      <w:r w:rsidRPr="0022372B">
        <w:rPr>
          <w:color w:val="A9A8A9" w:themeColor="accent4"/>
          <w:sz w:val="16"/>
          <w:szCs w:val="16"/>
        </w:rPr>
        <w:t>_________________________________</w:t>
      </w:r>
    </w:p>
  </w:footnote>
  <w:footnote w:type="continuationNotice" w:id="1">
    <w:p w14:paraId="4A8A4722" w14:textId="77777777" w:rsidR="00F5622C" w:rsidRPr="00A176B6" w:rsidRDefault="00F5622C" w:rsidP="00A176B6">
      <w:pPr>
        <w:spacing w:line="160" w:lineRule="exact"/>
        <w:rPr>
          <w:sz w:val="16"/>
          <w:szCs w:val="16"/>
        </w:rPr>
      </w:pPr>
    </w:p>
  </w:footnote>
  <w:footnote w:id="2">
    <w:p w14:paraId="1882B5B9" w14:textId="77777777" w:rsidR="00F5622C" w:rsidRPr="00F026C8" w:rsidRDefault="00F5622C" w:rsidP="00FF4E7D">
      <w:pPr>
        <w:pStyle w:val="FootnoteText"/>
        <w:rPr>
          <w:lang w:val="en-US"/>
        </w:rPr>
      </w:pPr>
      <w:r>
        <w:rPr>
          <w:rStyle w:val="FootnoteReference"/>
        </w:rPr>
        <w:footnoteRef/>
      </w:r>
      <w:r>
        <w:t xml:space="preserve"> </w:t>
      </w:r>
      <w:r>
        <w:tab/>
        <w:t xml:space="preserve">Available at:  </w:t>
      </w:r>
      <w:hyperlink r:id="rId1" w:history="1">
        <w:r w:rsidRPr="007C08B1">
          <w:rPr>
            <w:rStyle w:val="Hyperlink"/>
          </w:rPr>
          <w:t>https://prod-energycouncil.energy.slicedtech.com.au/sites/prod.energycouncil/files/publications/documents/Gas%20Transparency%20Measures%20DRIS.pdf_0.pdf</w:t>
        </w:r>
      </w:hyperlink>
      <w:r>
        <w:t xml:space="preserve"> </w:t>
      </w:r>
    </w:p>
  </w:footnote>
  <w:footnote w:id="3">
    <w:p w14:paraId="69824B47" w14:textId="77777777" w:rsidR="00F5622C" w:rsidRPr="00245A01" w:rsidRDefault="00F5622C">
      <w:pPr>
        <w:pStyle w:val="FootnoteText"/>
        <w:rPr>
          <w:lang w:val="en-US"/>
        </w:rPr>
      </w:pPr>
      <w:r>
        <w:rPr>
          <w:rStyle w:val="FootnoteReference"/>
        </w:rPr>
        <w:footnoteRef/>
      </w:r>
      <w:r>
        <w:t xml:space="preserve"> </w:t>
      </w:r>
      <w:r>
        <w:rPr>
          <w:lang w:val="en-US"/>
        </w:rPr>
        <w:tab/>
      </w:r>
      <w:r w:rsidRPr="00245A01">
        <w:rPr>
          <w:lang w:val="en-US"/>
        </w:rPr>
        <w:t>The background is described in detail in the Decision RIS and the</w:t>
      </w:r>
      <w:r>
        <w:rPr>
          <w:lang w:val="en-US"/>
        </w:rPr>
        <w:t xml:space="preserve"> Consultation RIS.</w:t>
      </w:r>
    </w:p>
  </w:footnote>
  <w:footnote w:id="4">
    <w:p w14:paraId="468ED12A" w14:textId="77777777" w:rsidR="00F5622C" w:rsidRPr="00245A01" w:rsidRDefault="00F5622C">
      <w:pPr>
        <w:pStyle w:val="FootnoteText"/>
        <w:rPr>
          <w:lang w:val="en-US"/>
        </w:rPr>
      </w:pPr>
      <w:r>
        <w:rPr>
          <w:rStyle w:val="FootnoteReference"/>
        </w:rPr>
        <w:footnoteRef/>
      </w:r>
      <w:r>
        <w:t xml:space="preserve"> </w:t>
      </w:r>
      <w:r>
        <w:rPr>
          <w:lang w:val="en-US"/>
        </w:rPr>
        <w:tab/>
        <w:t xml:space="preserve">The changes are described with reference to the current Law, Regulation and Rules. A package of draft changes was also issued with the Consultation RIS, but these were based on Option 3 in the Consultation RIS. </w:t>
      </w:r>
    </w:p>
  </w:footnote>
  <w:footnote w:id="5">
    <w:p w14:paraId="6FFB0116" w14:textId="77777777" w:rsidR="00F5622C" w:rsidRPr="005F3484" w:rsidRDefault="00F5622C" w:rsidP="00B27579">
      <w:pPr>
        <w:pStyle w:val="FootnoteText"/>
        <w:rPr>
          <w:lang w:val="en-US"/>
        </w:rPr>
      </w:pPr>
      <w:r>
        <w:rPr>
          <w:rStyle w:val="FootnoteReference"/>
        </w:rPr>
        <w:footnoteRef/>
      </w:r>
      <w:r>
        <w:t xml:space="preserve"> </w:t>
      </w:r>
      <w:r>
        <w:tab/>
      </w:r>
      <w:r>
        <w:rPr>
          <w:lang w:val="en-US"/>
        </w:rPr>
        <w:t>Each participating jurisdiction may also make regulations that apply as regulations under the application legislation of the participating jurisdiction.</w:t>
      </w:r>
    </w:p>
  </w:footnote>
  <w:footnote w:id="6">
    <w:p w14:paraId="0B65981D" w14:textId="77777777" w:rsidR="00F5622C" w:rsidRPr="00F97640" w:rsidRDefault="00F5622C" w:rsidP="003016D8">
      <w:pPr>
        <w:pStyle w:val="FootnoteText"/>
        <w:rPr>
          <w:lang w:val="en-US"/>
        </w:rPr>
      </w:pPr>
      <w:r>
        <w:rPr>
          <w:rStyle w:val="FootnoteReference"/>
        </w:rPr>
        <w:footnoteRef/>
      </w:r>
      <w:r>
        <w:t xml:space="preserve"> </w:t>
      </w:r>
      <w:r>
        <w:tab/>
      </w:r>
      <w:r>
        <w:rPr>
          <w:lang w:val="en-US"/>
        </w:rPr>
        <w:t>NGL Chapter 7.</w:t>
      </w:r>
    </w:p>
  </w:footnote>
  <w:footnote w:id="7">
    <w:p w14:paraId="53895265" w14:textId="77777777" w:rsidR="00F5622C" w:rsidRDefault="00F5622C">
      <w:pPr>
        <w:pStyle w:val="FootnoteText"/>
      </w:pPr>
      <w:r>
        <w:rPr>
          <w:rStyle w:val="FootnoteReference"/>
        </w:rPr>
        <w:footnoteRef/>
      </w:r>
      <w:r>
        <w:t xml:space="preserve"> </w:t>
      </w:r>
      <w:r>
        <w:tab/>
        <w:t xml:space="preserve">As part of this process these transitional rules will be moved into Part 18 of the NGR. </w:t>
      </w:r>
    </w:p>
  </w:footnote>
  <w:footnote w:id="8">
    <w:p w14:paraId="562ADFEE" w14:textId="77777777" w:rsidR="00F5622C" w:rsidRPr="00F97640" w:rsidRDefault="00F5622C" w:rsidP="003016D8">
      <w:pPr>
        <w:pStyle w:val="FootnoteText"/>
        <w:rPr>
          <w:lang w:val="en-US"/>
        </w:rPr>
      </w:pPr>
      <w:r>
        <w:rPr>
          <w:rStyle w:val="FootnoteReference"/>
        </w:rPr>
        <w:footnoteRef/>
      </w:r>
      <w:r>
        <w:t xml:space="preserve"> </w:t>
      </w:r>
      <w:r>
        <w:tab/>
      </w:r>
      <w:r>
        <w:rPr>
          <w:lang w:val="en-US"/>
        </w:rPr>
        <w:t>NGL sections 91D and 91DA.</w:t>
      </w:r>
    </w:p>
  </w:footnote>
  <w:footnote w:id="9">
    <w:p w14:paraId="45DD953D" w14:textId="77777777" w:rsidR="00F5622C" w:rsidRPr="002E1302" w:rsidRDefault="00F5622C">
      <w:pPr>
        <w:pStyle w:val="FootnoteText"/>
        <w:rPr>
          <w:lang w:val="en-US"/>
        </w:rPr>
      </w:pPr>
      <w:r>
        <w:rPr>
          <w:rStyle w:val="FootnoteReference"/>
        </w:rPr>
        <w:footnoteRef/>
      </w:r>
      <w:r>
        <w:t xml:space="preserve"> </w:t>
      </w:r>
      <w:r>
        <w:tab/>
      </w:r>
      <w:r>
        <w:rPr>
          <w:lang w:val="en-US"/>
        </w:rPr>
        <w:t>Subdivision 2 of Division 4 of Chapter 2 of the NGL.</w:t>
      </w:r>
    </w:p>
  </w:footnote>
  <w:footnote w:id="10">
    <w:p w14:paraId="60B30E97" w14:textId="77777777" w:rsidR="00F5622C" w:rsidRPr="002E1302" w:rsidRDefault="00F5622C" w:rsidP="007A3600">
      <w:pPr>
        <w:pStyle w:val="FootnoteText"/>
        <w:rPr>
          <w:lang w:val="en-US"/>
        </w:rPr>
      </w:pPr>
      <w:r>
        <w:rPr>
          <w:rStyle w:val="FootnoteReference"/>
        </w:rPr>
        <w:footnoteRef/>
      </w:r>
      <w:r>
        <w:t xml:space="preserve"> </w:t>
      </w:r>
      <w:r>
        <w:tab/>
      </w:r>
      <w:r w:rsidRPr="002E1302">
        <w:t>The AER has a general information gathering power under section 42 that is not subject to the same restriction</w:t>
      </w:r>
      <w:r>
        <w:t>s</w:t>
      </w:r>
      <w:r w:rsidRPr="002E1302">
        <w:t>. Under section</w:t>
      </w:r>
      <w:r>
        <w:t xml:space="preserve"> 42</w:t>
      </w:r>
      <w:r w:rsidRPr="002E1302">
        <w:t>, the AER has power to give a notice to a person that the AER has reason to believe is capable of providing information or producing a document that the AER requires for the performance or exercise of a function or power conferred on it under the Law or the Rules.</w:t>
      </w:r>
    </w:p>
  </w:footnote>
  <w:footnote w:id="11">
    <w:p w14:paraId="504390FE" w14:textId="77777777" w:rsidR="00F5622C" w:rsidRPr="002E1302" w:rsidRDefault="00F5622C">
      <w:pPr>
        <w:pStyle w:val="FootnoteText"/>
        <w:rPr>
          <w:lang w:val="en-US"/>
        </w:rPr>
      </w:pPr>
      <w:r>
        <w:rPr>
          <w:rStyle w:val="FootnoteReference"/>
        </w:rPr>
        <w:footnoteRef/>
      </w:r>
      <w:r>
        <w:t xml:space="preserve"> </w:t>
      </w:r>
      <w:r>
        <w:tab/>
      </w:r>
      <w:r>
        <w:rPr>
          <w:lang w:val="en-US"/>
        </w:rPr>
        <w:t>NGL section 50.</w:t>
      </w:r>
    </w:p>
  </w:footnote>
  <w:footnote w:id="12">
    <w:p w14:paraId="4B1E4DD1" w14:textId="77777777" w:rsidR="00F5622C" w:rsidRPr="002E1302" w:rsidRDefault="00F5622C">
      <w:pPr>
        <w:pStyle w:val="FootnoteText"/>
        <w:rPr>
          <w:lang w:val="en-US"/>
        </w:rPr>
      </w:pPr>
      <w:r>
        <w:rPr>
          <w:rStyle w:val="FootnoteReference"/>
        </w:rPr>
        <w:footnoteRef/>
      </w:r>
      <w:r>
        <w:t xml:space="preserve"> </w:t>
      </w:r>
      <w:r>
        <w:tab/>
      </w:r>
      <w:r>
        <w:rPr>
          <w:lang w:val="en-US"/>
        </w:rPr>
        <w:t>NGL section 57A.</w:t>
      </w:r>
    </w:p>
  </w:footnote>
  <w:footnote w:id="13">
    <w:p w14:paraId="649C3A31" w14:textId="77777777" w:rsidR="00F5622C" w:rsidRPr="00040BDC" w:rsidRDefault="00F5622C">
      <w:pPr>
        <w:pStyle w:val="FootnoteText"/>
        <w:rPr>
          <w:lang w:val="en-US"/>
        </w:rPr>
      </w:pPr>
      <w:r>
        <w:rPr>
          <w:rStyle w:val="FootnoteReference"/>
        </w:rPr>
        <w:footnoteRef/>
      </w:r>
      <w:r>
        <w:t xml:space="preserve"> </w:t>
      </w:r>
      <w:r>
        <w:tab/>
      </w:r>
      <w:r>
        <w:rPr>
          <w:lang w:val="en-US"/>
        </w:rPr>
        <w:t xml:space="preserve">NGL section </w:t>
      </w:r>
      <w:proofErr w:type="gramStart"/>
      <w:r>
        <w:rPr>
          <w:lang w:val="en-US"/>
        </w:rPr>
        <w:t>57B(</w:t>
      </w:r>
      <w:proofErr w:type="gramEnd"/>
      <w:r>
        <w:rPr>
          <w:lang w:val="en-US"/>
        </w:rPr>
        <w:t>b).</w:t>
      </w:r>
    </w:p>
  </w:footnote>
  <w:footnote w:id="14">
    <w:p w14:paraId="58715FE3" w14:textId="77777777" w:rsidR="00F5622C" w:rsidRPr="00040BDC" w:rsidRDefault="00F5622C">
      <w:pPr>
        <w:pStyle w:val="FootnoteText"/>
        <w:rPr>
          <w:lang w:val="en-US"/>
        </w:rPr>
      </w:pPr>
      <w:r>
        <w:rPr>
          <w:rStyle w:val="FootnoteReference"/>
        </w:rPr>
        <w:footnoteRef/>
      </w:r>
      <w:r>
        <w:t xml:space="preserve"> </w:t>
      </w:r>
      <w:r>
        <w:tab/>
      </w:r>
      <w:r>
        <w:rPr>
          <w:lang w:val="en-US"/>
        </w:rPr>
        <w:t>NGL sections 328 and 328B.</w:t>
      </w:r>
    </w:p>
  </w:footnote>
  <w:footnote w:id="15">
    <w:p w14:paraId="10786B7F" w14:textId="77777777" w:rsidR="00F5622C" w:rsidRPr="00040BDC" w:rsidRDefault="00F5622C">
      <w:pPr>
        <w:pStyle w:val="FootnoteText"/>
        <w:rPr>
          <w:lang w:val="en-US"/>
        </w:rPr>
      </w:pPr>
      <w:r>
        <w:rPr>
          <w:rStyle w:val="FootnoteReference"/>
        </w:rPr>
        <w:footnoteRef/>
      </w:r>
      <w:r>
        <w:t xml:space="preserve"> </w:t>
      </w:r>
      <w:r>
        <w:tab/>
      </w:r>
      <w:r>
        <w:rPr>
          <w:lang w:val="en-US"/>
        </w:rPr>
        <w:t>NGL section 30.</w:t>
      </w:r>
    </w:p>
  </w:footnote>
  <w:footnote w:id="16">
    <w:p w14:paraId="76C0AD6B" w14:textId="77777777" w:rsidR="00F5622C" w:rsidRPr="00101AD0" w:rsidRDefault="00F5622C">
      <w:pPr>
        <w:pStyle w:val="FootnoteText"/>
        <w:rPr>
          <w:lang w:val="en-US"/>
        </w:rPr>
      </w:pPr>
      <w:r>
        <w:rPr>
          <w:rStyle w:val="FootnoteReference"/>
        </w:rPr>
        <w:footnoteRef/>
      </w:r>
      <w:r>
        <w:t xml:space="preserve"> </w:t>
      </w:r>
      <w:r>
        <w:tab/>
      </w:r>
      <w:r>
        <w:rPr>
          <w:lang w:val="en-US"/>
        </w:rPr>
        <w:t>NGL section 83A.</w:t>
      </w:r>
    </w:p>
  </w:footnote>
  <w:footnote w:id="17">
    <w:p w14:paraId="58C9CA3F" w14:textId="77777777" w:rsidR="00F5622C" w:rsidRPr="008707CD" w:rsidRDefault="00F5622C" w:rsidP="00970E8D">
      <w:pPr>
        <w:pStyle w:val="FootnoteText"/>
        <w:rPr>
          <w:lang w:val="en-US"/>
        </w:rPr>
      </w:pPr>
      <w:r>
        <w:rPr>
          <w:rStyle w:val="FootnoteReference"/>
        </w:rPr>
        <w:footnoteRef/>
      </w:r>
      <w:r>
        <w:t xml:space="preserve"> </w:t>
      </w:r>
      <w:r>
        <w:rPr>
          <w:lang w:val="en-US"/>
        </w:rPr>
        <w:tab/>
      </w:r>
      <w:r w:rsidRPr="008707CD">
        <w:rPr>
          <w:lang w:val="en-US"/>
        </w:rPr>
        <w:t xml:space="preserve">Clause </w:t>
      </w:r>
      <w:r>
        <w:rPr>
          <w:lang w:val="en-US"/>
        </w:rPr>
        <w:t>30</w:t>
      </w:r>
      <w:r w:rsidRPr="008707CD">
        <w:rPr>
          <w:lang w:val="en-US"/>
        </w:rPr>
        <w:t xml:space="preserve"> of the draft Bill substitutes a new section 223. Clause 4 inserts the new definitions.</w:t>
      </w:r>
      <w:r>
        <w:rPr>
          <w:lang w:val="en-US"/>
        </w:rPr>
        <w:t xml:space="preserve"> Clause 4 also deletes definitions that are no longer needed due to the omission of section 223A: “disposal”, “primary capacity transaction”, “secondary capacity transaction”.</w:t>
      </w:r>
    </w:p>
  </w:footnote>
  <w:footnote w:id="18">
    <w:p w14:paraId="5060ADC6"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r>
      <w:r w:rsidRPr="008707CD">
        <w:t>Under clause 5 of the draft Bill, a consequential change will be made to section 10, under which multiple service providers for a facility may nominate one of their number for compliance purposes, to extend its operation to service providers for all categories of natural gas industry facilities.</w:t>
      </w:r>
    </w:p>
  </w:footnote>
  <w:footnote w:id="19">
    <w:p w14:paraId="27F76B6F" w14:textId="77777777" w:rsidR="00F5622C" w:rsidRDefault="00F5622C">
      <w:pPr>
        <w:pStyle w:val="FootnoteText"/>
      </w:pPr>
      <w:r w:rsidRPr="008707CD">
        <w:rPr>
          <w:rStyle w:val="FootnoteReference"/>
        </w:rPr>
        <w:footnoteRef/>
      </w:r>
      <w:r w:rsidRPr="008707CD">
        <w:t xml:space="preserve"> </w:t>
      </w:r>
      <w:r w:rsidRPr="008707CD">
        <w:tab/>
        <w:t xml:space="preserve">Clause </w:t>
      </w:r>
      <w:r>
        <w:t>4(9)</w:t>
      </w:r>
      <w:r w:rsidRPr="008707CD">
        <w:t xml:space="preserve"> of the draft Bill.</w:t>
      </w:r>
    </w:p>
  </w:footnote>
  <w:footnote w:id="20">
    <w:p w14:paraId="59E14762"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Defined in the draft Bill as a “user facility”; clause 4(15) of the draft Bill.</w:t>
      </w:r>
    </w:p>
  </w:footnote>
  <w:footnote w:id="21">
    <w:p w14:paraId="327C4E13"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 xml:space="preserve">Defined in </w:t>
      </w:r>
      <w:r>
        <w:rPr>
          <w:lang w:val="en-US"/>
        </w:rPr>
        <w:t xml:space="preserve">the daft amendments to Part 18 of the NGR </w:t>
      </w:r>
      <w:r w:rsidRPr="008707CD">
        <w:rPr>
          <w:lang w:val="en-US"/>
        </w:rPr>
        <w:t>as a “facility developer”</w:t>
      </w:r>
      <w:r>
        <w:rPr>
          <w:lang w:val="en-US"/>
        </w:rPr>
        <w:t>.</w:t>
      </w:r>
    </w:p>
  </w:footnote>
  <w:footnote w:id="22">
    <w:p w14:paraId="65CBEFB7"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r>
      <w:r>
        <w:rPr>
          <w:lang w:val="en-US"/>
        </w:rPr>
        <w:t>C</w:t>
      </w:r>
      <w:r w:rsidRPr="008707CD">
        <w:rPr>
          <w:lang w:val="en-US"/>
        </w:rPr>
        <w:t xml:space="preserve">lause </w:t>
      </w:r>
      <w:r>
        <w:rPr>
          <w:lang w:val="en-US"/>
        </w:rPr>
        <w:t>23(1)</w:t>
      </w:r>
      <w:r w:rsidRPr="008707CD">
        <w:rPr>
          <w:lang w:val="en-US"/>
        </w:rPr>
        <w:t xml:space="preserve"> of the draft Bill.</w:t>
      </w:r>
    </w:p>
  </w:footnote>
  <w:footnote w:id="23">
    <w:p w14:paraId="5BB81DE4"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Clauses 4(2) and 4</w:t>
      </w:r>
      <w:r>
        <w:rPr>
          <w:lang w:val="en-US"/>
        </w:rPr>
        <w:t>(8)</w:t>
      </w:r>
      <w:r w:rsidRPr="008707CD">
        <w:rPr>
          <w:lang w:val="en-US"/>
        </w:rPr>
        <w:t xml:space="preserve"> of the draft Bill.</w:t>
      </w:r>
    </w:p>
  </w:footnote>
  <w:footnote w:id="24">
    <w:p w14:paraId="415F8893"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 xml:space="preserve">Clause </w:t>
      </w:r>
      <w:r>
        <w:rPr>
          <w:lang w:val="en-US"/>
        </w:rPr>
        <w:t>29</w:t>
      </w:r>
      <w:r w:rsidRPr="008707CD">
        <w:rPr>
          <w:lang w:val="en-US"/>
        </w:rPr>
        <w:t xml:space="preserve"> of the draft Bill.</w:t>
      </w:r>
    </w:p>
  </w:footnote>
  <w:footnote w:id="25">
    <w:p w14:paraId="09073397"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 xml:space="preserve">Clause </w:t>
      </w:r>
      <w:r>
        <w:rPr>
          <w:lang w:val="en-US"/>
        </w:rPr>
        <w:t>36(3)</w:t>
      </w:r>
      <w:r w:rsidRPr="008707CD">
        <w:rPr>
          <w:lang w:val="en-US"/>
        </w:rPr>
        <w:t xml:space="preserve"> of the draft Bill.</w:t>
      </w:r>
    </w:p>
  </w:footnote>
  <w:footnote w:id="26">
    <w:p w14:paraId="7452E691" w14:textId="77777777" w:rsidR="00F5622C" w:rsidRPr="003A6881" w:rsidRDefault="00F5622C">
      <w:pPr>
        <w:pStyle w:val="FootnoteText"/>
        <w:rPr>
          <w:lang w:val="en-US"/>
        </w:rPr>
      </w:pPr>
      <w:r w:rsidRPr="008707CD">
        <w:rPr>
          <w:rStyle w:val="FootnoteReference"/>
        </w:rPr>
        <w:footnoteRef/>
      </w:r>
      <w:r w:rsidRPr="008707CD">
        <w:t xml:space="preserve"> </w:t>
      </w:r>
      <w:r w:rsidRPr="008707CD">
        <w:rPr>
          <w:lang w:val="en-US"/>
        </w:rPr>
        <w:tab/>
        <w:t>Clause 4(14) of the draft Bill.</w:t>
      </w:r>
    </w:p>
  </w:footnote>
  <w:footnote w:id="27">
    <w:p w14:paraId="2B644A27" w14:textId="77777777" w:rsidR="00F5622C" w:rsidRDefault="00F5622C">
      <w:pPr>
        <w:pStyle w:val="FootnoteText"/>
      </w:pPr>
      <w:r>
        <w:rPr>
          <w:rStyle w:val="FootnoteReference"/>
        </w:rPr>
        <w:footnoteRef/>
      </w:r>
      <w:r>
        <w:t xml:space="preserve"> </w:t>
      </w:r>
      <w:r>
        <w:tab/>
        <w:t>Clause 34 of the draft Bill.</w:t>
      </w:r>
    </w:p>
  </w:footnote>
  <w:footnote w:id="28">
    <w:p w14:paraId="417D8F36" w14:textId="77777777" w:rsidR="00F5622C" w:rsidRDefault="00F5622C">
      <w:pPr>
        <w:pStyle w:val="FootnoteText"/>
      </w:pPr>
      <w:r>
        <w:rPr>
          <w:rStyle w:val="FootnoteReference"/>
        </w:rPr>
        <w:footnoteRef/>
      </w:r>
      <w:r>
        <w:t xml:space="preserve"> </w:t>
      </w:r>
      <w:r>
        <w:tab/>
        <w:t>Clauses 31, 32 and 33 of the draft Bill, and changes to the definition of “Bulletin Board information” in clause 4(2) of the draft Bill.</w:t>
      </w:r>
    </w:p>
  </w:footnote>
  <w:footnote w:id="29">
    <w:p w14:paraId="08EBEAAE" w14:textId="77777777" w:rsidR="00F5622C" w:rsidRPr="008707CD" w:rsidRDefault="00F5622C" w:rsidP="00C77866">
      <w:pPr>
        <w:pStyle w:val="FootnoteText"/>
        <w:rPr>
          <w:lang w:val="en-US"/>
        </w:rPr>
      </w:pPr>
      <w:r>
        <w:rPr>
          <w:rStyle w:val="FootnoteReference"/>
        </w:rPr>
        <w:footnoteRef/>
      </w:r>
      <w:r>
        <w:t xml:space="preserve"> </w:t>
      </w:r>
      <w:r>
        <w:rPr>
          <w:lang w:val="en-US"/>
        </w:rPr>
        <w:tab/>
      </w:r>
      <w:r w:rsidRPr="008707CD">
        <w:rPr>
          <w:lang w:val="en-US"/>
        </w:rPr>
        <w:t xml:space="preserve">Clause </w:t>
      </w:r>
      <w:r>
        <w:rPr>
          <w:lang w:val="en-US"/>
        </w:rPr>
        <w:t>24</w:t>
      </w:r>
      <w:r w:rsidRPr="008707CD">
        <w:rPr>
          <w:lang w:val="en-US"/>
        </w:rPr>
        <w:t xml:space="preserve"> of the draft Bill.</w:t>
      </w:r>
    </w:p>
  </w:footnote>
  <w:footnote w:id="30">
    <w:p w14:paraId="5D96C371"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 xml:space="preserve">Clause </w:t>
      </w:r>
      <w:r>
        <w:rPr>
          <w:lang w:val="en-US"/>
        </w:rPr>
        <w:t>27</w:t>
      </w:r>
      <w:r w:rsidRPr="008707CD">
        <w:rPr>
          <w:lang w:val="en-US"/>
        </w:rPr>
        <w:t xml:space="preserve"> of the draft Bill, which inserts proposed sections 91DB to 91DD.</w:t>
      </w:r>
    </w:p>
  </w:footnote>
  <w:footnote w:id="31">
    <w:p w14:paraId="7BD4A2A9"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Clause 6 of the draft Regulations.</w:t>
      </w:r>
    </w:p>
  </w:footnote>
  <w:footnote w:id="32">
    <w:p w14:paraId="27711AB7" w14:textId="77777777" w:rsidR="00F5622C" w:rsidRPr="008707CD" w:rsidRDefault="00F5622C" w:rsidP="003A6881">
      <w:pPr>
        <w:pStyle w:val="FootnoteText"/>
        <w:rPr>
          <w:lang w:val="en-US"/>
        </w:rPr>
      </w:pPr>
      <w:r w:rsidRPr="008707CD">
        <w:rPr>
          <w:rStyle w:val="FootnoteReference"/>
        </w:rPr>
        <w:footnoteRef/>
      </w:r>
      <w:r w:rsidRPr="008707CD">
        <w:t xml:space="preserve"> </w:t>
      </w:r>
      <w:r w:rsidRPr="008707CD">
        <w:rPr>
          <w:lang w:val="en-US"/>
        </w:rPr>
        <w:tab/>
        <w:t xml:space="preserve">Proposed section 91DE, inserted by clause </w:t>
      </w:r>
      <w:r>
        <w:rPr>
          <w:lang w:val="en-US"/>
        </w:rPr>
        <w:t>27</w:t>
      </w:r>
      <w:r w:rsidRPr="008707CD">
        <w:rPr>
          <w:lang w:val="en-US"/>
        </w:rPr>
        <w:t xml:space="preserve"> of the draft Bill.</w:t>
      </w:r>
    </w:p>
  </w:footnote>
  <w:footnote w:id="33">
    <w:p w14:paraId="391AB8EB"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Clause 5 of the draft Regulations.</w:t>
      </w:r>
    </w:p>
  </w:footnote>
  <w:footnote w:id="34">
    <w:p w14:paraId="5134F26D"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 xml:space="preserve">Proposed sections 91DF to 91DH, inserted by clause </w:t>
      </w:r>
      <w:r>
        <w:rPr>
          <w:lang w:val="en-US"/>
        </w:rPr>
        <w:t>27</w:t>
      </w:r>
      <w:r w:rsidRPr="008707CD">
        <w:rPr>
          <w:lang w:val="en-US"/>
        </w:rPr>
        <w:t xml:space="preserve"> of the draft Bill.</w:t>
      </w:r>
    </w:p>
  </w:footnote>
  <w:footnote w:id="35">
    <w:p w14:paraId="77451E61" w14:textId="77777777" w:rsidR="00F5622C" w:rsidRDefault="00F5622C">
      <w:pPr>
        <w:pStyle w:val="FootnoteText"/>
      </w:pPr>
      <w:r w:rsidRPr="008707CD">
        <w:rPr>
          <w:rStyle w:val="FootnoteReference"/>
        </w:rPr>
        <w:footnoteRef/>
      </w:r>
      <w:r w:rsidRPr="008707CD">
        <w:t xml:space="preserve"> </w:t>
      </w:r>
      <w:r w:rsidRPr="008707CD">
        <w:tab/>
        <w:t xml:space="preserve">Clauses </w:t>
      </w:r>
      <w:r>
        <w:t>26</w:t>
      </w:r>
      <w:r w:rsidRPr="008707CD">
        <w:t>, 4</w:t>
      </w:r>
      <w:r>
        <w:t>(5)</w:t>
      </w:r>
      <w:r w:rsidRPr="008707CD">
        <w:t xml:space="preserve">, </w:t>
      </w:r>
      <w:r>
        <w:t>23(1)</w:t>
      </w:r>
      <w:r w:rsidRPr="008707CD">
        <w:t xml:space="preserve"> and </w:t>
      </w:r>
      <w:r>
        <w:t>36(2)</w:t>
      </w:r>
      <w:r w:rsidRPr="008707CD">
        <w:t xml:space="preserve"> of the draft Bill. The reference to “pipeline capacity” in section </w:t>
      </w:r>
      <w:proofErr w:type="gramStart"/>
      <w:r w:rsidRPr="008707CD">
        <w:t>91D(</w:t>
      </w:r>
      <w:proofErr w:type="gramEnd"/>
      <w:r w:rsidRPr="008707CD">
        <w:t xml:space="preserve">1) is out of date and it is proposed to delete the reference in that subsection (clause </w:t>
      </w:r>
      <w:r>
        <w:t>25</w:t>
      </w:r>
      <w:r w:rsidRPr="008707CD">
        <w:t xml:space="preserve"> of the draft Bill).</w:t>
      </w:r>
    </w:p>
  </w:footnote>
  <w:footnote w:id="36">
    <w:p w14:paraId="31AB66D3" w14:textId="77777777" w:rsidR="00F5622C" w:rsidRPr="008707CD" w:rsidRDefault="00F5622C">
      <w:pPr>
        <w:pStyle w:val="FootnoteText"/>
        <w:rPr>
          <w:lang w:val="en-US"/>
        </w:rPr>
      </w:pPr>
      <w:r>
        <w:rPr>
          <w:rStyle w:val="FootnoteReference"/>
        </w:rPr>
        <w:footnoteRef/>
      </w:r>
      <w:r>
        <w:t xml:space="preserve"> </w:t>
      </w:r>
      <w:r>
        <w:rPr>
          <w:lang w:val="en-US"/>
        </w:rPr>
        <w:tab/>
      </w:r>
      <w:r w:rsidRPr="008707CD">
        <w:rPr>
          <w:lang w:val="en-US"/>
        </w:rPr>
        <w:t xml:space="preserve">The </w:t>
      </w:r>
      <w:r>
        <w:rPr>
          <w:lang w:val="en-US"/>
        </w:rPr>
        <w:t xml:space="preserve">amendments are in </w:t>
      </w:r>
      <w:r w:rsidRPr="008707CD">
        <w:rPr>
          <w:lang w:val="en-US"/>
        </w:rPr>
        <w:t>clause</w:t>
      </w:r>
      <w:r>
        <w:rPr>
          <w:lang w:val="en-US"/>
        </w:rPr>
        <w:t>s</w:t>
      </w:r>
      <w:r w:rsidRPr="008707CD">
        <w:rPr>
          <w:lang w:val="en-US"/>
        </w:rPr>
        <w:t xml:space="preserve"> </w:t>
      </w:r>
      <w:r>
        <w:rPr>
          <w:lang w:val="en-US"/>
        </w:rPr>
        <w:t>7 to 22</w:t>
      </w:r>
      <w:r w:rsidRPr="008707CD">
        <w:rPr>
          <w:lang w:val="en-US"/>
        </w:rPr>
        <w:t xml:space="preserve"> of the draft Bill. Related definitions are in clauses 4(1) and 4(</w:t>
      </w:r>
      <w:r>
        <w:rPr>
          <w:lang w:val="en-US"/>
        </w:rPr>
        <w:t>10</w:t>
      </w:r>
      <w:r w:rsidRPr="008707CD">
        <w:rPr>
          <w:lang w:val="en-US"/>
        </w:rPr>
        <w:t>) and the new AER function is inserted in section 27(1) by clause 6 of the draft Bill.</w:t>
      </w:r>
    </w:p>
  </w:footnote>
  <w:footnote w:id="37">
    <w:p w14:paraId="17948299"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 xml:space="preserve">Clause </w:t>
      </w:r>
      <w:r>
        <w:rPr>
          <w:lang w:val="en-US"/>
        </w:rPr>
        <w:t>23(2)</w:t>
      </w:r>
      <w:r w:rsidRPr="008707CD">
        <w:rPr>
          <w:lang w:val="en-US"/>
        </w:rPr>
        <w:t xml:space="preserve"> of the draft Bill, inserting new section 74(1</w:t>
      </w:r>
      <w:proofErr w:type="gramStart"/>
      <w:r w:rsidRPr="008707CD">
        <w:rPr>
          <w:lang w:val="en-US"/>
        </w:rPr>
        <w:t>)(</w:t>
      </w:r>
      <w:proofErr w:type="gramEnd"/>
      <w:r w:rsidRPr="008707CD">
        <w:rPr>
          <w:lang w:val="en-US"/>
        </w:rPr>
        <w:t>ab).</w:t>
      </w:r>
    </w:p>
  </w:footnote>
  <w:footnote w:id="38">
    <w:p w14:paraId="3762E82C" w14:textId="77777777" w:rsidR="00F5622C" w:rsidRDefault="00F5622C">
      <w:pPr>
        <w:pStyle w:val="FootnoteText"/>
      </w:pPr>
      <w:r>
        <w:rPr>
          <w:rStyle w:val="FootnoteReference"/>
        </w:rPr>
        <w:footnoteRef/>
      </w:r>
      <w:r>
        <w:t xml:space="preserve"> </w:t>
      </w:r>
      <w:r>
        <w:tab/>
        <w:t xml:space="preserve">Clause 19 of the draft Bill, inserting new section </w:t>
      </w:r>
      <w:proofErr w:type="gramStart"/>
      <w:r>
        <w:t>57B(</w:t>
      </w:r>
      <w:proofErr w:type="gramEnd"/>
      <w:r>
        <w:t>2).</w:t>
      </w:r>
    </w:p>
  </w:footnote>
  <w:footnote w:id="39">
    <w:p w14:paraId="6871A97D"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 xml:space="preserve">Clause </w:t>
      </w:r>
      <w:r>
        <w:rPr>
          <w:lang w:val="en-US"/>
        </w:rPr>
        <w:t>35</w:t>
      </w:r>
      <w:r w:rsidRPr="008707CD">
        <w:rPr>
          <w:lang w:val="en-US"/>
        </w:rPr>
        <w:t xml:space="preserve"> of the draft Bill.</w:t>
      </w:r>
    </w:p>
  </w:footnote>
  <w:footnote w:id="40">
    <w:p w14:paraId="6B800184" w14:textId="77777777" w:rsidR="00F5622C" w:rsidRPr="008707CD" w:rsidRDefault="00F5622C">
      <w:pPr>
        <w:pStyle w:val="FootnoteText"/>
        <w:rPr>
          <w:lang w:val="en-US"/>
        </w:rPr>
      </w:pPr>
      <w:r w:rsidRPr="008707CD">
        <w:rPr>
          <w:rStyle w:val="FootnoteReference"/>
        </w:rPr>
        <w:footnoteRef/>
      </w:r>
      <w:r w:rsidRPr="008707CD">
        <w:t xml:space="preserve"> </w:t>
      </w:r>
      <w:r w:rsidRPr="008707CD">
        <w:rPr>
          <w:lang w:val="en-US"/>
        </w:rPr>
        <w:tab/>
        <w:t>The draft Regulations are in Attachment A2.</w:t>
      </w:r>
    </w:p>
  </w:footnote>
  <w:footnote w:id="41">
    <w:p w14:paraId="28C70E61" w14:textId="77777777" w:rsidR="00F5622C" w:rsidRPr="003E3D5D" w:rsidRDefault="00F5622C">
      <w:pPr>
        <w:pStyle w:val="FootnoteText"/>
        <w:rPr>
          <w:lang w:val="en-US"/>
        </w:rPr>
      </w:pPr>
      <w:r w:rsidRPr="008707CD">
        <w:rPr>
          <w:rStyle w:val="FootnoteReference"/>
        </w:rPr>
        <w:footnoteRef/>
      </w:r>
      <w:r w:rsidRPr="008707CD">
        <w:t xml:space="preserve"> </w:t>
      </w:r>
      <w:r w:rsidRPr="008707CD">
        <w:rPr>
          <w:lang w:val="en-US"/>
        </w:rPr>
        <w:tab/>
        <w:t>Clause 5(4) in the draft Regulations, inserting a proposed new regulation 10(1a).</w:t>
      </w:r>
    </w:p>
  </w:footnote>
  <w:footnote w:id="42">
    <w:p w14:paraId="5350E2FF" w14:textId="5CBFA486" w:rsidR="00F5622C" w:rsidRDefault="00F5622C">
      <w:pPr>
        <w:pStyle w:val="FootnoteText"/>
      </w:pPr>
      <w:r>
        <w:rPr>
          <w:rStyle w:val="FootnoteReference"/>
        </w:rPr>
        <w:footnoteRef/>
      </w:r>
      <w:r>
        <w:t xml:space="preserve"> Available at: </w:t>
      </w:r>
      <w:hyperlink r:id="rId2" w:history="1">
        <w:r w:rsidRPr="00473748">
          <w:rPr>
            <w:rStyle w:val="Hyperlink"/>
          </w:rPr>
          <w:t>http://www.coagenergycouncil.gov.au/publications/proposed-classification-tiers-reform-australian-energy-regulator-civil-penalty-regime</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E361" w14:textId="5060081E" w:rsidR="00F5622C" w:rsidRDefault="00F562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72100" w14:textId="0F245439" w:rsidR="00F5622C" w:rsidRPr="00E35A55" w:rsidRDefault="00F5622C" w:rsidP="00F61E4D">
    <w:pPr>
      <w:pStyle w:val="Header"/>
      <w:tabs>
        <w:tab w:val="clear" w:pos="7796"/>
        <w:tab w:val="left" w:pos="4621"/>
      </w:tabs>
      <w:ind w:left="-623" w:hanging="142"/>
      <w:rPr>
        <w:b/>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8A1CD" w14:textId="7215FB8B" w:rsidR="00F5622C" w:rsidRPr="00570893" w:rsidRDefault="00F5622C" w:rsidP="00570893">
    <w:pPr>
      <w:pStyle w:val="Header"/>
      <w:ind w:left="-993" w:hanging="28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0E47A" w14:textId="7A9D75D6" w:rsidR="00F5622C" w:rsidRDefault="00F5622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EE289" w14:textId="05BE9C17" w:rsidR="00F5622C" w:rsidRDefault="00F5622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95192" w14:textId="7FBFC2B4" w:rsidR="00F5622C" w:rsidRDefault="00F5622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13A0A" w14:textId="7511ED69" w:rsidR="00F5622C" w:rsidRDefault="00F5622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37FF0" w14:textId="4BCDCCF4" w:rsidR="00F5622C" w:rsidRDefault="00F5622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F7CD3" w14:textId="7C76CFE1" w:rsidR="00F5622C" w:rsidRDefault="00F562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2ACA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lvl>
    <w:lvl w:ilvl="2">
      <w:start w:val="1"/>
      <w:numFmt w:val="none"/>
      <w:lvlText w:val=":"/>
      <w:lvlJc w:val="left"/>
      <w:pPr>
        <w:ind w:left="1106" w:hanging="369"/>
      </w:pPr>
    </w:lvl>
    <w:lvl w:ilvl="3">
      <w:start w:val="1"/>
      <w:numFmt w:val="none"/>
      <w:lvlText w:val=""/>
      <w:lvlJc w:val="left"/>
      <w:pPr>
        <w:ind w:left="1474" w:hanging="368"/>
      </w:pPr>
      <w:rPr>
        <w:color w:val="auto"/>
      </w:rPr>
    </w:lvl>
    <w:lvl w:ilvl="4">
      <w:start w:val="1"/>
      <w:numFmt w:val="none"/>
      <w:lvlText w:val=""/>
      <w:lvlJc w:val="left"/>
      <w:pPr>
        <w:ind w:left="1800" w:hanging="360"/>
      </w:pPr>
      <w:rPr>
        <w:color w:val="auto"/>
      </w:rPr>
    </w:lvl>
    <w:lvl w:ilvl="5">
      <w:start w:val="1"/>
      <w:numFmt w:val="none"/>
      <w:lvlText w:val=""/>
      <w:lvlJc w:val="left"/>
      <w:pPr>
        <w:ind w:left="2160" w:hanging="360"/>
      </w:pPr>
      <w:rPr>
        <w:color w:val="auto"/>
      </w:rPr>
    </w:lvl>
    <w:lvl w:ilvl="6">
      <w:start w:val="1"/>
      <w:numFmt w:val="none"/>
      <w:lvlText w:val=""/>
      <w:lvlJc w:val="left"/>
      <w:pPr>
        <w:ind w:left="2520" w:hanging="360"/>
      </w:pPr>
      <w:rPr>
        <w:color w:val="auto"/>
      </w:rPr>
    </w:lvl>
    <w:lvl w:ilvl="7">
      <w:start w:val="1"/>
      <w:numFmt w:val="none"/>
      <w:lvlText w:val=""/>
      <w:lvlJc w:val="left"/>
      <w:pPr>
        <w:ind w:left="2880" w:hanging="360"/>
      </w:pPr>
      <w:rPr>
        <w:color w:val="auto"/>
      </w:rPr>
    </w:lvl>
    <w:lvl w:ilvl="8">
      <w:start w:val="1"/>
      <w:numFmt w:val="none"/>
      <w:lvlText w:val=""/>
      <w:lvlJc w:val="left"/>
      <w:pPr>
        <w:ind w:left="3240" w:hanging="360"/>
      </w:pPr>
      <w:rPr>
        <w:color w:val="auto"/>
      </w:rPr>
    </w:lvl>
  </w:abstractNum>
  <w:abstractNum w:abstractNumId="2" w15:restartNumberingAfterBreak="0">
    <w:nsid w:val="00F7340A"/>
    <w:multiLevelType w:val="multilevel"/>
    <w:tmpl w:val="1BC81502"/>
    <w:name w:val="Table Numbering2"/>
    <w:lvl w:ilvl="0">
      <w:start w:val="1"/>
      <w:numFmt w:val="decimal"/>
      <w:lvlText w:val="%1."/>
      <w:lvlJc w:val="left"/>
      <w:pPr>
        <w:tabs>
          <w:tab w:val="num" w:pos="-31680"/>
        </w:tabs>
        <w:ind w:left="369" w:hanging="284"/>
      </w:pPr>
      <w:rPr>
        <w:rFonts w:hint="default"/>
      </w:rPr>
    </w:lvl>
    <w:lvl w:ilvl="1">
      <w:start w:val="1"/>
      <w:numFmt w:val="lowerLetter"/>
      <w:lvlText w:val="%2."/>
      <w:lvlJc w:val="left"/>
      <w:pPr>
        <w:ind w:left="652" w:hanging="283"/>
      </w:pPr>
      <w:rPr>
        <w:rFonts w:hint="default"/>
      </w:rPr>
    </w:lvl>
    <w:lvl w:ilvl="2">
      <w:start w:val="1"/>
      <w:numFmt w:val="lowerRoman"/>
      <w:lvlText w:val="%3."/>
      <w:lvlJc w:val="left"/>
      <w:pPr>
        <w:ind w:left="936"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2BA3DBE"/>
    <w:multiLevelType w:val="multilevel"/>
    <w:tmpl w:val="8DF8C6B6"/>
    <w:name w:val="MyNumbering8"/>
    <w:lvl w:ilvl="0">
      <w:start w:val="1"/>
      <w:numFmt w:val="decimal"/>
      <w:lvlText w:val="%1."/>
      <w:lvlJc w:val="left"/>
      <w:pPr>
        <w:ind w:left="360" w:hanging="360"/>
      </w:pPr>
      <w:rPr>
        <w:rFonts w:ascii="Arial" w:hAnsi="Arial" w:hint="default"/>
        <w:b w:val="0"/>
        <w:i w:val="0"/>
        <w:color w:val="auto"/>
        <w:sz w:val="22"/>
        <w:szCs w:val="18"/>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upperLetter"/>
      <w:lvlText w:val="%4."/>
      <w:lvlJc w:val="left"/>
      <w:pPr>
        <w:ind w:left="1428" w:hanging="357"/>
      </w:pPr>
      <w:rPr>
        <w:rFonts w:hint="default"/>
      </w:rPr>
    </w:lvl>
    <w:lvl w:ilvl="4">
      <w:start w:val="1"/>
      <w:numFmt w:val="upperRoman"/>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4" w15:restartNumberingAfterBreak="0">
    <w:nsid w:val="02D5677D"/>
    <w:multiLevelType w:val="hybridMultilevel"/>
    <w:tmpl w:val="09962DB2"/>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5" w15:restartNumberingAfterBreak="0">
    <w:nsid w:val="0364475F"/>
    <w:multiLevelType w:val="multilevel"/>
    <w:tmpl w:val="583A35FA"/>
    <w:name w:val="MyBullets9"/>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6" w15:restartNumberingAfterBreak="0">
    <w:nsid w:val="036F68CE"/>
    <w:multiLevelType w:val="multilevel"/>
    <w:tmpl w:val="9F2A8B76"/>
    <w:styleLink w:val="MyListNumbering"/>
    <w:lvl w:ilvl="0">
      <w:start w:val="1"/>
      <w:numFmt w:val="lowerLetter"/>
      <w:lvlText w:val="(%1)"/>
      <w:lvlJc w:val="left"/>
      <w:pPr>
        <w:tabs>
          <w:tab w:val="num" w:pos="567"/>
        </w:tabs>
        <w:ind w:left="360" w:hanging="360"/>
      </w:pPr>
      <w:rPr>
        <w:rFonts w:hint="default"/>
      </w:rPr>
    </w:lvl>
    <w:lvl w:ilvl="1">
      <w:start w:val="1"/>
      <w:numFmt w:val="lowerRoman"/>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3B57116"/>
    <w:multiLevelType w:val="multilevel"/>
    <w:tmpl w:val="D8C832B8"/>
    <w:name w:val="TableNumbering2"/>
    <w:lvl w:ilvl="0">
      <w:start w:val="1"/>
      <w:numFmt w:val="none"/>
      <w:suff w:val="nothing"/>
      <w:lvlText w:val=""/>
      <w:lvlJc w:val="left"/>
      <w:pPr>
        <w:ind w:left="113" w:firstLine="0"/>
      </w:pPr>
      <w:rPr>
        <w:rFonts w:hint="default"/>
      </w:rPr>
    </w:lvl>
    <w:lvl w:ilvl="1">
      <w:start w:val="1"/>
      <w:numFmt w:val="decimal"/>
      <w:lvlText w:val="(%2)"/>
      <w:lvlJc w:val="left"/>
      <w:pPr>
        <w:tabs>
          <w:tab w:val="num" w:pos="425"/>
        </w:tabs>
        <w:ind w:left="425" w:hanging="425"/>
      </w:pPr>
      <w:rPr>
        <w:rFonts w:hint="default"/>
      </w:rPr>
    </w:lvl>
    <w:lvl w:ilvl="2">
      <w:start w:val="1"/>
      <w:numFmt w:val="none"/>
      <w:lvlText w:val=""/>
      <w:lvlJc w:val="left"/>
      <w:pPr>
        <w:ind w:left="340" w:hanging="340"/>
      </w:pPr>
      <w:rPr>
        <w:rFonts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8" w15:restartNumberingAfterBreak="0">
    <w:nsid w:val="07A921F3"/>
    <w:multiLevelType w:val="hybridMultilevel"/>
    <w:tmpl w:val="470C126C"/>
    <w:name w:val="MyNumbering62249"/>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7B13112"/>
    <w:multiLevelType w:val="hybridMultilevel"/>
    <w:tmpl w:val="9D4007C8"/>
    <w:name w:val="MyBullets3192"/>
    <w:lvl w:ilvl="0" w:tplc="8F8EC1A6">
      <w:start w:val="1"/>
      <w:numFmt w:val="bullet"/>
      <w:lvlText w:val="-"/>
      <w:lvlJc w:val="left"/>
      <w:pPr>
        <w:ind w:left="1077" w:hanging="360"/>
      </w:pPr>
      <w:rPr>
        <w:rFonts w:ascii="Arial" w:hAnsi="Aria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0" w15:restartNumberingAfterBreak="0">
    <w:nsid w:val="0A8C43AA"/>
    <w:multiLevelType w:val="hybridMultilevel"/>
    <w:tmpl w:val="90406000"/>
    <w:name w:val="MyNumbering6222"/>
    <w:lvl w:ilvl="0" w:tplc="713CAD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BBA645EA">
      <w:start w:val="1"/>
      <w:numFmt w:val="lowerRoman"/>
      <w:lvlText w:val="(%4)"/>
      <w:lvlJc w:val="left"/>
      <w:pPr>
        <w:ind w:left="2880" w:hanging="360"/>
      </w:pPr>
      <w:rPr>
        <w:rFonts w:ascii="Arial" w:hAnsi="Arial" w:hint="default"/>
        <w:b w:val="0"/>
        <w:i/>
        <w:sz w:val="20"/>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34249880">
      <w:start w:val="1"/>
      <w:numFmt w:val="decimal"/>
      <w:lvlText w:val="%7."/>
      <w:lvlJc w:val="left"/>
      <w:pPr>
        <w:ind w:left="5040" w:hanging="360"/>
      </w:pPr>
      <w:rPr>
        <w:rFonts w:ascii="Arial" w:hAnsi="Arial" w:hint="default"/>
        <w:b w:val="0"/>
        <w:i w:val="0"/>
        <w:sz w:val="20"/>
      </w:r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B277F95"/>
    <w:multiLevelType w:val="hybridMultilevel"/>
    <w:tmpl w:val="993C30BE"/>
    <w:lvl w:ilvl="0" w:tplc="37DC63BA">
      <w:start w:val="1"/>
      <w:numFmt w:val="bullet"/>
      <w:lvlText w:val="-"/>
      <w:lvlJc w:val="left"/>
      <w:pPr>
        <w:ind w:left="805" w:hanging="360"/>
      </w:pPr>
      <w:rPr>
        <w:rFonts w:ascii="Arial" w:eastAsia="Times New Roman" w:hAnsi="Arial" w:cs="Arial" w:hint="default"/>
      </w:rPr>
    </w:lvl>
    <w:lvl w:ilvl="1" w:tplc="0C090003" w:tentative="1">
      <w:start w:val="1"/>
      <w:numFmt w:val="bullet"/>
      <w:lvlText w:val="o"/>
      <w:lvlJc w:val="left"/>
      <w:pPr>
        <w:ind w:left="1525" w:hanging="360"/>
      </w:pPr>
      <w:rPr>
        <w:rFonts w:ascii="Courier New" w:hAnsi="Courier New" w:cs="Courier New" w:hint="default"/>
      </w:rPr>
    </w:lvl>
    <w:lvl w:ilvl="2" w:tplc="0C090005" w:tentative="1">
      <w:start w:val="1"/>
      <w:numFmt w:val="bullet"/>
      <w:lvlText w:val=""/>
      <w:lvlJc w:val="left"/>
      <w:pPr>
        <w:ind w:left="2245" w:hanging="360"/>
      </w:pPr>
      <w:rPr>
        <w:rFonts w:ascii="Wingdings" w:hAnsi="Wingdings" w:hint="default"/>
      </w:rPr>
    </w:lvl>
    <w:lvl w:ilvl="3" w:tplc="0C090001" w:tentative="1">
      <w:start w:val="1"/>
      <w:numFmt w:val="bullet"/>
      <w:lvlText w:val=""/>
      <w:lvlJc w:val="left"/>
      <w:pPr>
        <w:ind w:left="2965" w:hanging="360"/>
      </w:pPr>
      <w:rPr>
        <w:rFonts w:ascii="Symbol" w:hAnsi="Symbol" w:hint="default"/>
      </w:rPr>
    </w:lvl>
    <w:lvl w:ilvl="4" w:tplc="0C090003" w:tentative="1">
      <w:start w:val="1"/>
      <w:numFmt w:val="bullet"/>
      <w:lvlText w:val="o"/>
      <w:lvlJc w:val="left"/>
      <w:pPr>
        <w:ind w:left="3685" w:hanging="360"/>
      </w:pPr>
      <w:rPr>
        <w:rFonts w:ascii="Courier New" w:hAnsi="Courier New" w:cs="Courier New" w:hint="default"/>
      </w:rPr>
    </w:lvl>
    <w:lvl w:ilvl="5" w:tplc="0C090005" w:tentative="1">
      <w:start w:val="1"/>
      <w:numFmt w:val="bullet"/>
      <w:lvlText w:val=""/>
      <w:lvlJc w:val="left"/>
      <w:pPr>
        <w:ind w:left="4405" w:hanging="360"/>
      </w:pPr>
      <w:rPr>
        <w:rFonts w:ascii="Wingdings" w:hAnsi="Wingdings" w:hint="default"/>
      </w:rPr>
    </w:lvl>
    <w:lvl w:ilvl="6" w:tplc="0C090001" w:tentative="1">
      <w:start w:val="1"/>
      <w:numFmt w:val="bullet"/>
      <w:lvlText w:val=""/>
      <w:lvlJc w:val="left"/>
      <w:pPr>
        <w:ind w:left="5125" w:hanging="360"/>
      </w:pPr>
      <w:rPr>
        <w:rFonts w:ascii="Symbol" w:hAnsi="Symbol" w:hint="default"/>
      </w:rPr>
    </w:lvl>
    <w:lvl w:ilvl="7" w:tplc="0C090003" w:tentative="1">
      <w:start w:val="1"/>
      <w:numFmt w:val="bullet"/>
      <w:lvlText w:val="o"/>
      <w:lvlJc w:val="left"/>
      <w:pPr>
        <w:ind w:left="5845" w:hanging="360"/>
      </w:pPr>
      <w:rPr>
        <w:rFonts w:ascii="Courier New" w:hAnsi="Courier New" w:cs="Courier New" w:hint="default"/>
      </w:rPr>
    </w:lvl>
    <w:lvl w:ilvl="8" w:tplc="0C090005" w:tentative="1">
      <w:start w:val="1"/>
      <w:numFmt w:val="bullet"/>
      <w:lvlText w:val=""/>
      <w:lvlJc w:val="left"/>
      <w:pPr>
        <w:ind w:left="6565" w:hanging="360"/>
      </w:pPr>
      <w:rPr>
        <w:rFonts w:ascii="Wingdings" w:hAnsi="Wingdings" w:hint="default"/>
      </w:rPr>
    </w:lvl>
  </w:abstractNum>
  <w:abstractNum w:abstractNumId="12" w15:restartNumberingAfterBreak="0">
    <w:nsid w:val="0D7210F9"/>
    <w:multiLevelType w:val="multilevel"/>
    <w:tmpl w:val="583A35FA"/>
    <w:name w:val="MyBullets15"/>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3" w15:restartNumberingAfterBreak="0">
    <w:nsid w:val="0FB2573F"/>
    <w:multiLevelType w:val="multilevel"/>
    <w:tmpl w:val="DE1A4C60"/>
    <w:name w:val="TableFootnotes"/>
    <w:lvl w:ilvl="0">
      <w:start w:val="1"/>
      <w:numFmt w:val="none"/>
      <w:suff w:val="nothing"/>
      <w:lvlText w:val=""/>
      <w:lvlJc w:val="left"/>
      <w:pPr>
        <w:ind w:left="113" w:firstLine="0"/>
      </w:pPr>
      <w:rPr>
        <w:rFonts w:hint="default"/>
        <w:spacing w:val="-10"/>
      </w:rPr>
    </w:lvl>
    <w:lvl w:ilvl="1">
      <w:start w:val="1"/>
      <w:numFmt w:val="decimal"/>
      <w:lvlText w:val="(%2)"/>
      <w:lvlJc w:val="left"/>
      <w:pPr>
        <w:tabs>
          <w:tab w:val="num" w:pos="425"/>
        </w:tabs>
        <w:ind w:left="425" w:hanging="425"/>
      </w:pPr>
      <w:rPr>
        <w:rFonts w:hint="default"/>
        <w:spacing w:val="0"/>
        <w:w w:val="100"/>
        <w:kern w:val="0"/>
        <w:position w:val="0"/>
      </w:rPr>
    </w:lvl>
    <w:lvl w:ilvl="2">
      <w:start w:val="1"/>
      <w:numFmt w:val="none"/>
      <w:lvlRestart w:val="1"/>
      <w:lvlText w:val=""/>
      <w:lvlJc w:val="left"/>
      <w:pPr>
        <w:tabs>
          <w:tab w:val="num" w:pos="284"/>
        </w:tabs>
        <w:ind w:left="284" w:hanging="284"/>
      </w:pPr>
      <w:rPr>
        <w:rFonts w:hint="default"/>
        <w:color w:val="auto"/>
        <w:spacing w:val="-4"/>
      </w:rPr>
    </w:lvl>
    <w:lvl w:ilvl="3">
      <w:start w:val="1"/>
      <w:numFmt w:val="none"/>
      <w:lvlText w:val=""/>
      <w:lvlJc w:val="left"/>
      <w:pPr>
        <w:tabs>
          <w:tab w:val="num" w:pos="0"/>
        </w:tabs>
        <w:ind w:left="-709" w:firstLine="0"/>
      </w:pPr>
      <w:rPr>
        <w:rFonts w:hint="default"/>
        <w:spacing w:val="-10"/>
        <w:w w:val="100"/>
      </w:rPr>
    </w:lvl>
    <w:lvl w:ilvl="4">
      <w:start w:val="1"/>
      <w:numFmt w:val="none"/>
      <w:lvlText w:val=""/>
      <w:lvlJc w:val="left"/>
      <w:pPr>
        <w:tabs>
          <w:tab w:val="num" w:pos="2835"/>
        </w:tabs>
        <w:ind w:left="2835" w:hanging="567"/>
      </w:pPr>
      <w:rPr>
        <w:rFonts w:hint="default"/>
      </w:rPr>
    </w:lvl>
    <w:lvl w:ilvl="5">
      <w:start w:val="1"/>
      <w:numFmt w:val="none"/>
      <w:lvlText w:val=""/>
      <w:lvlJc w:val="left"/>
      <w:pPr>
        <w:tabs>
          <w:tab w:val="num" w:pos="2160"/>
        </w:tabs>
        <w:ind w:left="2016" w:hanging="936"/>
      </w:pPr>
      <w:rPr>
        <w:rFonts w:hint="default"/>
      </w:rPr>
    </w:lvl>
    <w:lvl w:ilvl="6">
      <w:start w:val="1"/>
      <w:numFmt w:val="lowerRoman"/>
      <w:lvlRestart w:val="1"/>
      <w:lvlText w:val="%7"/>
      <w:lvlJc w:val="left"/>
      <w:pPr>
        <w:tabs>
          <w:tab w:val="num" w:pos="369"/>
        </w:tabs>
        <w:ind w:left="369" w:hanging="369"/>
      </w:pPr>
      <w:rPr>
        <w:rFonts w:hint="default"/>
      </w:rPr>
    </w:lvl>
    <w:lvl w:ilvl="7">
      <w:start w:val="1"/>
      <w:numFmt w:val="lowerLetter"/>
      <w:lvlText w:val="%8."/>
      <w:lvlJc w:val="left"/>
      <w:pPr>
        <w:tabs>
          <w:tab w:val="num" w:pos="737"/>
        </w:tabs>
        <w:ind w:left="737" w:hanging="368"/>
      </w:pPr>
      <w:rPr>
        <w:rFonts w:hint="default"/>
        <w:position w:val="0"/>
      </w:rPr>
    </w:lvl>
    <w:lvl w:ilvl="8">
      <w:start w:val="1"/>
      <w:numFmt w:val="bullet"/>
      <w:lvlText w:val=""/>
      <w:lvlJc w:val="left"/>
      <w:pPr>
        <w:tabs>
          <w:tab w:val="num" w:pos="1106"/>
        </w:tabs>
        <w:ind w:left="1106" w:hanging="369"/>
      </w:pPr>
      <w:rPr>
        <w:rFonts w:ascii="Symbol" w:hAnsi="Symbol" w:hint="default"/>
        <w:position w:val="2"/>
        <w:sz w:val="20"/>
        <w:szCs w:val="20"/>
      </w:rPr>
    </w:lvl>
  </w:abstractNum>
  <w:abstractNum w:abstractNumId="14" w15:restartNumberingAfterBreak="0">
    <w:nsid w:val="0FF31932"/>
    <w:multiLevelType w:val="multilevel"/>
    <w:tmpl w:val="583A35FA"/>
    <w:name w:val="MyBullets22"/>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5" w15:restartNumberingAfterBreak="0">
    <w:nsid w:val="11A77141"/>
    <w:multiLevelType w:val="multilevel"/>
    <w:tmpl w:val="583A35FA"/>
    <w:name w:val="MyBullets16"/>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6" w15:restartNumberingAfterBreak="0">
    <w:nsid w:val="121033F1"/>
    <w:multiLevelType w:val="multilevel"/>
    <w:tmpl w:val="583A35FA"/>
    <w:name w:val="MyBullets44"/>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7" w15:restartNumberingAfterBreak="0">
    <w:nsid w:val="126B4FB4"/>
    <w:multiLevelType w:val="multilevel"/>
    <w:tmpl w:val="583A35FA"/>
    <w:name w:val="MyBullets36"/>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8" w15:restartNumberingAfterBreak="0">
    <w:nsid w:val="12B85488"/>
    <w:multiLevelType w:val="multilevel"/>
    <w:tmpl w:val="583A35FA"/>
    <w:name w:val="MyBullets319"/>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9" w15:restartNumberingAfterBreak="0">
    <w:nsid w:val="12D074B3"/>
    <w:multiLevelType w:val="hybridMultilevel"/>
    <w:tmpl w:val="794604D8"/>
    <w:name w:val="MyNumbering622442"/>
    <w:lvl w:ilvl="0" w:tplc="36F829CA">
      <w:start w:val="1"/>
      <w:numFmt w:val="lowerLetter"/>
      <w:lvlText w:val="(%1)"/>
      <w:lvlJc w:val="left"/>
      <w:pPr>
        <w:ind w:left="1077" w:hanging="360"/>
      </w:pPr>
      <w:rPr>
        <w:rFonts w:ascii="Arial" w:hAnsi="Arial" w:hint="default"/>
        <w:b w:val="0"/>
        <w:i w:val="0"/>
        <w:sz w:val="22"/>
        <w:szCs w:val="26"/>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0" w15:restartNumberingAfterBreak="0">
    <w:nsid w:val="13111E92"/>
    <w:multiLevelType w:val="multilevel"/>
    <w:tmpl w:val="583A35FA"/>
    <w:name w:val="MyBullets14"/>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21" w15:restartNumberingAfterBreak="0">
    <w:nsid w:val="14890D1D"/>
    <w:multiLevelType w:val="multilevel"/>
    <w:tmpl w:val="583A35FA"/>
    <w:name w:val="MyBullets"/>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22" w15:restartNumberingAfterBreak="0">
    <w:nsid w:val="150E00BA"/>
    <w:multiLevelType w:val="multilevel"/>
    <w:tmpl w:val="583A35FA"/>
    <w:name w:val="MyBullets34"/>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23" w15:restartNumberingAfterBreak="0">
    <w:nsid w:val="174A3534"/>
    <w:multiLevelType w:val="multilevel"/>
    <w:tmpl w:val="583A35FA"/>
    <w:name w:val="MyBullets5"/>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24" w15:restartNumberingAfterBreak="0">
    <w:nsid w:val="18B347EF"/>
    <w:multiLevelType w:val="multilevel"/>
    <w:tmpl w:val="583A35FA"/>
    <w:name w:val="MyBullets33"/>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25" w15:restartNumberingAfterBreak="0">
    <w:nsid w:val="1A992871"/>
    <w:multiLevelType w:val="hybridMultilevel"/>
    <w:tmpl w:val="4B9E6406"/>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26" w15:restartNumberingAfterBreak="0">
    <w:nsid w:val="1CC032E9"/>
    <w:multiLevelType w:val="multilevel"/>
    <w:tmpl w:val="583A35FA"/>
    <w:name w:val="MyBullets27"/>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27" w15:restartNumberingAfterBreak="0">
    <w:nsid w:val="1E752802"/>
    <w:multiLevelType w:val="hybridMultilevel"/>
    <w:tmpl w:val="57084850"/>
    <w:name w:val="MyNumbering33"/>
    <w:lvl w:ilvl="0" w:tplc="62EEBF52">
      <w:start w:val="1"/>
      <w:numFmt w:val="lowerLetter"/>
      <w:lvlText w:val="(%1)"/>
      <w:lvlJc w:val="left"/>
      <w:pPr>
        <w:ind w:left="720" w:hanging="360"/>
      </w:pPr>
      <w:rPr>
        <w:rFonts w:ascii="Arial" w:hAnsi="Arial" w:hint="default"/>
        <w:b w:val="0"/>
        <w:i w:val="0"/>
        <w:color w:val="231F20"/>
        <w:w w:val="100"/>
        <w:sz w:val="22"/>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1FF6579C"/>
    <w:multiLevelType w:val="multilevel"/>
    <w:tmpl w:val="8DF8C6B6"/>
    <w:name w:val="MyNumbering"/>
    <w:lvl w:ilvl="0">
      <w:start w:val="1"/>
      <w:numFmt w:val="decimal"/>
      <w:lvlText w:val="%1."/>
      <w:lvlJc w:val="left"/>
      <w:pPr>
        <w:ind w:left="360" w:hanging="360"/>
      </w:pPr>
      <w:rPr>
        <w:rFonts w:ascii="Arial" w:hAnsi="Arial" w:hint="default"/>
        <w:b w:val="0"/>
        <w:i w:val="0"/>
        <w:color w:val="auto"/>
        <w:sz w:val="22"/>
        <w:szCs w:val="18"/>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upperLetter"/>
      <w:lvlText w:val="%4."/>
      <w:lvlJc w:val="left"/>
      <w:pPr>
        <w:ind w:left="1428" w:hanging="357"/>
      </w:pPr>
      <w:rPr>
        <w:rFonts w:hint="default"/>
      </w:rPr>
    </w:lvl>
    <w:lvl w:ilvl="4">
      <w:start w:val="1"/>
      <w:numFmt w:val="upperRoman"/>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29" w15:restartNumberingAfterBreak="0">
    <w:nsid w:val="2051010C"/>
    <w:multiLevelType w:val="hybridMultilevel"/>
    <w:tmpl w:val="8F7E7698"/>
    <w:name w:val="MyNumbering62245"/>
    <w:lvl w:ilvl="0" w:tplc="36F829CA">
      <w:start w:val="1"/>
      <w:numFmt w:val="lowerLetter"/>
      <w:lvlText w:val="(%1)"/>
      <w:lvlJc w:val="left"/>
      <w:pPr>
        <w:ind w:left="720" w:hanging="360"/>
      </w:pPr>
      <w:rPr>
        <w:rFonts w:ascii="Arial" w:hAnsi="Arial" w:hint="default"/>
        <w:b w:val="0"/>
        <w:i w:val="0"/>
        <w:sz w:val="22"/>
        <w:szCs w:val="2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21B0106C"/>
    <w:multiLevelType w:val="hybridMultilevel"/>
    <w:tmpl w:val="4B4E4242"/>
    <w:name w:val="MyNumbering62246"/>
    <w:lvl w:ilvl="0" w:tplc="36F829CA">
      <w:start w:val="1"/>
      <w:numFmt w:val="lowerLetter"/>
      <w:lvlText w:val="(%1)"/>
      <w:lvlJc w:val="left"/>
      <w:pPr>
        <w:ind w:left="720" w:hanging="360"/>
      </w:pPr>
      <w:rPr>
        <w:rFonts w:ascii="Arial" w:hAnsi="Arial" w:hint="default"/>
        <w:b w:val="0"/>
        <w:i w:val="0"/>
        <w:sz w:val="22"/>
        <w:szCs w:val="2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226A6EE6"/>
    <w:multiLevelType w:val="multilevel"/>
    <w:tmpl w:val="6B6C8186"/>
    <w:lvl w:ilvl="0">
      <w:start w:val="1"/>
      <w:numFmt w:val="bullet"/>
      <w:pStyle w:val="Newtablebullet"/>
      <w:lvlText w:val=""/>
      <w:lvlJc w:val="left"/>
      <w:pPr>
        <w:tabs>
          <w:tab w:val="num" w:pos="312"/>
        </w:tabs>
        <w:ind w:left="312" w:hanging="227"/>
      </w:pPr>
      <w:rPr>
        <w:rFonts w:ascii="Wingdings" w:hAnsi="Wingdings" w:hint="default"/>
        <w:color w:val="auto"/>
        <w:position w:val="0"/>
        <w:sz w:val="18"/>
      </w:rPr>
    </w:lvl>
    <w:lvl w:ilvl="1">
      <w:start w:val="1"/>
      <w:numFmt w:val="bullet"/>
      <w:lvlText w:val="–"/>
      <w:lvlJc w:val="left"/>
      <w:pPr>
        <w:tabs>
          <w:tab w:val="num" w:pos="539"/>
        </w:tabs>
        <w:ind w:left="539" w:hanging="227"/>
      </w:pPr>
      <w:rPr>
        <w:rFonts w:ascii="Arial" w:hAnsi="Arial" w:hint="default"/>
        <w:color w:val="auto"/>
        <w:position w:val="0"/>
        <w:sz w:val="18"/>
      </w:rPr>
    </w:lvl>
    <w:lvl w:ilvl="2">
      <w:start w:val="1"/>
      <w:numFmt w:val="bullet"/>
      <w:lvlText w:val="•"/>
      <w:lvlJc w:val="left"/>
      <w:pPr>
        <w:tabs>
          <w:tab w:val="num" w:pos="765"/>
        </w:tabs>
        <w:ind w:left="765" w:hanging="226"/>
      </w:pPr>
      <w:rPr>
        <w:rFonts w:ascii="Book Antiqua" w:hAnsi="Book Antiqua" w:hint="default"/>
        <w:color w:val="auto"/>
        <w:position w:val="0"/>
        <w:sz w:val="18"/>
      </w:rPr>
    </w:lvl>
    <w:lvl w:ilvl="3">
      <w:start w:val="1"/>
      <w:numFmt w:val="none"/>
      <w:lvlText w:val=""/>
      <w:lvlJc w:val="left"/>
      <w:pPr>
        <w:tabs>
          <w:tab w:val="num" w:pos="1021"/>
        </w:tabs>
        <w:ind w:left="908" w:hanging="227"/>
      </w:pPr>
      <w:rPr>
        <w:rFonts w:hint="default"/>
        <w:color w:val="214C90" w:themeColor="text2"/>
        <w:sz w:val="16"/>
      </w:rPr>
    </w:lvl>
    <w:lvl w:ilvl="4">
      <w:start w:val="1"/>
      <w:numFmt w:val="none"/>
      <w:lvlText w:val=""/>
      <w:lvlJc w:val="left"/>
      <w:pPr>
        <w:tabs>
          <w:tab w:val="num" w:pos="1248"/>
        </w:tabs>
        <w:ind w:left="1135" w:hanging="227"/>
      </w:pPr>
      <w:rPr>
        <w:rFonts w:hint="default"/>
        <w:color w:val="214C90" w:themeColor="text2"/>
      </w:rPr>
    </w:lvl>
    <w:lvl w:ilvl="5">
      <w:start w:val="1"/>
      <w:numFmt w:val="none"/>
      <w:lvlText w:val=""/>
      <w:lvlJc w:val="left"/>
      <w:pPr>
        <w:tabs>
          <w:tab w:val="num" w:pos="1475"/>
        </w:tabs>
        <w:ind w:left="1362" w:hanging="227"/>
      </w:pPr>
      <w:rPr>
        <w:rFonts w:hint="default"/>
      </w:rPr>
    </w:lvl>
    <w:lvl w:ilvl="6">
      <w:start w:val="1"/>
      <w:numFmt w:val="none"/>
      <w:lvlText w:val=""/>
      <w:lvlJc w:val="left"/>
      <w:pPr>
        <w:tabs>
          <w:tab w:val="num" w:pos="1702"/>
        </w:tabs>
        <w:ind w:left="1589" w:hanging="227"/>
      </w:pPr>
      <w:rPr>
        <w:rFonts w:hint="default"/>
      </w:rPr>
    </w:lvl>
    <w:lvl w:ilvl="7">
      <w:start w:val="1"/>
      <w:numFmt w:val="none"/>
      <w:lvlText w:val=""/>
      <w:lvlJc w:val="left"/>
      <w:pPr>
        <w:tabs>
          <w:tab w:val="num" w:pos="1929"/>
        </w:tabs>
        <w:ind w:left="1816" w:hanging="227"/>
      </w:pPr>
      <w:rPr>
        <w:rFonts w:hint="default"/>
      </w:rPr>
    </w:lvl>
    <w:lvl w:ilvl="8">
      <w:start w:val="1"/>
      <w:numFmt w:val="none"/>
      <w:lvlText w:val=""/>
      <w:lvlJc w:val="left"/>
      <w:pPr>
        <w:tabs>
          <w:tab w:val="num" w:pos="2156"/>
        </w:tabs>
        <w:ind w:left="2043" w:hanging="227"/>
      </w:pPr>
      <w:rPr>
        <w:rFonts w:hint="default"/>
      </w:rPr>
    </w:lvl>
  </w:abstractNum>
  <w:abstractNum w:abstractNumId="32" w15:restartNumberingAfterBreak="0">
    <w:nsid w:val="23594EC4"/>
    <w:multiLevelType w:val="hybridMultilevel"/>
    <w:tmpl w:val="D11474C2"/>
    <w:lvl w:ilvl="0" w:tplc="1F52F16E">
      <w:start w:val="1"/>
      <w:numFmt w:val="decimal"/>
      <w:pStyle w:val="ListNumber"/>
      <w:lvlText w:val="%1."/>
      <w:lvlJc w:val="left"/>
      <w:pPr>
        <w:ind w:left="720" w:hanging="360"/>
      </w:pPr>
      <w:rPr>
        <w:rFonts w:ascii="Arial" w:hAnsi="Arial" w:hint="default"/>
        <w:b w:val="0"/>
        <w:i w:val="0"/>
        <w:sz w:val="22"/>
        <w:szCs w:val="2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254A468D"/>
    <w:multiLevelType w:val="hybridMultilevel"/>
    <w:tmpl w:val="A3568734"/>
    <w:name w:val="MyNumbering32"/>
    <w:lvl w:ilvl="0" w:tplc="A432922E">
      <w:start w:val="1"/>
      <w:numFmt w:val="decimal"/>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254B6A47"/>
    <w:multiLevelType w:val="multilevel"/>
    <w:tmpl w:val="305A6728"/>
    <w:name w:val="AlphaList"/>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upperLetter"/>
      <w:lvlText w:val="(%3)"/>
      <w:lvlJc w:val="left"/>
      <w:pPr>
        <w:tabs>
          <w:tab w:val="num" w:pos="1191"/>
        </w:tabs>
        <w:ind w:left="1191" w:hanging="397"/>
      </w:pPr>
      <w:rPr>
        <w:rFonts w:hint="default"/>
      </w:rPr>
    </w:lvl>
    <w:lvl w:ilvl="3">
      <w:start w:val="1"/>
      <w:numFmt w:val="decimal"/>
      <w:lvlText w:val="%4."/>
      <w:lvlJc w:val="left"/>
      <w:pPr>
        <w:tabs>
          <w:tab w:val="num" w:pos="1588"/>
        </w:tabs>
        <w:ind w:left="1588" w:hanging="397"/>
      </w:pPr>
      <w:rPr>
        <w:rFonts w:hint="default"/>
      </w:rPr>
    </w:lvl>
    <w:lvl w:ilvl="4">
      <w:start w:val="1"/>
      <w:numFmt w:val="none"/>
      <w:lvlText w:val=""/>
      <w:lvlJc w:val="left"/>
      <w:pPr>
        <w:tabs>
          <w:tab w:val="num" w:pos="2013"/>
        </w:tabs>
        <w:ind w:left="1985" w:hanging="397"/>
      </w:pPr>
      <w:rPr>
        <w:rFonts w:hint="default"/>
      </w:rPr>
    </w:lvl>
    <w:lvl w:ilvl="5">
      <w:start w:val="1"/>
      <w:numFmt w:val="none"/>
      <w:lvlText w:val=""/>
      <w:lvlJc w:val="left"/>
      <w:pPr>
        <w:tabs>
          <w:tab w:val="num" w:pos="2410"/>
        </w:tabs>
        <w:ind w:left="2382" w:hanging="397"/>
      </w:pPr>
      <w:rPr>
        <w:rFonts w:hint="default"/>
      </w:rPr>
    </w:lvl>
    <w:lvl w:ilvl="6">
      <w:start w:val="1"/>
      <w:numFmt w:val="none"/>
      <w:lvlText w:val=""/>
      <w:lvlJc w:val="left"/>
      <w:pPr>
        <w:tabs>
          <w:tab w:val="num" w:pos="2807"/>
        </w:tabs>
        <w:ind w:left="2779" w:hanging="397"/>
      </w:pPr>
      <w:rPr>
        <w:rFonts w:hint="default"/>
      </w:rPr>
    </w:lvl>
    <w:lvl w:ilvl="7">
      <w:start w:val="1"/>
      <w:numFmt w:val="none"/>
      <w:lvlText w:val=""/>
      <w:lvlJc w:val="left"/>
      <w:pPr>
        <w:tabs>
          <w:tab w:val="num" w:pos="3204"/>
        </w:tabs>
        <w:ind w:left="3176" w:hanging="397"/>
      </w:pPr>
      <w:rPr>
        <w:rFonts w:hint="default"/>
      </w:rPr>
    </w:lvl>
    <w:lvl w:ilvl="8">
      <w:start w:val="1"/>
      <w:numFmt w:val="none"/>
      <w:lvlText w:val=""/>
      <w:lvlJc w:val="left"/>
      <w:pPr>
        <w:tabs>
          <w:tab w:val="num" w:pos="3601"/>
        </w:tabs>
        <w:ind w:left="3573" w:hanging="397"/>
      </w:pPr>
      <w:rPr>
        <w:rFonts w:hint="default"/>
      </w:rPr>
    </w:lvl>
  </w:abstractNum>
  <w:abstractNum w:abstractNumId="35" w15:restartNumberingAfterBreak="0">
    <w:nsid w:val="27C445F5"/>
    <w:multiLevelType w:val="multilevel"/>
    <w:tmpl w:val="0EDEA0D8"/>
    <w:styleLink w:val="HangingList"/>
    <w:lvl w:ilvl="0">
      <w:start w:val="1"/>
      <w:numFmt w:val="none"/>
      <w:suff w:val="nothing"/>
      <w:lvlText w:val=""/>
      <w:lvlJc w:val="left"/>
      <w:pPr>
        <w:ind w:left="992" w:hanging="992"/>
      </w:pPr>
      <w:rPr>
        <w:rFonts w:hint="default"/>
      </w:rPr>
    </w:lvl>
    <w:lvl w:ilvl="1">
      <w:start w:val="1"/>
      <w:numFmt w:val="none"/>
      <w:suff w:val="nothing"/>
      <w:lvlText w:val=""/>
      <w:lvlJc w:val="left"/>
      <w:pPr>
        <w:ind w:left="1701" w:hanging="709"/>
      </w:pPr>
      <w:rPr>
        <w:rFonts w:hint="default"/>
      </w:rPr>
    </w:lvl>
    <w:lvl w:ilvl="2">
      <w:start w:val="1"/>
      <w:numFmt w:val="none"/>
      <w:suff w:val="nothing"/>
      <w:lvlText w:val=""/>
      <w:lvlJc w:val="left"/>
      <w:pPr>
        <w:ind w:left="2410" w:hanging="709"/>
      </w:pPr>
      <w:rPr>
        <w:rFonts w:hint="default"/>
      </w:rPr>
    </w:lvl>
    <w:lvl w:ilvl="3">
      <w:start w:val="1"/>
      <w:numFmt w:val="none"/>
      <w:suff w:val="nothing"/>
      <w:lvlText w:val=""/>
      <w:lvlJc w:val="left"/>
      <w:pPr>
        <w:ind w:left="3119" w:hanging="709"/>
      </w:pPr>
      <w:rPr>
        <w:rFonts w:hint="default"/>
      </w:rPr>
    </w:lvl>
    <w:lvl w:ilvl="4">
      <w:start w:val="1"/>
      <w:numFmt w:val="none"/>
      <w:suff w:val="nothing"/>
      <w:lvlText w:val=""/>
      <w:lvlJc w:val="left"/>
      <w:pPr>
        <w:ind w:left="3828" w:hanging="709"/>
      </w:pPr>
      <w:rPr>
        <w:rFonts w:hint="default"/>
      </w:rPr>
    </w:lvl>
    <w:lvl w:ilvl="5">
      <w:start w:val="1"/>
      <w:numFmt w:val="none"/>
      <w:suff w:val="nothing"/>
      <w:lvlText w:val=""/>
      <w:lvlJc w:val="left"/>
      <w:pPr>
        <w:ind w:left="4537" w:hanging="710"/>
      </w:pPr>
      <w:rPr>
        <w:rFonts w:hint="default"/>
      </w:rPr>
    </w:lvl>
    <w:lvl w:ilvl="6">
      <w:start w:val="1"/>
      <w:numFmt w:val="none"/>
      <w:suff w:val="nothing"/>
      <w:lvlText w:val=""/>
      <w:lvlJc w:val="left"/>
      <w:pPr>
        <w:ind w:left="5246" w:hanging="710"/>
      </w:pPr>
      <w:rPr>
        <w:rFonts w:hint="default"/>
      </w:rPr>
    </w:lvl>
    <w:lvl w:ilvl="7">
      <w:start w:val="1"/>
      <w:numFmt w:val="none"/>
      <w:suff w:val="nothing"/>
      <w:lvlText w:val=""/>
      <w:lvlJc w:val="left"/>
      <w:pPr>
        <w:ind w:left="5955" w:hanging="992"/>
      </w:pPr>
      <w:rPr>
        <w:rFonts w:hint="default"/>
      </w:rPr>
    </w:lvl>
    <w:lvl w:ilvl="8">
      <w:start w:val="1"/>
      <w:numFmt w:val="none"/>
      <w:suff w:val="nothing"/>
      <w:lvlText w:val=""/>
      <w:lvlJc w:val="left"/>
      <w:pPr>
        <w:ind w:left="6664" w:hanging="992"/>
      </w:pPr>
      <w:rPr>
        <w:rFonts w:hint="default"/>
      </w:rPr>
    </w:lvl>
  </w:abstractNum>
  <w:abstractNum w:abstractNumId="36" w15:restartNumberingAfterBreak="0">
    <w:nsid w:val="28783F2C"/>
    <w:multiLevelType w:val="multilevel"/>
    <w:tmpl w:val="583A35FA"/>
    <w:name w:val="MyBullets47"/>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37" w15:restartNumberingAfterBreak="0">
    <w:nsid w:val="290E3A67"/>
    <w:multiLevelType w:val="multilevel"/>
    <w:tmpl w:val="583A35FA"/>
    <w:name w:val="MyBullets315"/>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38" w15:restartNumberingAfterBreak="0">
    <w:nsid w:val="2911260D"/>
    <w:multiLevelType w:val="multilevel"/>
    <w:tmpl w:val="BB8EE6B2"/>
    <w:lvl w:ilvl="0">
      <w:start w:val="1"/>
      <w:numFmt w:val="decimal"/>
      <w:pStyle w:val="NotesNumbered"/>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9E20C04"/>
    <w:multiLevelType w:val="multilevel"/>
    <w:tmpl w:val="775ED5F2"/>
    <w:lvl w:ilvl="0">
      <w:start w:val="1"/>
      <w:numFmt w:val="upperLetter"/>
      <w:pStyle w:val="AppendixLevel1"/>
      <w:lvlText w:val="%1."/>
      <w:lvlJc w:val="left"/>
      <w:pPr>
        <w:ind w:left="1134" w:hanging="1134"/>
      </w:pPr>
    </w:lvl>
    <w:lvl w:ilvl="1">
      <w:start w:val="1"/>
      <w:numFmt w:val="decimal"/>
      <w:pStyle w:val="AppendixLevel2"/>
      <w:lvlText w:val="%1.%2"/>
      <w:lvlJc w:val="left"/>
      <w:pPr>
        <w:ind w:left="1134" w:hanging="1134"/>
      </w:pPr>
    </w:lvl>
    <w:lvl w:ilvl="2">
      <w:start w:val="1"/>
      <w:numFmt w:val="decimal"/>
      <w:pStyle w:val="AppendixLevel3"/>
      <w:lvlText w:val="%1.%2.%3"/>
      <w:lvlJc w:val="left"/>
      <w:pPr>
        <w:ind w:left="1134" w:hanging="1134"/>
      </w:pPr>
    </w:lvl>
    <w:lvl w:ilvl="3">
      <w:start w:val="1"/>
      <w:numFmt w:val="none"/>
      <w:lvlText w:val="(%4)"/>
      <w:lvlJc w:val="left"/>
      <w:pPr>
        <w:ind w:left="1808" w:hanging="737"/>
      </w:pPr>
    </w:lvl>
    <w:lvl w:ilvl="4">
      <w:start w:val="1"/>
      <w:numFmt w:val="lowerLetter"/>
      <w:lvlText w:val="(%5)"/>
      <w:lvlJc w:val="left"/>
      <w:pPr>
        <w:ind w:left="2165" w:hanging="737"/>
      </w:pPr>
    </w:lvl>
    <w:lvl w:ilvl="5">
      <w:start w:val="1"/>
      <w:numFmt w:val="lowerRoman"/>
      <w:lvlText w:val="(%6)"/>
      <w:lvlJc w:val="left"/>
      <w:pPr>
        <w:ind w:left="2522" w:hanging="737"/>
      </w:pPr>
    </w:lvl>
    <w:lvl w:ilvl="6">
      <w:start w:val="1"/>
      <w:numFmt w:val="decimal"/>
      <w:lvlText w:val="%7."/>
      <w:lvlJc w:val="left"/>
      <w:pPr>
        <w:ind w:left="2879" w:hanging="737"/>
      </w:pPr>
    </w:lvl>
    <w:lvl w:ilvl="7">
      <w:start w:val="1"/>
      <w:numFmt w:val="lowerLetter"/>
      <w:lvlText w:val="%8."/>
      <w:lvlJc w:val="left"/>
      <w:pPr>
        <w:ind w:left="3236" w:hanging="737"/>
      </w:pPr>
    </w:lvl>
    <w:lvl w:ilvl="8">
      <w:start w:val="1"/>
      <w:numFmt w:val="lowerRoman"/>
      <w:lvlText w:val="%9."/>
      <w:lvlJc w:val="left"/>
      <w:pPr>
        <w:ind w:left="3593" w:hanging="737"/>
      </w:pPr>
    </w:lvl>
  </w:abstractNum>
  <w:abstractNum w:abstractNumId="40" w15:restartNumberingAfterBreak="0">
    <w:nsid w:val="2C976934"/>
    <w:multiLevelType w:val="multilevel"/>
    <w:tmpl w:val="C9881CB4"/>
    <w:name w:val="TableBullets"/>
    <w:styleLink w:val="TableBullets"/>
    <w:lvl w:ilvl="0">
      <w:start w:val="1"/>
      <w:numFmt w:val="bullet"/>
      <w:suff w:val="nothing"/>
      <w:lvlText w:val=""/>
      <w:lvlJc w:val="left"/>
      <w:pPr>
        <w:ind w:left="284" w:hanging="171"/>
      </w:pPr>
      <w:rPr>
        <w:rFonts w:ascii="Symbol" w:hAnsi="Symbol" w:hint="default"/>
        <w:color w:val="auto"/>
      </w:rPr>
    </w:lvl>
    <w:lvl w:ilvl="1">
      <w:start w:val="1"/>
      <w:numFmt w:val="bullet"/>
      <w:lvlText w:val="–"/>
      <w:lvlJc w:val="left"/>
      <w:pPr>
        <w:ind w:left="454" w:hanging="170"/>
      </w:pPr>
      <w:rPr>
        <w:rFonts w:ascii="Georgia" w:hAnsi="Georgia" w:hint="default"/>
        <w:color w:val="auto"/>
      </w:rPr>
    </w:lvl>
    <w:lvl w:ilvl="2">
      <w:start w:val="1"/>
      <w:numFmt w:val="bullet"/>
      <w:lvlText w:val="o"/>
      <w:lvlJc w:val="left"/>
      <w:pPr>
        <w:tabs>
          <w:tab w:val="num" w:pos="454"/>
        </w:tabs>
        <w:ind w:left="624" w:hanging="170"/>
      </w:pPr>
      <w:rPr>
        <w:rFonts w:ascii="Courier New" w:hAnsi="Courier New"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41" w15:restartNumberingAfterBreak="0">
    <w:nsid w:val="2CF45687"/>
    <w:multiLevelType w:val="multilevel"/>
    <w:tmpl w:val="583A35FA"/>
    <w:name w:val="MyBullets4"/>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42" w15:restartNumberingAfterBreak="0">
    <w:nsid w:val="2DCE6818"/>
    <w:multiLevelType w:val="multilevel"/>
    <w:tmpl w:val="583A35FA"/>
    <w:name w:val="MyBullets13"/>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43" w15:restartNumberingAfterBreak="0">
    <w:nsid w:val="30D525DE"/>
    <w:multiLevelType w:val="hybridMultilevel"/>
    <w:tmpl w:val="EE64301E"/>
    <w:lvl w:ilvl="0" w:tplc="37DC63BA">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15672CA"/>
    <w:multiLevelType w:val="multilevel"/>
    <w:tmpl w:val="938274C0"/>
    <w:name w:val="Table Numbering"/>
    <w:lvl w:ilvl="0">
      <w:start w:val="1"/>
      <w:numFmt w:val="decimal"/>
      <w:lvlText w:val="%1."/>
      <w:lvlJc w:val="left"/>
      <w:pPr>
        <w:tabs>
          <w:tab w:val="num" w:pos="425"/>
        </w:tabs>
        <w:ind w:left="425" w:hanging="425"/>
      </w:pPr>
      <w:rPr>
        <w:rFonts w:hint="default"/>
        <w:b/>
        <w:i w:val="0"/>
        <w:color w:val="auto"/>
      </w:rPr>
    </w:lvl>
    <w:lvl w:ilvl="1">
      <w:start w:val="1"/>
      <w:numFmt w:val="lowerLetter"/>
      <w:lvlText w:val="%2)"/>
      <w:lvlJc w:val="left"/>
      <w:pPr>
        <w:tabs>
          <w:tab w:val="num" w:pos="851"/>
        </w:tabs>
        <w:ind w:left="850" w:hanging="425"/>
      </w:pPr>
      <w:rPr>
        <w:rFonts w:hint="default"/>
        <w:b/>
        <w:i w:val="0"/>
        <w:color w:val="auto"/>
      </w:rPr>
    </w:lvl>
    <w:lvl w:ilvl="2">
      <w:start w:val="1"/>
      <w:numFmt w:val="lowerRoman"/>
      <w:lvlText w:val="%3)"/>
      <w:lvlJc w:val="left"/>
      <w:pPr>
        <w:tabs>
          <w:tab w:val="num" w:pos="1276"/>
        </w:tabs>
        <w:ind w:left="1275" w:hanging="425"/>
      </w:pPr>
      <w:rPr>
        <w:rFonts w:hint="default"/>
        <w:b/>
        <w:i w:val="0"/>
        <w:color w:val="auto"/>
        <w:sz w:val="18"/>
      </w:rPr>
    </w:lvl>
    <w:lvl w:ilvl="3">
      <w:start w:val="1"/>
      <w:numFmt w:val="none"/>
      <w:lvlText w:val="%4"/>
      <w:lvlJc w:val="left"/>
      <w:pPr>
        <w:tabs>
          <w:tab w:val="num" w:pos="1701"/>
        </w:tabs>
        <w:ind w:left="1700" w:hanging="425"/>
      </w:pPr>
      <w:rPr>
        <w:rFonts w:hint="default"/>
        <w:b/>
        <w:i w:val="0"/>
        <w:color w:val="000000" w:themeColor="text1"/>
      </w:rPr>
    </w:lvl>
    <w:lvl w:ilvl="4">
      <w:start w:val="1"/>
      <w:numFmt w:val="none"/>
      <w:lvlText w:val="%5"/>
      <w:lvlJc w:val="left"/>
      <w:pPr>
        <w:tabs>
          <w:tab w:val="num" w:pos="2126"/>
        </w:tabs>
        <w:ind w:left="2125" w:hanging="425"/>
      </w:pPr>
      <w:rPr>
        <w:rFonts w:hint="default"/>
        <w:b/>
        <w:i w:val="0"/>
        <w:color w:val="000000" w:themeColor="text1"/>
      </w:rPr>
    </w:lvl>
    <w:lvl w:ilvl="5">
      <w:start w:val="1"/>
      <w:numFmt w:val="none"/>
      <w:lvlText w:val=""/>
      <w:lvlJc w:val="left"/>
      <w:pPr>
        <w:tabs>
          <w:tab w:val="num" w:pos="2522"/>
        </w:tabs>
        <w:ind w:left="2550" w:hanging="425"/>
      </w:pPr>
      <w:rPr>
        <w:rFonts w:hint="default"/>
      </w:rPr>
    </w:lvl>
    <w:lvl w:ilvl="6">
      <w:start w:val="1"/>
      <w:numFmt w:val="none"/>
      <w:lvlText w:val=""/>
      <w:lvlJc w:val="left"/>
      <w:pPr>
        <w:tabs>
          <w:tab w:val="num" w:pos="2947"/>
        </w:tabs>
        <w:ind w:left="2975" w:hanging="425"/>
      </w:pPr>
      <w:rPr>
        <w:rFonts w:hint="default"/>
      </w:rPr>
    </w:lvl>
    <w:lvl w:ilvl="7">
      <w:start w:val="1"/>
      <w:numFmt w:val="none"/>
      <w:lvlText w:val=""/>
      <w:lvlJc w:val="left"/>
      <w:pPr>
        <w:tabs>
          <w:tab w:val="num" w:pos="3372"/>
        </w:tabs>
        <w:ind w:left="3400" w:hanging="425"/>
      </w:pPr>
      <w:rPr>
        <w:rFonts w:hint="default"/>
      </w:rPr>
    </w:lvl>
    <w:lvl w:ilvl="8">
      <w:start w:val="1"/>
      <w:numFmt w:val="none"/>
      <w:lvlText w:val=""/>
      <w:lvlJc w:val="left"/>
      <w:pPr>
        <w:tabs>
          <w:tab w:val="num" w:pos="3797"/>
        </w:tabs>
        <w:ind w:left="3825" w:hanging="425"/>
      </w:pPr>
      <w:rPr>
        <w:rFonts w:hint="default"/>
      </w:rPr>
    </w:lvl>
  </w:abstractNum>
  <w:abstractNum w:abstractNumId="45" w15:restartNumberingAfterBreak="0">
    <w:nsid w:val="317814DA"/>
    <w:multiLevelType w:val="multilevel"/>
    <w:tmpl w:val="A712FE7C"/>
    <w:lvl w:ilvl="0">
      <w:start w:val="1"/>
      <w:numFmt w:val="decimal"/>
      <w:pStyle w:val="Exhibit"/>
      <w:lvlText w:val="Exhibit %1."/>
      <w:lvlJc w:val="left"/>
      <w:pPr>
        <w:tabs>
          <w:tab w:val="num" w:pos="0"/>
        </w:tabs>
        <w:ind w:left="1440" w:firstLine="0"/>
      </w:pPr>
      <w:rPr>
        <w:rFonts w:hint="default"/>
        <w:b w:val="0"/>
        <w:i/>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3192772E"/>
    <w:multiLevelType w:val="multilevel"/>
    <w:tmpl w:val="583A35FA"/>
    <w:name w:val="MyBullets8"/>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47" w15:restartNumberingAfterBreak="0">
    <w:nsid w:val="3262211A"/>
    <w:multiLevelType w:val="hybridMultilevel"/>
    <w:tmpl w:val="C64CDDDE"/>
    <w:lvl w:ilvl="0" w:tplc="0A20DD84">
      <w:start w:val="1"/>
      <w:numFmt w:val="bullet"/>
      <w:pStyle w:val="Tablebullet1"/>
      <w:lvlText w:val=""/>
      <w:lvlJc w:val="left"/>
      <w:pPr>
        <w:ind w:left="720" w:hanging="360"/>
      </w:pPr>
      <w:rPr>
        <w:rFonts w:ascii="Symbol" w:hAnsi="Symbol" w:hint="default"/>
        <w:b w:val="0"/>
        <w:i w:val="0"/>
        <w:color w:val="auto"/>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32F0649C"/>
    <w:multiLevelType w:val="multilevel"/>
    <w:tmpl w:val="583A35FA"/>
    <w:name w:val="MyBullets25"/>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49" w15:restartNumberingAfterBreak="0">
    <w:nsid w:val="353B574C"/>
    <w:multiLevelType w:val="multilevel"/>
    <w:tmpl w:val="583A35FA"/>
    <w:name w:val="MyBullets21"/>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50" w15:restartNumberingAfterBreak="0">
    <w:nsid w:val="353C0450"/>
    <w:multiLevelType w:val="hybridMultilevel"/>
    <w:tmpl w:val="2438EBA8"/>
    <w:lvl w:ilvl="0" w:tplc="0C090001">
      <w:start w:val="1"/>
      <w:numFmt w:val="bullet"/>
      <w:lvlText w:val=""/>
      <w:lvlJc w:val="left"/>
      <w:pPr>
        <w:ind w:left="445" w:hanging="360"/>
      </w:pPr>
      <w:rPr>
        <w:rFonts w:ascii="Symbol" w:hAnsi="Symbol"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51" w15:restartNumberingAfterBreak="0">
    <w:nsid w:val="359A0D6E"/>
    <w:multiLevelType w:val="multilevel"/>
    <w:tmpl w:val="583A35FA"/>
    <w:name w:val="MyBullets31"/>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52" w15:restartNumberingAfterBreak="0">
    <w:nsid w:val="36D265CB"/>
    <w:multiLevelType w:val="multilevel"/>
    <w:tmpl w:val="1F8455AC"/>
    <w:lvl w:ilvl="0">
      <w:start w:val="1"/>
      <w:numFmt w:val="decimal"/>
      <w:pStyle w:val="Consultquestionparagraph"/>
      <w:lvlText w:val="%1."/>
      <w:lvlJc w:val="left"/>
      <w:pPr>
        <w:ind w:left="360" w:hanging="360"/>
      </w:pPr>
      <w:rPr>
        <w:rFonts w:asciiTheme="majorHAnsi" w:hAnsiTheme="majorHAnsi" w:cstheme="majorHAnsi"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7BD00BF"/>
    <w:multiLevelType w:val="multilevel"/>
    <w:tmpl w:val="583A35FA"/>
    <w:name w:val="MyBullets23"/>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54" w15:restartNumberingAfterBreak="0">
    <w:nsid w:val="37E16566"/>
    <w:multiLevelType w:val="multilevel"/>
    <w:tmpl w:val="8DF8C6B6"/>
    <w:name w:val="MyNumbering7"/>
    <w:lvl w:ilvl="0">
      <w:start w:val="1"/>
      <w:numFmt w:val="decimal"/>
      <w:lvlText w:val="%1."/>
      <w:lvlJc w:val="left"/>
      <w:pPr>
        <w:ind w:left="360" w:hanging="360"/>
      </w:pPr>
      <w:rPr>
        <w:rFonts w:ascii="Arial" w:hAnsi="Arial" w:hint="default"/>
        <w:b w:val="0"/>
        <w:i w:val="0"/>
        <w:color w:val="auto"/>
        <w:sz w:val="22"/>
        <w:szCs w:val="18"/>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upperLetter"/>
      <w:lvlText w:val="%4."/>
      <w:lvlJc w:val="left"/>
      <w:pPr>
        <w:ind w:left="1428" w:hanging="357"/>
      </w:pPr>
      <w:rPr>
        <w:rFonts w:hint="default"/>
      </w:rPr>
    </w:lvl>
    <w:lvl w:ilvl="4">
      <w:start w:val="1"/>
      <w:numFmt w:val="upperRoman"/>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55" w15:restartNumberingAfterBreak="0">
    <w:nsid w:val="381541A6"/>
    <w:multiLevelType w:val="hybridMultilevel"/>
    <w:tmpl w:val="6206041E"/>
    <w:name w:val="MyNumbering62244"/>
    <w:lvl w:ilvl="0" w:tplc="36F829CA">
      <w:start w:val="1"/>
      <w:numFmt w:val="lowerLetter"/>
      <w:lvlText w:val="(%1)"/>
      <w:lvlJc w:val="left"/>
      <w:pPr>
        <w:ind w:left="720" w:hanging="360"/>
      </w:pPr>
      <w:rPr>
        <w:rFonts w:ascii="Arial" w:hAnsi="Arial" w:hint="default"/>
        <w:b w:val="0"/>
        <w:i w:val="0"/>
        <w:sz w:val="22"/>
        <w:szCs w:val="2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38AF53A9"/>
    <w:multiLevelType w:val="hybridMultilevel"/>
    <w:tmpl w:val="927651AE"/>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57" w15:restartNumberingAfterBreak="0">
    <w:nsid w:val="38F8327A"/>
    <w:multiLevelType w:val="multilevel"/>
    <w:tmpl w:val="583A35FA"/>
    <w:name w:val="MyBullets30"/>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58" w15:restartNumberingAfterBreak="0">
    <w:nsid w:val="39AC4CF0"/>
    <w:multiLevelType w:val="hybridMultilevel"/>
    <w:tmpl w:val="CF9E5B5C"/>
    <w:lvl w:ilvl="0" w:tplc="8FDC52DA">
      <w:start w:val="1"/>
      <w:numFmt w:val="decimal"/>
      <w:lvlText w:val="%1"/>
      <w:lvlJc w:val="left"/>
      <w:pPr>
        <w:ind w:left="805" w:hanging="360"/>
      </w:pPr>
      <w:rPr>
        <w:rFonts w:ascii="Arial" w:hAnsi="Arial" w:hint="default"/>
        <w:b w:val="0"/>
        <w:i w:val="0"/>
        <w:sz w:val="16"/>
        <w:vertAlign w:val="baseline"/>
      </w:rPr>
    </w:lvl>
    <w:lvl w:ilvl="1" w:tplc="0C090019" w:tentative="1">
      <w:start w:val="1"/>
      <w:numFmt w:val="lowerLetter"/>
      <w:lvlText w:val="%2."/>
      <w:lvlJc w:val="left"/>
      <w:pPr>
        <w:ind w:left="1525" w:hanging="360"/>
      </w:pPr>
    </w:lvl>
    <w:lvl w:ilvl="2" w:tplc="0C09001B" w:tentative="1">
      <w:start w:val="1"/>
      <w:numFmt w:val="lowerRoman"/>
      <w:lvlText w:val="%3."/>
      <w:lvlJc w:val="right"/>
      <w:pPr>
        <w:ind w:left="2245" w:hanging="180"/>
      </w:pPr>
    </w:lvl>
    <w:lvl w:ilvl="3" w:tplc="0C09000F" w:tentative="1">
      <w:start w:val="1"/>
      <w:numFmt w:val="decimal"/>
      <w:lvlText w:val="%4."/>
      <w:lvlJc w:val="left"/>
      <w:pPr>
        <w:ind w:left="2965" w:hanging="360"/>
      </w:pPr>
    </w:lvl>
    <w:lvl w:ilvl="4" w:tplc="0C090019" w:tentative="1">
      <w:start w:val="1"/>
      <w:numFmt w:val="lowerLetter"/>
      <w:lvlText w:val="%5."/>
      <w:lvlJc w:val="left"/>
      <w:pPr>
        <w:ind w:left="3685" w:hanging="360"/>
      </w:pPr>
    </w:lvl>
    <w:lvl w:ilvl="5" w:tplc="0C09001B" w:tentative="1">
      <w:start w:val="1"/>
      <w:numFmt w:val="lowerRoman"/>
      <w:lvlText w:val="%6."/>
      <w:lvlJc w:val="right"/>
      <w:pPr>
        <w:ind w:left="4405" w:hanging="180"/>
      </w:pPr>
    </w:lvl>
    <w:lvl w:ilvl="6" w:tplc="0C09000F" w:tentative="1">
      <w:start w:val="1"/>
      <w:numFmt w:val="decimal"/>
      <w:lvlText w:val="%7."/>
      <w:lvlJc w:val="left"/>
      <w:pPr>
        <w:ind w:left="5125" w:hanging="360"/>
      </w:pPr>
    </w:lvl>
    <w:lvl w:ilvl="7" w:tplc="0C090019" w:tentative="1">
      <w:start w:val="1"/>
      <w:numFmt w:val="lowerLetter"/>
      <w:lvlText w:val="%8."/>
      <w:lvlJc w:val="left"/>
      <w:pPr>
        <w:ind w:left="5845" w:hanging="360"/>
      </w:pPr>
    </w:lvl>
    <w:lvl w:ilvl="8" w:tplc="0C09001B" w:tentative="1">
      <w:start w:val="1"/>
      <w:numFmt w:val="lowerRoman"/>
      <w:lvlText w:val="%9."/>
      <w:lvlJc w:val="right"/>
      <w:pPr>
        <w:ind w:left="6565" w:hanging="180"/>
      </w:pPr>
    </w:lvl>
  </w:abstractNum>
  <w:abstractNum w:abstractNumId="59" w15:restartNumberingAfterBreak="0">
    <w:nsid w:val="39CB5DDF"/>
    <w:multiLevelType w:val="multilevel"/>
    <w:tmpl w:val="583A35FA"/>
    <w:name w:val="MyBullets10"/>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60" w15:restartNumberingAfterBreak="0">
    <w:nsid w:val="3AC734CF"/>
    <w:multiLevelType w:val="hybridMultilevel"/>
    <w:tmpl w:val="6E9E426C"/>
    <w:name w:val="MyNumbering5"/>
    <w:lvl w:ilvl="0" w:tplc="A432922E">
      <w:start w:val="1"/>
      <w:numFmt w:val="decimal"/>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3B3D5EA7"/>
    <w:multiLevelType w:val="hybridMultilevel"/>
    <w:tmpl w:val="F11C5CAA"/>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62" w15:restartNumberingAfterBreak="0">
    <w:nsid w:val="3E1312E0"/>
    <w:multiLevelType w:val="multilevel"/>
    <w:tmpl w:val="583A35FA"/>
    <w:name w:val="MyBullets316"/>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63" w15:restartNumberingAfterBreak="0">
    <w:nsid w:val="3EDB238B"/>
    <w:multiLevelType w:val="multilevel"/>
    <w:tmpl w:val="DCC6546E"/>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851" w:hanging="567"/>
      </w:pPr>
      <w:rPr>
        <w:rFonts w:hint="default"/>
        <w:b/>
        <w:i w:val="0"/>
        <w:u w:val="none"/>
      </w:rPr>
    </w:lvl>
    <w:lvl w:ilvl="2">
      <w:start w:val="1"/>
      <w:numFmt w:val="decimal"/>
      <w:pStyle w:val="Heading3"/>
      <w:lvlText w:val="%1.%2.%3"/>
      <w:lvlJc w:val="left"/>
      <w:pPr>
        <w:ind w:left="5671" w:hanging="851"/>
      </w:pPr>
      <w:rPr>
        <w:rFonts w:hint="default"/>
        <w:b/>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4" w15:restartNumberingAfterBreak="0">
    <w:nsid w:val="3F240BDB"/>
    <w:multiLevelType w:val="hybridMultilevel"/>
    <w:tmpl w:val="034CC1D2"/>
    <w:name w:val="MyNumbering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3F9D3D47"/>
    <w:multiLevelType w:val="multilevel"/>
    <w:tmpl w:val="583A35FA"/>
    <w:name w:val="MyBullets18"/>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66" w15:restartNumberingAfterBreak="0">
    <w:nsid w:val="404C6F38"/>
    <w:multiLevelType w:val="hybridMultilevel"/>
    <w:tmpl w:val="15F6EBA2"/>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67" w15:restartNumberingAfterBreak="0">
    <w:nsid w:val="42450A0B"/>
    <w:multiLevelType w:val="hybridMultilevel"/>
    <w:tmpl w:val="E6004D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4247713B"/>
    <w:multiLevelType w:val="multilevel"/>
    <w:tmpl w:val="277629B6"/>
    <w:name w:val="MyNumbering622"/>
    <w:lvl w:ilvl="0">
      <w:start w:val="1"/>
      <w:numFmt w:val="decimal"/>
      <w:lvlText w:val="%1."/>
      <w:lvlJc w:val="left"/>
      <w:pPr>
        <w:ind w:left="360" w:hanging="360"/>
      </w:pPr>
      <w:rPr>
        <w:rFonts w:ascii="Arial" w:hAnsi="Arial" w:hint="default"/>
        <w:b w:val="0"/>
        <w:i w:val="0"/>
        <w:color w:val="auto"/>
        <w:sz w:val="22"/>
        <w:szCs w:val="18"/>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upperLetter"/>
      <w:lvlText w:val="%4."/>
      <w:lvlJc w:val="left"/>
      <w:pPr>
        <w:ind w:left="1428" w:hanging="357"/>
      </w:pPr>
      <w:rPr>
        <w:rFonts w:hint="default"/>
      </w:rPr>
    </w:lvl>
    <w:lvl w:ilvl="4">
      <w:start w:val="1"/>
      <w:numFmt w:val="upperRoman"/>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69" w15:restartNumberingAfterBreak="0">
    <w:nsid w:val="43195713"/>
    <w:multiLevelType w:val="hybridMultilevel"/>
    <w:tmpl w:val="2B2C8B8E"/>
    <w:lvl w:ilvl="0" w:tplc="6A9E8C7C">
      <w:start w:val="1"/>
      <w:numFmt w:val="bullet"/>
      <w:pStyle w:val="Table2"/>
      <w:lvlText w:val="-"/>
      <w:lvlJc w:val="left"/>
      <w:pPr>
        <w:ind w:left="805" w:hanging="360"/>
      </w:pPr>
      <w:rPr>
        <w:rFonts w:ascii="Arial" w:hAnsi="Arial" w:hint="default"/>
      </w:rPr>
    </w:lvl>
    <w:lvl w:ilvl="1" w:tplc="0C090003" w:tentative="1">
      <w:start w:val="1"/>
      <w:numFmt w:val="bullet"/>
      <w:lvlText w:val="o"/>
      <w:lvlJc w:val="left"/>
      <w:pPr>
        <w:ind w:left="1525" w:hanging="360"/>
      </w:pPr>
      <w:rPr>
        <w:rFonts w:ascii="Courier New" w:hAnsi="Courier New" w:cs="Courier New" w:hint="default"/>
      </w:rPr>
    </w:lvl>
    <w:lvl w:ilvl="2" w:tplc="0C090005" w:tentative="1">
      <w:start w:val="1"/>
      <w:numFmt w:val="bullet"/>
      <w:lvlText w:val=""/>
      <w:lvlJc w:val="left"/>
      <w:pPr>
        <w:ind w:left="2245" w:hanging="360"/>
      </w:pPr>
      <w:rPr>
        <w:rFonts w:ascii="Wingdings" w:hAnsi="Wingdings" w:hint="default"/>
      </w:rPr>
    </w:lvl>
    <w:lvl w:ilvl="3" w:tplc="0C090001" w:tentative="1">
      <w:start w:val="1"/>
      <w:numFmt w:val="bullet"/>
      <w:lvlText w:val=""/>
      <w:lvlJc w:val="left"/>
      <w:pPr>
        <w:ind w:left="2965" w:hanging="360"/>
      </w:pPr>
      <w:rPr>
        <w:rFonts w:ascii="Symbol" w:hAnsi="Symbol" w:hint="default"/>
      </w:rPr>
    </w:lvl>
    <w:lvl w:ilvl="4" w:tplc="0C090003" w:tentative="1">
      <w:start w:val="1"/>
      <w:numFmt w:val="bullet"/>
      <w:lvlText w:val="o"/>
      <w:lvlJc w:val="left"/>
      <w:pPr>
        <w:ind w:left="3685" w:hanging="360"/>
      </w:pPr>
      <w:rPr>
        <w:rFonts w:ascii="Courier New" w:hAnsi="Courier New" w:cs="Courier New" w:hint="default"/>
      </w:rPr>
    </w:lvl>
    <w:lvl w:ilvl="5" w:tplc="0C090005" w:tentative="1">
      <w:start w:val="1"/>
      <w:numFmt w:val="bullet"/>
      <w:lvlText w:val=""/>
      <w:lvlJc w:val="left"/>
      <w:pPr>
        <w:ind w:left="4405" w:hanging="360"/>
      </w:pPr>
      <w:rPr>
        <w:rFonts w:ascii="Wingdings" w:hAnsi="Wingdings" w:hint="default"/>
      </w:rPr>
    </w:lvl>
    <w:lvl w:ilvl="6" w:tplc="0C090001" w:tentative="1">
      <w:start w:val="1"/>
      <w:numFmt w:val="bullet"/>
      <w:lvlText w:val=""/>
      <w:lvlJc w:val="left"/>
      <w:pPr>
        <w:ind w:left="5125" w:hanging="360"/>
      </w:pPr>
      <w:rPr>
        <w:rFonts w:ascii="Symbol" w:hAnsi="Symbol" w:hint="default"/>
      </w:rPr>
    </w:lvl>
    <w:lvl w:ilvl="7" w:tplc="0C090003" w:tentative="1">
      <w:start w:val="1"/>
      <w:numFmt w:val="bullet"/>
      <w:lvlText w:val="o"/>
      <w:lvlJc w:val="left"/>
      <w:pPr>
        <w:ind w:left="5845" w:hanging="360"/>
      </w:pPr>
      <w:rPr>
        <w:rFonts w:ascii="Courier New" w:hAnsi="Courier New" w:cs="Courier New" w:hint="default"/>
      </w:rPr>
    </w:lvl>
    <w:lvl w:ilvl="8" w:tplc="0C090005" w:tentative="1">
      <w:start w:val="1"/>
      <w:numFmt w:val="bullet"/>
      <w:lvlText w:val=""/>
      <w:lvlJc w:val="left"/>
      <w:pPr>
        <w:ind w:left="6565" w:hanging="360"/>
      </w:pPr>
      <w:rPr>
        <w:rFonts w:ascii="Wingdings" w:hAnsi="Wingdings" w:hint="default"/>
      </w:rPr>
    </w:lvl>
  </w:abstractNum>
  <w:abstractNum w:abstractNumId="70" w15:restartNumberingAfterBreak="0">
    <w:nsid w:val="43665411"/>
    <w:multiLevelType w:val="multilevel"/>
    <w:tmpl w:val="583A35FA"/>
    <w:name w:val="MyBullets35"/>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71" w15:restartNumberingAfterBreak="0">
    <w:nsid w:val="45D07742"/>
    <w:multiLevelType w:val="multilevel"/>
    <w:tmpl w:val="8DF8C6B6"/>
    <w:name w:val="MyNumbering9"/>
    <w:lvl w:ilvl="0">
      <w:start w:val="1"/>
      <w:numFmt w:val="decimal"/>
      <w:lvlText w:val="%1."/>
      <w:lvlJc w:val="left"/>
      <w:pPr>
        <w:ind w:left="360" w:hanging="360"/>
      </w:pPr>
      <w:rPr>
        <w:rFonts w:ascii="Arial" w:hAnsi="Arial" w:hint="default"/>
        <w:b w:val="0"/>
        <w:i w:val="0"/>
        <w:color w:val="auto"/>
        <w:sz w:val="22"/>
        <w:szCs w:val="18"/>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upperLetter"/>
      <w:lvlText w:val="%4."/>
      <w:lvlJc w:val="left"/>
      <w:pPr>
        <w:ind w:left="1428" w:hanging="357"/>
      </w:pPr>
      <w:rPr>
        <w:rFonts w:hint="default"/>
      </w:rPr>
    </w:lvl>
    <w:lvl w:ilvl="4">
      <w:start w:val="1"/>
      <w:numFmt w:val="upperRoman"/>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72" w15:restartNumberingAfterBreak="0">
    <w:nsid w:val="45FF7C58"/>
    <w:multiLevelType w:val="multilevel"/>
    <w:tmpl w:val="583A35FA"/>
    <w:name w:val="MyBullets19"/>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73" w15:restartNumberingAfterBreak="0">
    <w:nsid w:val="4684033D"/>
    <w:multiLevelType w:val="multilevel"/>
    <w:tmpl w:val="583A35FA"/>
    <w:name w:val="MyBullets39"/>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74" w15:restartNumberingAfterBreak="0">
    <w:nsid w:val="47844F2D"/>
    <w:multiLevelType w:val="multilevel"/>
    <w:tmpl w:val="DC0412A8"/>
    <w:name w:val="items"/>
    <w:lvl w:ilvl="0">
      <w:start w:val="1"/>
      <w:numFmt w:val="decimal"/>
      <w:lvlRestart w:val="0"/>
      <w:lvlText w:val="%1."/>
      <w:lvlJc w:val="left"/>
      <w:pPr>
        <w:ind w:left="624" w:hanging="624"/>
      </w:pPr>
      <w:rPr>
        <w:color w:val="5D89B4" w:themeColor="accent3"/>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487B4A4E"/>
    <w:multiLevelType w:val="hybridMultilevel"/>
    <w:tmpl w:val="B25610A2"/>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76" w15:restartNumberingAfterBreak="0">
    <w:nsid w:val="49267E33"/>
    <w:multiLevelType w:val="multilevel"/>
    <w:tmpl w:val="583A35FA"/>
    <w:name w:val="MyBullets32"/>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77" w15:restartNumberingAfterBreak="0">
    <w:nsid w:val="495451BC"/>
    <w:multiLevelType w:val="multilevel"/>
    <w:tmpl w:val="583A35FA"/>
    <w:name w:val="MyBullets2"/>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78" w15:restartNumberingAfterBreak="0">
    <w:nsid w:val="49936323"/>
    <w:multiLevelType w:val="multilevel"/>
    <w:tmpl w:val="583A35FA"/>
    <w:name w:val="MyBullets312"/>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79" w15:restartNumberingAfterBreak="0">
    <w:nsid w:val="49C129F8"/>
    <w:multiLevelType w:val="multilevel"/>
    <w:tmpl w:val="C1568912"/>
    <w:name w:val="HeadingsList"/>
    <w:styleLink w:val="HeadingsList"/>
    <w:lvl w:ilvl="0">
      <w:start w:val="1"/>
      <w:numFmt w:val="decimal"/>
      <w:lvlRestart w:val="0"/>
      <w:lvlText w:val="%1."/>
      <w:lvlJc w:val="left"/>
      <w:pPr>
        <w:ind w:left="936" w:hanging="936"/>
      </w:pPr>
      <w:rPr>
        <w:rFonts w:asciiTheme="majorHAnsi" w:eastAsiaTheme="majorEastAsia" w:hAnsiTheme="majorHAnsi" w:cstheme="majorBidi" w:hint="default"/>
        <w:b/>
        <w:bCs/>
        <w:i w:val="0"/>
        <w:iCs w:val="0"/>
        <w:sz w:val="28"/>
        <w:szCs w:val="28"/>
      </w:rPr>
    </w:lvl>
    <w:lvl w:ilvl="1">
      <w:start w:val="1"/>
      <w:numFmt w:val="decimal"/>
      <w:lvlText w:val="%1.%2."/>
      <w:lvlJc w:val="left"/>
      <w:pPr>
        <w:ind w:left="936" w:hanging="936"/>
      </w:pPr>
      <w:rPr>
        <w:rFonts w:asciiTheme="majorHAnsi" w:eastAsiaTheme="majorEastAsia" w:hAnsiTheme="majorHAnsi" w:cstheme="majorBidi" w:hint="default"/>
        <w:b/>
        <w:bCs/>
        <w:i w:val="0"/>
        <w:iCs w:val="0"/>
        <w:sz w:val="26"/>
        <w:szCs w:val="26"/>
      </w:rPr>
    </w:lvl>
    <w:lvl w:ilvl="2">
      <w:start w:val="1"/>
      <w:numFmt w:val="decimal"/>
      <w:lvlText w:val="%1.%2.%3."/>
      <w:lvlJc w:val="left"/>
      <w:pPr>
        <w:ind w:left="936" w:hanging="936"/>
      </w:pPr>
      <w:rPr>
        <w:rFonts w:asciiTheme="majorHAnsi" w:eastAsiaTheme="majorEastAsia" w:hAnsiTheme="majorHAnsi" w:cstheme="majorBidi" w:hint="default"/>
        <w:b/>
        <w:bCs/>
        <w:i w:val="0"/>
        <w:iCs w:val="0"/>
        <w:sz w:val="24"/>
        <w:szCs w:val="24"/>
      </w:rPr>
    </w:lvl>
    <w:lvl w:ilvl="3">
      <w:start w:val="1"/>
      <w:numFmt w:val="decimal"/>
      <w:lvlText w:val="%1.%2.%3.%4."/>
      <w:lvlJc w:val="left"/>
      <w:pPr>
        <w:ind w:left="1296" w:hanging="1296"/>
      </w:pPr>
      <w:rPr>
        <w:rFonts w:asciiTheme="majorHAnsi" w:eastAsiaTheme="majorEastAsia" w:hAnsiTheme="majorHAnsi" w:cstheme="majorBidi" w:hint="default"/>
        <w:b w:val="0"/>
        <w:bCs w:val="0"/>
        <w:i w:val="0"/>
        <w:iCs w:val="0"/>
        <w:sz w:val="24"/>
        <w:szCs w:val="24"/>
      </w:rPr>
    </w:lvl>
    <w:lvl w:ilvl="4">
      <w:start w:val="1"/>
      <w:numFmt w:val="decimal"/>
      <w:lvlText w:val="%1.%2.%3.%4.%5."/>
      <w:lvlJc w:val="left"/>
      <w:pPr>
        <w:ind w:left="1296" w:hanging="1296"/>
      </w:pPr>
      <w:rPr>
        <w:rFonts w:asciiTheme="majorHAnsi" w:eastAsiaTheme="majorEastAsia" w:hAnsiTheme="majorHAnsi" w:cstheme="majorBidi" w:hint="default"/>
        <w:b w:val="0"/>
        <w:bCs w:val="0"/>
        <w:i/>
        <w:iCs/>
        <w:sz w:val="24"/>
        <w:szCs w:val="24"/>
      </w:rPr>
    </w:lvl>
    <w:lvl w:ilvl="5">
      <w:start w:val="1"/>
      <w:numFmt w:val="decimal"/>
      <w:lvlText w:val="%1.%2.%3.%4.%5.%6."/>
      <w:lvlJc w:val="left"/>
      <w:pPr>
        <w:ind w:left="1296" w:hanging="1296"/>
      </w:pPr>
      <w:rPr>
        <w:rFonts w:hint="default"/>
        <w:b w:val="0"/>
        <w:bCs w:val="0"/>
        <w:i w:val="0"/>
        <w:iCs/>
        <w:sz w:val="24"/>
        <w:szCs w:val="24"/>
      </w:rPr>
    </w:lvl>
    <w:lvl w:ilvl="6">
      <w:start w:val="1"/>
      <w:numFmt w:val="decimal"/>
      <w:lvlText w:val="%1.%2.%3.%4.%5.%6.%7."/>
      <w:lvlJc w:val="left"/>
      <w:pPr>
        <w:ind w:left="1296" w:hanging="1296"/>
      </w:pPr>
      <w:rPr>
        <w:rFonts w:hint="default"/>
        <w:b w:val="0"/>
        <w:bCs w:val="0"/>
        <w:i w:val="0"/>
        <w:iCs/>
        <w:sz w:val="24"/>
        <w:szCs w:val="24"/>
      </w:rPr>
    </w:lvl>
    <w:lvl w:ilvl="7">
      <w:start w:val="1"/>
      <w:numFmt w:val="decimal"/>
      <w:lvlText w:val="%1.%2.%3.%4.%5.%6.%7.%8."/>
      <w:lvlJc w:val="left"/>
      <w:pPr>
        <w:ind w:left="1296" w:hanging="1296"/>
      </w:pPr>
      <w:rPr>
        <w:rFonts w:hint="default"/>
        <w:b w:val="0"/>
        <w:bCs w:val="0"/>
        <w:i w:val="0"/>
        <w:iCs w:val="0"/>
        <w:sz w:val="20"/>
        <w:szCs w:val="24"/>
      </w:rPr>
    </w:lvl>
    <w:lvl w:ilvl="8">
      <w:start w:val="1"/>
      <w:numFmt w:val="decimal"/>
      <w:lvlText w:val="%1.%2.%3.%4.%5.%6.%7.%8.%9."/>
      <w:lvlJc w:val="left"/>
      <w:pPr>
        <w:ind w:left="1296" w:hanging="1296"/>
      </w:pPr>
      <w:rPr>
        <w:rFonts w:hint="default"/>
        <w:b w:val="0"/>
        <w:bCs w:val="0"/>
        <w:i w:val="0"/>
        <w:iCs/>
        <w:sz w:val="20"/>
        <w:szCs w:val="24"/>
      </w:rPr>
    </w:lvl>
  </w:abstractNum>
  <w:abstractNum w:abstractNumId="80" w15:restartNumberingAfterBreak="0">
    <w:nsid w:val="4A9D27B0"/>
    <w:multiLevelType w:val="hybridMultilevel"/>
    <w:tmpl w:val="E27A23E6"/>
    <w:name w:val="MyNumbering62242"/>
    <w:lvl w:ilvl="0" w:tplc="3290243E">
      <w:start w:val="1"/>
      <w:numFmt w:val="lowerLetter"/>
      <w:lvlText w:val="%1"/>
      <w:lvlJc w:val="left"/>
      <w:pPr>
        <w:ind w:left="1077" w:hanging="360"/>
      </w:pPr>
      <w:rPr>
        <w:rFonts w:ascii="Arial" w:hAnsi="Arial" w:hint="default"/>
        <w:b w:val="0"/>
        <w:i w:val="0"/>
        <w:sz w:val="22"/>
        <w:szCs w:val="26"/>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81" w15:restartNumberingAfterBreak="0">
    <w:nsid w:val="4BFF2C71"/>
    <w:multiLevelType w:val="hybridMultilevel"/>
    <w:tmpl w:val="7160E82E"/>
    <w:name w:val="MyNumbering3"/>
    <w:lvl w:ilvl="0" w:tplc="9036DE78">
      <w:start w:val="1"/>
      <w:numFmt w:val="decimal"/>
      <w:lvlText w:val="(%1)"/>
      <w:lvlJc w:val="left"/>
      <w:pPr>
        <w:ind w:left="720" w:hanging="360"/>
      </w:pPr>
      <w:rPr>
        <w:rFonts w:ascii="Arial" w:hAnsi="Arial"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15:restartNumberingAfterBreak="0">
    <w:nsid w:val="4CE247A3"/>
    <w:multiLevelType w:val="hybridMultilevel"/>
    <w:tmpl w:val="DA9AF5C4"/>
    <w:lvl w:ilvl="0" w:tplc="0A800BF4">
      <w:start w:val="1"/>
      <w:numFmt w:val="lowerLetter"/>
      <w:lvlText w:val="(%1)"/>
      <w:lvlJc w:val="left"/>
      <w:pPr>
        <w:ind w:left="1080" w:hanging="360"/>
      </w:pPr>
      <w:rPr>
        <w:rFonts w:ascii="Arial" w:hAnsi="Arial" w:hint="default"/>
        <w:b w:val="0"/>
        <w:i w:val="0"/>
        <w:sz w:val="16"/>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3" w15:restartNumberingAfterBreak="0">
    <w:nsid w:val="4EF67232"/>
    <w:multiLevelType w:val="multilevel"/>
    <w:tmpl w:val="100AAA4C"/>
    <w:name w:val="Axiom Appendices"/>
    <w:lvl w:ilvl="0">
      <w:start w:val="1"/>
      <w:numFmt w:val="upperLetter"/>
      <w:lvlRestart w:val="0"/>
      <w:pStyle w:val="Heading9"/>
      <w:lvlText w:val="Appendix %1"/>
      <w:lvlJc w:val="left"/>
      <w:pPr>
        <w:ind w:left="2268" w:hanging="2268"/>
      </w:pPr>
      <w:rPr>
        <w:rFonts w:hint="default"/>
      </w:rPr>
    </w:lvl>
    <w:lvl w:ilvl="1">
      <w:start w:val="1"/>
      <w:numFmt w:val="decimal"/>
      <w:pStyle w:val="AppendixHeading2"/>
      <w:lvlText w:val="%1.%2"/>
      <w:lvlJc w:val="left"/>
      <w:pPr>
        <w:ind w:left="851" w:hanging="851"/>
      </w:pPr>
      <w:rPr>
        <w:rFonts w:hint="default"/>
      </w:rPr>
    </w:lvl>
    <w:lvl w:ilvl="2">
      <w:start w:val="1"/>
      <w:numFmt w:val="decimal"/>
      <w:pStyle w:val="AppendixHeading3"/>
      <w:lvlText w:val="%1.%2.%3"/>
      <w:lvlJc w:val="left"/>
      <w:pPr>
        <w:ind w:left="851" w:hanging="851"/>
      </w:pPr>
      <w:rPr>
        <w:rFonts w:hint="default"/>
      </w:rPr>
    </w:lvl>
    <w:lvl w:ilvl="3">
      <w:start w:val="1"/>
      <w:numFmt w:val="decimal"/>
      <w:pStyle w:val="AppendixHeading4"/>
      <w:lvlText w:val="%1.%2.%3.%4"/>
      <w:lvlJc w:val="left"/>
      <w:pPr>
        <w:ind w:left="851" w:hanging="851"/>
      </w:pPr>
      <w:rPr>
        <w:rFonts w:hint="default"/>
        <w:b/>
        <w:i w:val="0"/>
      </w:rPr>
    </w:lvl>
    <w:lvl w:ilvl="4">
      <w:start w:val="1"/>
      <w:numFmt w:val="none"/>
      <w:suff w:val="spac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84" w15:restartNumberingAfterBreak="0">
    <w:nsid w:val="512A7060"/>
    <w:multiLevelType w:val="multilevel"/>
    <w:tmpl w:val="583A35FA"/>
    <w:name w:val="MyBullets11"/>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85" w15:restartNumberingAfterBreak="0">
    <w:nsid w:val="51A144D2"/>
    <w:multiLevelType w:val="multilevel"/>
    <w:tmpl w:val="583A35FA"/>
    <w:name w:val="MyBullets29"/>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86" w15:restartNumberingAfterBreak="0">
    <w:nsid w:val="51E923C7"/>
    <w:multiLevelType w:val="hybridMultilevel"/>
    <w:tmpl w:val="9B323CDA"/>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87" w15:restartNumberingAfterBreak="0">
    <w:nsid w:val="52456C28"/>
    <w:multiLevelType w:val="multilevel"/>
    <w:tmpl w:val="472A8ED0"/>
    <w:name w:val="U1_Legal Numbering"/>
    <w:lvl w:ilvl="0">
      <w:start w:val="1"/>
      <w:numFmt w:val="decimal"/>
      <w:lvlText w:val="%1."/>
      <w:lvlJc w:val="left"/>
      <w:pPr>
        <w:ind w:left="567"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tabs>
          <w:tab w:val="num" w:pos="1134"/>
        </w:tabs>
        <w:ind w:left="1814" w:hanging="680"/>
      </w:pPr>
      <w:rPr>
        <w:rFonts w:hint="default"/>
      </w:rPr>
    </w:lvl>
    <w:lvl w:ilvl="3">
      <w:start w:val="1"/>
      <w:numFmt w:val="decimal"/>
      <w:suff w:val="space"/>
      <w:lvlText w:val="%1.%2.%3.%4  "/>
      <w:lvlJc w:val="left"/>
      <w:pPr>
        <w:ind w:left="2268" w:hanging="454"/>
      </w:pPr>
      <w:rPr>
        <w:rFonts w:hint="default"/>
      </w:rPr>
    </w:lvl>
    <w:lvl w:ilvl="4">
      <w:start w:val="1"/>
      <w:numFmt w:val="none"/>
      <w:suff w:val="space"/>
      <w:lvlText w:val=""/>
      <w:lvlJc w:val="left"/>
      <w:pPr>
        <w:ind w:left="2835" w:hanging="567"/>
      </w:pPr>
      <w:rPr>
        <w:rFonts w:hint="default"/>
      </w:rPr>
    </w:lvl>
    <w:lvl w:ilvl="5">
      <w:start w:val="1"/>
      <w:numFmt w:val="none"/>
      <w:suff w:val="space"/>
      <w:lvlText w:val=""/>
      <w:lvlJc w:val="left"/>
      <w:pPr>
        <w:ind w:left="3402" w:hanging="567"/>
      </w:pPr>
      <w:rPr>
        <w:rFonts w:hint="default"/>
      </w:rPr>
    </w:lvl>
    <w:lvl w:ilvl="6">
      <w:start w:val="1"/>
      <w:numFmt w:val="none"/>
      <w:suff w:val="space"/>
      <w:lvlText w:val=""/>
      <w:lvlJc w:val="left"/>
      <w:pPr>
        <w:ind w:left="3969" w:hanging="567"/>
      </w:pPr>
      <w:rPr>
        <w:rFonts w:hint="default"/>
      </w:rPr>
    </w:lvl>
    <w:lvl w:ilvl="7">
      <w:start w:val="1"/>
      <w:numFmt w:val="none"/>
      <w:suff w:val="space"/>
      <w:lvlText w:val=""/>
      <w:lvlJc w:val="left"/>
      <w:pPr>
        <w:ind w:left="4536" w:hanging="567"/>
      </w:pPr>
      <w:rPr>
        <w:rFonts w:hint="default"/>
      </w:rPr>
    </w:lvl>
    <w:lvl w:ilvl="8">
      <w:start w:val="1"/>
      <w:numFmt w:val="none"/>
      <w:suff w:val="space"/>
      <w:lvlText w:val=""/>
      <w:lvlJc w:val="left"/>
      <w:pPr>
        <w:ind w:left="5103" w:hanging="567"/>
      </w:pPr>
      <w:rPr>
        <w:rFonts w:hint="default"/>
      </w:rPr>
    </w:lvl>
  </w:abstractNum>
  <w:abstractNum w:abstractNumId="88" w15:restartNumberingAfterBreak="0">
    <w:nsid w:val="52890B29"/>
    <w:multiLevelType w:val="hybridMultilevel"/>
    <w:tmpl w:val="067CFC18"/>
    <w:name w:val="MyHeadings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55A605C1"/>
    <w:multiLevelType w:val="multilevel"/>
    <w:tmpl w:val="583A35FA"/>
    <w:name w:val="MyBullets20"/>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90" w15:restartNumberingAfterBreak="0">
    <w:nsid w:val="55D6482D"/>
    <w:multiLevelType w:val="multilevel"/>
    <w:tmpl w:val="583A35FA"/>
    <w:name w:val="MyBullets3"/>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91" w15:restartNumberingAfterBreak="0">
    <w:nsid w:val="56C75B88"/>
    <w:multiLevelType w:val="multilevel"/>
    <w:tmpl w:val="9F643D5E"/>
    <w:lvl w:ilvl="0">
      <w:start w:val="1"/>
      <w:numFmt w:val="bullet"/>
      <w:lvlRestart w:val="0"/>
      <w:pStyle w:val="ListBullets"/>
      <w:lvlText w:val=""/>
      <w:lvlJc w:val="left"/>
      <w:pPr>
        <w:tabs>
          <w:tab w:val="num" w:pos="360"/>
        </w:tabs>
        <w:ind w:left="360" w:hanging="360"/>
      </w:pPr>
      <w:rPr>
        <w:rFonts w:ascii="Wingdings" w:hAnsi="Wingdings" w:hint="default"/>
      </w:rPr>
    </w:lvl>
    <w:lvl w:ilvl="1">
      <w:start w:val="1"/>
      <w:numFmt w:val="bullet"/>
      <w:lvlRestart w:val="0"/>
      <w:lvlText w:val=""/>
      <w:lvlJc w:val="left"/>
      <w:pPr>
        <w:tabs>
          <w:tab w:val="num" w:pos="720"/>
        </w:tabs>
        <w:ind w:left="720" w:hanging="360"/>
      </w:pPr>
      <w:rPr>
        <w:rFonts w:ascii="Symbol" w:hAnsi="Symbol" w:hint="default"/>
      </w:rPr>
    </w:lvl>
    <w:lvl w:ilvl="2">
      <w:start w:val="1"/>
      <w:numFmt w:val="bullet"/>
      <w:lvlRestart w:val="0"/>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2" w15:restartNumberingAfterBreak="0">
    <w:nsid w:val="56DE4589"/>
    <w:multiLevelType w:val="hybridMultilevel"/>
    <w:tmpl w:val="BD8EAB64"/>
    <w:name w:val="MyBullets31922"/>
    <w:lvl w:ilvl="0" w:tplc="8F8EC1A6">
      <w:start w:val="1"/>
      <w:numFmt w:val="bullet"/>
      <w:lvlText w:val="-"/>
      <w:lvlJc w:val="left"/>
      <w:pPr>
        <w:ind w:left="1077" w:hanging="360"/>
      </w:pPr>
      <w:rPr>
        <w:rFonts w:ascii="Arial" w:hAnsi="Aria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93" w15:restartNumberingAfterBreak="0">
    <w:nsid w:val="571F7B36"/>
    <w:multiLevelType w:val="multilevel"/>
    <w:tmpl w:val="583A35FA"/>
    <w:name w:val="MyBullets12"/>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94" w15:restartNumberingAfterBreak="0">
    <w:nsid w:val="57BA40B1"/>
    <w:multiLevelType w:val="hybridMultilevel"/>
    <w:tmpl w:val="F0547A34"/>
    <w:name w:val="MyNumbering62247"/>
    <w:lvl w:ilvl="0" w:tplc="8F8EC1A6">
      <w:start w:val="1"/>
      <w:numFmt w:val="bullet"/>
      <w:lvlText w:val="-"/>
      <w:lvlJc w:val="left"/>
      <w:pPr>
        <w:ind w:left="1032" w:hanging="360"/>
      </w:pPr>
      <w:rPr>
        <w:rFonts w:ascii="Arial" w:hAnsi="Arial" w:hint="default"/>
      </w:rPr>
    </w:lvl>
    <w:lvl w:ilvl="1" w:tplc="0C090003" w:tentative="1">
      <w:start w:val="1"/>
      <w:numFmt w:val="bullet"/>
      <w:lvlText w:val="o"/>
      <w:lvlJc w:val="left"/>
      <w:pPr>
        <w:ind w:left="1752" w:hanging="360"/>
      </w:pPr>
      <w:rPr>
        <w:rFonts w:ascii="Courier New" w:hAnsi="Courier New" w:cs="Courier New" w:hint="default"/>
      </w:rPr>
    </w:lvl>
    <w:lvl w:ilvl="2" w:tplc="0C090005" w:tentative="1">
      <w:start w:val="1"/>
      <w:numFmt w:val="bullet"/>
      <w:lvlText w:val=""/>
      <w:lvlJc w:val="left"/>
      <w:pPr>
        <w:ind w:left="2472" w:hanging="360"/>
      </w:pPr>
      <w:rPr>
        <w:rFonts w:ascii="Wingdings" w:hAnsi="Wingdings" w:hint="default"/>
      </w:rPr>
    </w:lvl>
    <w:lvl w:ilvl="3" w:tplc="0C090001" w:tentative="1">
      <w:start w:val="1"/>
      <w:numFmt w:val="bullet"/>
      <w:lvlText w:val=""/>
      <w:lvlJc w:val="left"/>
      <w:pPr>
        <w:ind w:left="3192" w:hanging="360"/>
      </w:pPr>
      <w:rPr>
        <w:rFonts w:ascii="Symbol" w:hAnsi="Symbol" w:hint="default"/>
      </w:rPr>
    </w:lvl>
    <w:lvl w:ilvl="4" w:tplc="0C090003" w:tentative="1">
      <w:start w:val="1"/>
      <w:numFmt w:val="bullet"/>
      <w:lvlText w:val="o"/>
      <w:lvlJc w:val="left"/>
      <w:pPr>
        <w:ind w:left="3912" w:hanging="360"/>
      </w:pPr>
      <w:rPr>
        <w:rFonts w:ascii="Courier New" w:hAnsi="Courier New" w:cs="Courier New" w:hint="default"/>
      </w:rPr>
    </w:lvl>
    <w:lvl w:ilvl="5" w:tplc="0C090005" w:tentative="1">
      <w:start w:val="1"/>
      <w:numFmt w:val="bullet"/>
      <w:lvlText w:val=""/>
      <w:lvlJc w:val="left"/>
      <w:pPr>
        <w:ind w:left="4632" w:hanging="360"/>
      </w:pPr>
      <w:rPr>
        <w:rFonts w:ascii="Wingdings" w:hAnsi="Wingdings" w:hint="default"/>
      </w:rPr>
    </w:lvl>
    <w:lvl w:ilvl="6" w:tplc="0C090001" w:tentative="1">
      <w:start w:val="1"/>
      <w:numFmt w:val="bullet"/>
      <w:lvlText w:val=""/>
      <w:lvlJc w:val="left"/>
      <w:pPr>
        <w:ind w:left="5352" w:hanging="360"/>
      </w:pPr>
      <w:rPr>
        <w:rFonts w:ascii="Symbol" w:hAnsi="Symbol" w:hint="default"/>
      </w:rPr>
    </w:lvl>
    <w:lvl w:ilvl="7" w:tplc="0C090003" w:tentative="1">
      <w:start w:val="1"/>
      <w:numFmt w:val="bullet"/>
      <w:lvlText w:val="o"/>
      <w:lvlJc w:val="left"/>
      <w:pPr>
        <w:ind w:left="6072" w:hanging="360"/>
      </w:pPr>
      <w:rPr>
        <w:rFonts w:ascii="Courier New" w:hAnsi="Courier New" w:cs="Courier New" w:hint="default"/>
      </w:rPr>
    </w:lvl>
    <w:lvl w:ilvl="8" w:tplc="0C090005" w:tentative="1">
      <w:start w:val="1"/>
      <w:numFmt w:val="bullet"/>
      <w:lvlText w:val=""/>
      <w:lvlJc w:val="left"/>
      <w:pPr>
        <w:ind w:left="6792" w:hanging="360"/>
      </w:pPr>
      <w:rPr>
        <w:rFonts w:ascii="Wingdings" w:hAnsi="Wingdings" w:hint="default"/>
      </w:rPr>
    </w:lvl>
  </w:abstractNum>
  <w:abstractNum w:abstractNumId="95" w15:restartNumberingAfterBreak="0">
    <w:nsid w:val="58741D25"/>
    <w:multiLevelType w:val="multilevel"/>
    <w:tmpl w:val="10107B4A"/>
    <w:name w:val="TableNumbering"/>
    <w:styleLink w:val="TableFootnotes"/>
    <w:lvl w:ilvl="0">
      <w:start w:val="1"/>
      <w:numFmt w:val="none"/>
      <w:suff w:val="nothing"/>
      <w:lvlText w:val=""/>
      <w:lvlJc w:val="left"/>
      <w:pPr>
        <w:ind w:left="0" w:firstLine="0"/>
      </w:pPr>
      <w:rPr>
        <w:rFonts w:hint="default"/>
      </w:rPr>
    </w:lvl>
    <w:lvl w:ilvl="1">
      <w:start w:val="1"/>
      <w:numFmt w:val="decimal"/>
      <w:lvlText w:val="(%2)"/>
      <w:lvlJc w:val="left"/>
      <w:pPr>
        <w:ind w:left="340" w:hanging="340"/>
      </w:pPr>
      <w:rPr>
        <w:rFonts w:hint="default"/>
      </w:rPr>
    </w:lvl>
    <w:lvl w:ilvl="2">
      <w:start w:val="1"/>
      <w:numFmt w:val="none"/>
      <w:lvlText w:val=""/>
      <w:lvlJc w:val="left"/>
      <w:pPr>
        <w:ind w:left="340" w:hanging="340"/>
      </w:pPr>
      <w:rPr>
        <w:rFonts w:hint="default"/>
      </w:rPr>
    </w:lvl>
    <w:lvl w:ilvl="3">
      <w:start w:val="1"/>
      <w:numFmt w:val="none"/>
      <w:lvlText w:val=""/>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96" w15:restartNumberingAfterBreak="0">
    <w:nsid w:val="593E71A5"/>
    <w:multiLevelType w:val="multilevel"/>
    <w:tmpl w:val="583A35FA"/>
    <w:name w:val="MyBullets26"/>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97" w15:restartNumberingAfterBreak="0">
    <w:nsid w:val="5A5A77E1"/>
    <w:multiLevelType w:val="multilevel"/>
    <w:tmpl w:val="583A35FA"/>
    <w:name w:val="MyBullets6"/>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98" w15:restartNumberingAfterBreak="0">
    <w:nsid w:val="5AE6625A"/>
    <w:multiLevelType w:val="multilevel"/>
    <w:tmpl w:val="FF203CF0"/>
    <w:name w:val="MyHeadings"/>
    <w:lvl w:ilvl="0">
      <w:start w:val="1"/>
      <w:numFmt w:val="decimal"/>
      <w:suff w:val="space"/>
      <w:lvlText w:val="%1."/>
      <w:lvlJc w:val="left"/>
      <w:pPr>
        <w:ind w:left="0" w:firstLine="0"/>
      </w:pPr>
      <w:rPr>
        <w:rFonts w:asciiTheme="majorHAnsi" w:hAnsiTheme="majorHAnsi" w:hint="default"/>
        <w:b/>
        <w:i w:val="0"/>
        <w:color w:val="E1E2E7" w:themeColor="background2"/>
        <w:sz w:val="40"/>
      </w:rPr>
    </w:lvl>
    <w:lvl w:ilvl="1">
      <w:start w:val="1"/>
      <w:numFmt w:val="decimal"/>
      <w:suff w:val="space"/>
      <w:lvlText w:val="%1.%2"/>
      <w:lvlJc w:val="left"/>
      <w:pPr>
        <w:ind w:left="0" w:firstLine="0"/>
      </w:pPr>
      <w:rPr>
        <w:rFonts w:asciiTheme="majorHAnsi" w:hAnsiTheme="majorHAnsi" w:hint="default"/>
        <w:b/>
        <w:i w:val="0"/>
        <w:color w:val="214C90" w:themeColor="text2"/>
        <w:spacing w:val="-6"/>
        <w:sz w:val="32"/>
      </w:rPr>
    </w:lvl>
    <w:lvl w:ilvl="2">
      <w:start w:val="1"/>
      <w:numFmt w:val="decimal"/>
      <w:suff w:val="space"/>
      <w:lvlText w:val="%1.%2.%3"/>
      <w:lvlJc w:val="left"/>
      <w:pPr>
        <w:ind w:left="0" w:firstLine="0"/>
      </w:pPr>
      <w:rPr>
        <w:rFonts w:asciiTheme="majorHAnsi" w:hAnsiTheme="majorHAnsi" w:hint="default"/>
        <w:b/>
        <w:i w:val="0"/>
        <w:color w:val="46A6A9" w:themeColor="accent2"/>
        <w:spacing w:val="-4"/>
        <w:sz w:val="24"/>
      </w:rPr>
    </w:lvl>
    <w:lvl w:ilvl="3">
      <w:start w:val="1"/>
      <w:numFmt w:val="decimal"/>
      <w:suff w:val="space"/>
      <w:lvlText w:val="%1.%2.%3.%4"/>
      <w:lvlJc w:val="left"/>
      <w:pPr>
        <w:ind w:left="0" w:firstLine="0"/>
      </w:pPr>
      <w:rPr>
        <w:rFonts w:asciiTheme="majorHAnsi" w:hAnsiTheme="majorHAnsi" w:hint="default"/>
        <w:b/>
        <w:i w:val="0"/>
        <w:color w:val="auto"/>
        <w:sz w:val="20"/>
      </w:rPr>
    </w:lvl>
    <w:lvl w:ilvl="4">
      <w:start w:val="1"/>
      <w:numFmt w:val="none"/>
      <w:suff w:val="space"/>
      <w:lvlText w:val=""/>
      <w:lvlJc w:val="left"/>
      <w:pPr>
        <w:ind w:left="0" w:firstLine="0"/>
      </w:pPr>
      <w:rPr>
        <w:rFonts w:hint="default"/>
      </w:rPr>
    </w:lvl>
    <w:lvl w:ilvl="5">
      <w:start w:val="1"/>
      <w:numFmt w:val="none"/>
      <w:lvlText w:val=""/>
      <w:lvlJc w:val="left"/>
      <w:pPr>
        <w:tabs>
          <w:tab w:val="num" w:pos="-31680"/>
        </w:tabs>
        <w:ind w:left="0" w:firstLine="0"/>
      </w:pPr>
      <w:rPr>
        <w:rFonts w:hint="default"/>
      </w:rPr>
    </w:lvl>
    <w:lvl w:ilvl="6">
      <w:start w:val="1"/>
      <w:numFmt w:val="none"/>
      <w:lvlText w:val=""/>
      <w:lvlJc w:val="left"/>
      <w:pPr>
        <w:tabs>
          <w:tab w:val="num" w:pos="-31680"/>
        </w:tabs>
        <w:ind w:left="0" w:firstLine="0"/>
      </w:pPr>
      <w:rPr>
        <w:rFonts w:hint="default"/>
      </w:rPr>
    </w:lvl>
    <w:lvl w:ilvl="7">
      <w:start w:val="1"/>
      <w:numFmt w:val="none"/>
      <w:lvlText w:val=""/>
      <w:lvlJc w:val="left"/>
      <w:pPr>
        <w:tabs>
          <w:tab w:val="num" w:pos="-31680"/>
        </w:tabs>
        <w:ind w:left="0" w:firstLine="0"/>
      </w:pPr>
      <w:rPr>
        <w:rFonts w:hint="default"/>
      </w:rPr>
    </w:lvl>
    <w:lvl w:ilvl="8">
      <w:start w:val="1"/>
      <w:numFmt w:val="none"/>
      <w:lvlText w:val=""/>
      <w:lvlJc w:val="left"/>
      <w:pPr>
        <w:tabs>
          <w:tab w:val="num" w:pos="-31680"/>
        </w:tabs>
        <w:ind w:left="0" w:firstLine="0"/>
      </w:pPr>
      <w:rPr>
        <w:rFonts w:hint="default"/>
      </w:rPr>
    </w:lvl>
  </w:abstractNum>
  <w:abstractNum w:abstractNumId="99" w15:restartNumberingAfterBreak="0">
    <w:nsid w:val="5B1D3F52"/>
    <w:multiLevelType w:val="hybridMultilevel"/>
    <w:tmpl w:val="8E18BA3A"/>
    <w:lvl w:ilvl="0" w:tplc="C73CFD8C">
      <w:start w:val="1"/>
      <w:numFmt w:val="bullet"/>
      <w:pStyle w:val="Bullet1"/>
      <w:lvlText w:val=""/>
      <w:lvlJc w:val="left"/>
      <w:pPr>
        <w:ind w:left="2629"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0" w15:restartNumberingAfterBreak="0">
    <w:nsid w:val="5B3A7D91"/>
    <w:multiLevelType w:val="hybridMultilevel"/>
    <w:tmpl w:val="B4C0DA34"/>
    <w:name w:val="MyNumbering2"/>
    <w:lvl w:ilvl="0" w:tplc="77A6A824">
      <w:start w:val="1"/>
      <w:numFmt w:val="bullet"/>
      <w:pStyle w:val="ListBullet2"/>
      <w:lvlText w:val="o"/>
      <w:lvlJc w:val="left"/>
      <w:pPr>
        <w:ind w:left="4345" w:hanging="360"/>
      </w:pPr>
      <w:rPr>
        <w:rFonts w:ascii="Courier New" w:hAnsi="Courier New" w:cs="Courier New" w:hint="default"/>
      </w:rPr>
    </w:lvl>
    <w:lvl w:ilvl="1" w:tplc="0C090003">
      <w:start w:val="1"/>
      <w:numFmt w:val="bullet"/>
      <w:lvlText w:val="o"/>
      <w:lvlJc w:val="left"/>
      <w:pPr>
        <w:ind w:left="1455" w:hanging="360"/>
      </w:pPr>
      <w:rPr>
        <w:rFonts w:ascii="Courier New" w:hAnsi="Courier New" w:cs="Courier New" w:hint="default"/>
      </w:rPr>
    </w:lvl>
    <w:lvl w:ilvl="2" w:tplc="0C090005">
      <w:start w:val="1"/>
      <w:numFmt w:val="bullet"/>
      <w:lvlText w:val=""/>
      <w:lvlJc w:val="left"/>
      <w:pPr>
        <w:ind w:left="2175" w:hanging="360"/>
      </w:pPr>
      <w:rPr>
        <w:rFonts w:ascii="Wingdings" w:hAnsi="Wingdings" w:hint="default"/>
      </w:rPr>
    </w:lvl>
    <w:lvl w:ilvl="3" w:tplc="0C090001" w:tentative="1">
      <w:start w:val="1"/>
      <w:numFmt w:val="bullet"/>
      <w:lvlText w:val=""/>
      <w:lvlJc w:val="left"/>
      <w:pPr>
        <w:ind w:left="2895" w:hanging="360"/>
      </w:pPr>
      <w:rPr>
        <w:rFonts w:ascii="Symbol" w:hAnsi="Symbol" w:hint="default"/>
      </w:rPr>
    </w:lvl>
    <w:lvl w:ilvl="4" w:tplc="0C090003" w:tentative="1">
      <w:start w:val="1"/>
      <w:numFmt w:val="bullet"/>
      <w:lvlText w:val="o"/>
      <w:lvlJc w:val="left"/>
      <w:pPr>
        <w:ind w:left="3615" w:hanging="360"/>
      </w:pPr>
      <w:rPr>
        <w:rFonts w:ascii="Courier New" w:hAnsi="Courier New" w:cs="Courier New" w:hint="default"/>
      </w:rPr>
    </w:lvl>
    <w:lvl w:ilvl="5" w:tplc="0C090005">
      <w:start w:val="1"/>
      <w:numFmt w:val="bullet"/>
      <w:lvlText w:val=""/>
      <w:lvlJc w:val="left"/>
      <w:pPr>
        <w:ind w:left="4335" w:hanging="360"/>
      </w:pPr>
      <w:rPr>
        <w:rFonts w:ascii="Wingdings" w:hAnsi="Wingdings" w:hint="default"/>
      </w:rPr>
    </w:lvl>
    <w:lvl w:ilvl="6" w:tplc="0C090001" w:tentative="1">
      <w:start w:val="1"/>
      <w:numFmt w:val="bullet"/>
      <w:lvlText w:val=""/>
      <w:lvlJc w:val="left"/>
      <w:pPr>
        <w:ind w:left="5055" w:hanging="360"/>
      </w:pPr>
      <w:rPr>
        <w:rFonts w:ascii="Symbol" w:hAnsi="Symbol" w:hint="default"/>
      </w:rPr>
    </w:lvl>
    <w:lvl w:ilvl="7" w:tplc="0C090003" w:tentative="1">
      <w:start w:val="1"/>
      <w:numFmt w:val="bullet"/>
      <w:lvlText w:val="o"/>
      <w:lvlJc w:val="left"/>
      <w:pPr>
        <w:ind w:left="5775" w:hanging="360"/>
      </w:pPr>
      <w:rPr>
        <w:rFonts w:ascii="Courier New" w:hAnsi="Courier New" w:cs="Courier New" w:hint="default"/>
      </w:rPr>
    </w:lvl>
    <w:lvl w:ilvl="8" w:tplc="0C090005" w:tentative="1">
      <w:start w:val="1"/>
      <w:numFmt w:val="bullet"/>
      <w:lvlText w:val=""/>
      <w:lvlJc w:val="left"/>
      <w:pPr>
        <w:ind w:left="6495" w:hanging="360"/>
      </w:pPr>
      <w:rPr>
        <w:rFonts w:ascii="Wingdings" w:hAnsi="Wingdings" w:hint="default"/>
      </w:rPr>
    </w:lvl>
  </w:abstractNum>
  <w:abstractNum w:abstractNumId="101" w15:restartNumberingAfterBreak="0">
    <w:nsid w:val="5B8E3352"/>
    <w:multiLevelType w:val="multilevel"/>
    <w:tmpl w:val="583A35FA"/>
    <w:name w:val="MyBullets28"/>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02" w15:restartNumberingAfterBreak="0">
    <w:nsid w:val="5CEE543D"/>
    <w:multiLevelType w:val="multilevel"/>
    <w:tmpl w:val="583A35FA"/>
    <w:name w:val="MyBullets317"/>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03" w15:restartNumberingAfterBreak="0">
    <w:nsid w:val="5D0540A9"/>
    <w:multiLevelType w:val="multilevel"/>
    <w:tmpl w:val="DBC00818"/>
    <w:name w:val="MyAppendicesNumbering"/>
    <w:lvl w:ilvl="0">
      <w:start w:val="1"/>
      <w:numFmt w:val="upperLetter"/>
      <w:suff w:val="space"/>
      <w:lvlText w:val="Appendix %1."/>
      <w:lvlJc w:val="left"/>
      <w:pPr>
        <w:ind w:left="0" w:firstLine="0"/>
      </w:pPr>
      <w:rPr>
        <w:rFonts w:asciiTheme="majorHAnsi" w:hAnsiTheme="majorHAnsi" w:hint="default"/>
        <w:b/>
        <w:i w:val="0"/>
        <w:sz w:val="40"/>
      </w:rPr>
    </w:lvl>
    <w:lvl w:ilvl="1">
      <w:start w:val="1"/>
      <w:numFmt w:val="decimal"/>
      <w:suff w:val="space"/>
      <w:lvlText w:val="%1.%2"/>
      <w:lvlJc w:val="left"/>
      <w:pPr>
        <w:ind w:left="0" w:firstLine="0"/>
      </w:pPr>
      <w:rPr>
        <w:rFonts w:hint="default"/>
        <w:sz w:val="32"/>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none"/>
      <w:lvlText w:val=""/>
      <w:lvlJc w:val="right"/>
      <w:pPr>
        <w:tabs>
          <w:tab w:val="num" w:pos="2268"/>
        </w:tabs>
        <w:ind w:left="0" w:firstLine="0"/>
      </w:pPr>
      <w:rPr>
        <w:rFonts w:hint="default"/>
      </w:rPr>
    </w:lvl>
    <w:lvl w:ilvl="6">
      <w:start w:val="1"/>
      <w:numFmt w:val="none"/>
      <w:lvlText w:val=""/>
      <w:lvlJc w:val="left"/>
      <w:pPr>
        <w:tabs>
          <w:tab w:val="num" w:pos="2268"/>
        </w:tabs>
        <w:ind w:left="0" w:firstLine="0"/>
      </w:pPr>
      <w:rPr>
        <w:rFonts w:hint="default"/>
      </w:rPr>
    </w:lvl>
    <w:lvl w:ilvl="7">
      <w:start w:val="1"/>
      <w:numFmt w:val="none"/>
      <w:lvlText w:val=""/>
      <w:lvlJc w:val="left"/>
      <w:pPr>
        <w:tabs>
          <w:tab w:val="num" w:pos="2268"/>
        </w:tabs>
        <w:ind w:left="0" w:firstLine="0"/>
      </w:pPr>
      <w:rPr>
        <w:rFonts w:hint="default"/>
      </w:rPr>
    </w:lvl>
    <w:lvl w:ilvl="8">
      <w:start w:val="1"/>
      <w:numFmt w:val="none"/>
      <w:lvlText w:val=""/>
      <w:lvlJc w:val="right"/>
      <w:pPr>
        <w:tabs>
          <w:tab w:val="num" w:pos="2268"/>
        </w:tabs>
        <w:ind w:left="0" w:firstLine="0"/>
      </w:pPr>
      <w:rPr>
        <w:rFonts w:hint="default"/>
      </w:rPr>
    </w:lvl>
  </w:abstractNum>
  <w:abstractNum w:abstractNumId="104" w15:restartNumberingAfterBreak="0">
    <w:nsid w:val="5D3A4A8E"/>
    <w:multiLevelType w:val="hybridMultilevel"/>
    <w:tmpl w:val="FC9CB2DE"/>
    <w:lvl w:ilvl="0" w:tplc="37DC63BA">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15:restartNumberingAfterBreak="0">
    <w:nsid w:val="5DC345B5"/>
    <w:multiLevelType w:val="multilevel"/>
    <w:tmpl w:val="583A35FA"/>
    <w:name w:val="MyBullets45"/>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06" w15:restartNumberingAfterBreak="0">
    <w:nsid w:val="5EC860DC"/>
    <w:multiLevelType w:val="multilevel"/>
    <w:tmpl w:val="52749BF4"/>
    <w:name w:val="MyNumbering62"/>
    <w:lvl w:ilvl="0">
      <w:start w:val="1"/>
      <w:numFmt w:val="decimal"/>
      <w:lvlText w:val="%1."/>
      <w:lvlJc w:val="left"/>
      <w:pPr>
        <w:ind w:left="360" w:hanging="360"/>
      </w:pPr>
      <w:rPr>
        <w:rFonts w:ascii="Arial" w:hAnsi="Arial" w:hint="default"/>
        <w:b w:val="0"/>
        <w:i w:val="0"/>
        <w:color w:val="auto"/>
        <w:sz w:val="22"/>
        <w:szCs w:val="18"/>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upperLetter"/>
      <w:lvlText w:val="%4."/>
      <w:lvlJc w:val="left"/>
      <w:pPr>
        <w:ind w:left="1428" w:hanging="357"/>
      </w:pPr>
      <w:rPr>
        <w:rFonts w:hint="default"/>
      </w:rPr>
    </w:lvl>
    <w:lvl w:ilvl="4">
      <w:start w:val="1"/>
      <w:numFmt w:val="upperRoman"/>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107" w15:restartNumberingAfterBreak="0">
    <w:nsid w:val="60561366"/>
    <w:multiLevelType w:val="multilevel"/>
    <w:tmpl w:val="088A0D40"/>
    <w:lvl w:ilvl="0">
      <w:start w:val="1"/>
      <w:numFmt w:val="bullet"/>
      <w:pStyle w:val="ListBullet"/>
      <w:lvlText w:val="§"/>
      <w:lvlJc w:val="left"/>
      <w:pPr>
        <w:ind w:left="720" w:hanging="360"/>
      </w:pPr>
      <w:rPr>
        <w:rFonts w:ascii="Wingdings" w:hAnsi="Wingdings" w:hint="default"/>
        <w:sz w:val="18"/>
        <w:szCs w:val="26"/>
      </w:rPr>
    </w:lvl>
    <w:lvl w:ilvl="1">
      <w:start w:val="1"/>
      <w:numFmt w:val="bullet"/>
      <w:lvlText w:val="o"/>
      <w:lvlJc w:val="left"/>
      <w:pPr>
        <w:ind w:left="1440" w:hanging="360"/>
      </w:pPr>
      <w:rPr>
        <w:rFonts w:ascii="Courier New" w:hAnsi="Courier New" w:cs="Courier New" w:hint="default"/>
      </w:rPr>
    </w:lvl>
    <w:lvl w:ilvl="2">
      <w:start w:val="1"/>
      <w:numFmt w:val="lowerLetter"/>
      <w:lvlText w:val="(%3)"/>
      <w:lvlJc w:val="left"/>
      <w:pPr>
        <w:ind w:left="2160" w:hanging="36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8" w15:restartNumberingAfterBreak="0">
    <w:nsid w:val="607E17E0"/>
    <w:multiLevelType w:val="multilevel"/>
    <w:tmpl w:val="583A35FA"/>
    <w:name w:val="MyBullets38"/>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09" w15:restartNumberingAfterBreak="0">
    <w:nsid w:val="6313234F"/>
    <w:multiLevelType w:val="multilevel"/>
    <w:tmpl w:val="D6EA4628"/>
    <w:name w:val="MyNumbering6224"/>
    <w:lvl w:ilvl="0">
      <w:start w:val="1"/>
      <w:numFmt w:val="decimal"/>
      <w:lvlText w:val="%1."/>
      <w:lvlJc w:val="left"/>
      <w:pPr>
        <w:ind w:left="360" w:hanging="360"/>
      </w:pPr>
      <w:rPr>
        <w:rFonts w:ascii="Arial" w:hAnsi="Arial" w:hint="default"/>
        <w:b w:val="0"/>
        <w:i w:val="0"/>
        <w:color w:val="auto"/>
        <w:sz w:val="20"/>
        <w:szCs w:val="20"/>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ind w:left="1071" w:hanging="357"/>
      </w:pPr>
      <w:rPr>
        <w:rFonts w:hint="default"/>
      </w:rPr>
    </w:lvl>
    <w:lvl w:ilvl="3">
      <w:start w:val="1"/>
      <w:numFmt w:val="upperLetter"/>
      <w:pStyle w:val="ListNumber4"/>
      <w:lvlText w:val="%4."/>
      <w:lvlJc w:val="left"/>
      <w:pPr>
        <w:ind w:left="1428" w:hanging="357"/>
      </w:pPr>
      <w:rPr>
        <w:rFonts w:hint="default"/>
      </w:rPr>
    </w:lvl>
    <w:lvl w:ilvl="4">
      <w:start w:val="1"/>
      <w:numFmt w:val="upperRoman"/>
      <w:pStyle w:val="ListNumber5"/>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110" w15:restartNumberingAfterBreak="0">
    <w:nsid w:val="633F3536"/>
    <w:multiLevelType w:val="hybridMultilevel"/>
    <w:tmpl w:val="4CCA4908"/>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111" w15:restartNumberingAfterBreak="0">
    <w:nsid w:val="654852CE"/>
    <w:multiLevelType w:val="multilevel"/>
    <w:tmpl w:val="583A35FA"/>
    <w:name w:val="MyBullets37"/>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12" w15:restartNumberingAfterBreak="0">
    <w:nsid w:val="664A7BD1"/>
    <w:multiLevelType w:val="multilevel"/>
    <w:tmpl w:val="583A35FA"/>
    <w:name w:val="MyBullets318"/>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13" w15:restartNumberingAfterBreak="0">
    <w:nsid w:val="669526FE"/>
    <w:multiLevelType w:val="multilevel"/>
    <w:tmpl w:val="583A35FA"/>
    <w:name w:val="MyBullets43"/>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14" w15:restartNumberingAfterBreak="0">
    <w:nsid w:val="67283FA7"/>
    <w:multiLevelType w:val="multilevel"/>
    <w:tmpl w:val="66148666"/>
    <w:name w:val="MyNumbering6"/>
    <w:lvl w:ilvl="0">
      <w:start w:val="1"/>
      <w:numFmt w:val="decimal"/>
      <w:lvlText w:val="%1."/>
      <w:lvlJc w:val="left"/>
      <w:pPr>
        <w:ind w:left="360" w:hanging="360"/>
      </w:pPr>
      <w:rPr>
        <w:rFonts w:ascii="Arial" w:hAnsi="Arial" w:hint="default"/>
        <w:b w:val="0"/>
        <w:i w:val="0"/>
        <w:color w:val="auto"/>
        <w:sz w:val="22"/>
        <w:szCs w:val="18"/>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upperLetter"/>
      <w:lvlText w:val="%4."/>
      <w:lvlJc w:val="left"/>
      <w:pPr>
        <w:ind w:left="1428" w:hanging="357"/>
      </w:pPr>
      <w:rPr>
        <w:rFonts w:hint="default"/>
      </w:rPr>
    </w:lvl>
    <w:lvl w:ilvl="4">
      <w:start w:val="1"/>
      <w:numFmt w:val="upperRoman"/>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115" w15:restartNumberingAfterBreak="0">
    <w:nsid w:val="68135F4C"/>
    <w:multiLevelType w:val="hybridMultilevel"/>
    <w:tmpl w:val="45E4C338"/>
    <w:name w:val="MyNumbering62248"/>
    <w:lvl w:ilvl="0" w:tplc="8F8EC1A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6" w15:restartNumberingAfterBreak="0">
    <w:nsid w:val="69B049D1"/>
    <w:multiLevelType w:val="hybridMultilevel"/>
    <w:tmpl w:val="5CE2AB22"/>
    <w:name w:val="MyNumbering622492"/>
    <w:lvl w:ilvl="0" w:tplc="8F8EC1A6">
      <w:start w:val="1"/>
      <w:numFmt w:val="bullet"/>
      <w:lvlText w:val="-"/>
      <w:lvlJc w:val="left"/>
      <w:pPr>
        <w:ind w:left="1077" w:hanging="360"/>
      </w:pPr>
      <w:rPr>
        <w:rFonts w:ascii="Arial" w:hAnsi="Aria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17" w15:restartNumberingAfterBreak="0">
    <w:nsid w:val="6CE848E0"/>
    <w:multiLevelType w:val="multilevel"/>
    <w:tmpl w:val="583A35FA"/>
    <w:name w:val="MyBullets17"/>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18" w15:restartNumberingAfterBreak="0">
    <w:nsid w:val="6D0B0C93"/>
    <w:multiLevelType w:val="multilevel"/>
    <w:tmpl w:val="583A35FA"/>
    <w:name w:val="MyBullets46"/>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19" w15:restartNumberingAfterBreak="0">
    <w:nsid w:val="6D0C31B9"/>
    <w:multiLevelType w:val="multilevel"/>
    <w:tmpl w:val="583A35FA"/>
    <w:name w:val="MyBullets40"/>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20" w15:restartNumberingAfterBreak="0">
    <w:nsid w:val="6D56407A"/>
    <w:multiLevelType w:val="multilevel"/>
    <w:tmpl w:val="583A35FA"/>
    <w:name w:val="MyBullets7"/>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21" w15:restartNumberingAfterBreak="0">
    <w:nsid w:val="6F4C0B22"/>
    <w:multiLevelType w:val="multilevel"/>
    <w:tmpl w:val="583A35FA"/>
    <w:name w:val="MyBullets24"/>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22" w15:restartNumberingAfterBreak="0">
    <w:nsid w:val="711E56F4"/>
    <w:multiLevelType w:val="multilevel"/>
    <w:tmpl w:val="8DF8C6B6"/>
    <w:name w:val="MyNumbering72"/>
    <w:lvl w:ilvl="0">
      <w:start w:val="1"/>
      <w:numFmt w:val="decimal"/>
      <w:lvlText w:val="%1."/>
      <w:lvlJc w:val="left"/>
      <w:pPr>
        <w:ind w:left="360" w:hanging="360"/>
      </w:pPr>
      <w:rPr>
        <w:rFonts w:ascii="Arial" w:hAnsi="Arial" w:hint="default"/>
        <w:b w:val="0"/>
        <w:i w:val="0"/>
        <w:color w:val="auto"/>
        <w:sz w:val="22"/>
        <w:szCs w:val="18"/>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upperLetter"/>
      <w:lvlText w:val="%4."/>
      <w:lvlJc w:val="left"/>
      <w:pPr>
        <w:ind w:left="1428" w:hanging="357"/>
      </w:pPr>
      <w:rPr>
        <w:rFonts w:hint="default"/>
      </w:rPr>
    </w:lvl>
    <w:lvl w:ilvl="4">
      <w:start w:val="1"/>
      <w:numFmt w:val="upperRoman"/>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123" w15:restartNumberingAfterBreak="0">
    <w:nsid w:val="72224F0A"/>
    <w:multiLevelType w:val="multilevel"/>
    <w:tmpl w:val="4F5E492C"/>
    <w:name w:val="Bullets"/>
    <w:lvl w:ilvl="0">
      <w:start w:val="1"/>
      <w:numFmt w:val="bullet"/>
      <w:lvlText w:val=""/>
      <w:lvlJc w:val="left"/>
      <w:pPr>
        <w:tabs>
          <w:tab w:val="num" w:pos="425"/>
        </w:tabs>
        <w:ind w:left="425" w:hanging="425"/>
      </w:pPr>
      <w:rPr>
        <w:rFonts w:ascii="Wingdings" w:hAnsi="Wingdings" w:hint="default"/>
        <w:color w:val="214C90" w:themeColor="text2"/>
        <w:position w:val="0"/>
        <w:sz w:val="20"/>
      </w:rPr>
    </w:lvl>
    <w:lvl w:ilvl="1">
      <w:start w:val="1"/>
      <w:numFmt w:val="bullet"/>
      <w:lvlText w:val=""/>
      <w:lvlJc w:val="left"/>
      <w:pPr>
        <w:tabs>
          <w:tab w:val="num" w:pos="851"/>
        </w:tabs>
        <w:ind w:left="850" w:hanging="425"/>
      </w:pPr>
      <w:rPr>
        <w:rFonts w:ascii="Wingdings" w:hAnsi="Wingdings" w:hint="default"/>
        <w:color w:val="214C90" w:themeColor="text2"/>
      </w:rPr>
    </w:lvl>
    <w:lvl w:ilvl="2">
      <w:start w:val="1"/>
      <w:numFmt w:val="bullet"/>
      <w:lvlText w:val=""/>
      <w:lvlJc w:val="left"/>
      <w:pPr>
        <w:tabs>
          <w:tab w:val="num" w:pos="1276"/>
        </w:tabs>
        <w:ind w:left="1275" w:hanging="425"/>
      </w:pPr>
      <w:rPr>
        <w:rFonts w:ascii="Symbol" w:hAnsi="Symbol" w:hint="default"/>
        <w:color w:val="214C90" w:themeColor="text2"/>
      </w:rPr>
    </w:lvl>
    <w:lvl w:ilvl="3">
      <w:start w:val="1"/>
      <w:numFmt w:val="bullet"/>
      <w:lvlText w:val=""/>
      <w:lvlJc w:val="left"/>
      <w:pPr>
        <w:tabs>
          <w:tab w:val="num" w:pos="1701"/>
        </w:tabs>
        <w:ind w:left="1700" w:hanging="425"/>
      </w:pPr>
      <w:rPr>
        <w:rFonts w:ascii="Symbol" w:hAnsi="Symbol" w:hint="default"/>
        <w:color w:val="214C90" w:themeColor="text2"/>
        <w:sz w:val="20"/>
      </w:rPr>
    </w:lvl>
    <w:lvl w:ilvl="4">
      <w:start w:val="1"/>
      <w:numFmt w:val="bullet"/>
      <w:lvlText w:val=""/>
      <w:lvlJc w:val="left"/>
      <w:pPr>
        <w:tabs>
          <w:tab w:val="num" w:pos="2126"/>
        </w:tabs>
        <w:ind w:left="2125" w:hanging="425"/>
      </w:pPr>
      <w:rPr>
        <w:rFonts w:ascii="Wingdings" w:hAnsi="Wingdings" w:hint="default"/>
        <w:color w:val="214C90" w:themeColor="text2"/>
      </w:rPr>
    </w:lvl>
    <w:lvl w:ilvl="5">
      <w:start w:val="1"/>
      <w:numFmt w:val="lowerRoman"/>
      <w:lvlText w:val="(%6)"/>
      <w:lvlJc w:val="left"/>
      <w:pPr>
        <w:tabs>
          <w:tab w:val="num" w:pos="3630"/>
        </w:tabs>
        <w:ind w:left="2550" w:hanging="425"/>
      </w:pPr>
      <w:rPr>
        <w:rFonts w:hint="default"/>
      </w:rPr>
    </w:lvl>
    <w:lvl w:ilvl="6">
      <w:start w:val="1"/>
      <w:numFmt w:val="decimal"/>
      <w:lvlText w:val="%7."/>
      <w:lvlJc w:val="left"/>
      <w:pPr>
        <w:tabs>
          <w:tab w:val="num" w:pos="4055"/>
        </w:tabs>
        <w:ind w:left="2975" w:hanging="425"/>
      </w:pPr>
      <w:rPr>
        <w:rFonts w:hint="default"/>
      </w:rPr>
    </w:lvl>
    <w:lvl w:ilvl="7">
      <w:start w:val="1"/>
      <w:numFmt w:val="lowerLetter"/>
      <w:lvlText w:val="%8."/>
      <w:lvlJc w:val="left"/>
      <w:pPr>
        <w:tabs>
          <w:tab w:val="num" w:pos="4480"/>
        </w:tabs>
        <w:ind w:left="3400" w:hanging="425"/>
      </w:pPr>
      <w:rPr>
        <w:rFonts w:hint="default"/>
      </w:rPr>
    </w:lvl>
    <w:lvl w:ilvl="8">
      <w:start w:val="1"/>
      <w:numFmt w:val="lowerRoman"/>
      <w:lvlText w:val="%9."/>
      <w:lvlJc w:val="left"/>
      <w:pPr>
        <w:tabs>
          <w:tab w:val="num" w:pos="4905"/>
        </w:tabs>
        <w:ind w:left="3825" w:hanging="425"/>
      </w:pPr>
      <w:rPr>
        <w:rFonts w:hint="default"/>
      </w:rPr>
    </w:lvl>
  </w:abstractNum>
  <w:abstractNum w:abstractNumId="124" w15:restartNumberingAfterBreak="0">
    <w:nsid w:val="731C390E"/>
    <w:multiLevelType w:val="multilevel"/>
    <w:tmpl w:val="583A35FA"/>
    <w:name w:val="MyBullets313"/>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25" w15:restartNumberingAfterBreak="0">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126" w15:restartNumberingAfterBreak="0">
    <w:nsid w:val="743618B5"/>
    <w:multiLevelType w:val="hybridMultilevel"/>
    <w:tmpl w:val="097ACD5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7" w15:restartNumberingAfterBreak="0">
    <w:nsid w:val="74E25251"/>
    <w:multiLevelType w:val="hybridMultilevel"/>
    <w:tmpl w:val="7FDC99B0"/>
    <w:lvl w:ilvl="0" w:tplc="0C090005">
      <w:start w:val="1"/>
      <w:numFmt w:val="bullet"/>
      <w:lvlText w:val=""/>
      <w:lvlJc w:val="left"/>
      <w:pPr>
        <w:ind w:left="445" w:hanging="360"/>
      </w:pPr>
      <w:rPr>
        <w:rFonts w:ascii="Wingdings" w:hAnsi="Wingdings" w:hint="default"/>
      </w:rPr>
    </w:lvl>
    <w:lvl w:ilvl="1" w:tplc="0C090003" w:tentative="1">
      <w:start w:val="1"/>
      <w:numFmt w:val="bullet"/>
      <w:lvlText w:val="o"/>
      <w:lvlJc w:val="left"/>
      <w:pPr>
        <w:ind w:left="1165" w:hanging="360"/>
      </w:pPr>
      <w:rPr>
        <w:rFonts w:ascii="Courier New" w:hAnsi="Courier New" w:cs="Courier New" w:hint="default"/>
      </w:rPr>
    </w:lvl>
    <w:lvl w:ilvl="2" w:tplc="0C090005" w:tentative="1">
      <w:start w:val="1"/>
      <w:numFmt w:val="bullet"/>
      <w:lvlText w:val=""/>
      <w:lvlJc w:val="left"/>
      <w:pPr>
        <w:ind w:left="1885" w:hanging="360"/>
      </w:pPr>
      <w:rPr>
        <w:rFonts w:ascii="Wingdings" w:hAnsi="Wingdings" w:hint="default"/>
      </w:rPr>
    </w:lvl>
    <w:lvl w:ilvl="3" w:tplc="0C090001" w:tentative="1">
      <w:start w:val="1"/>
      <w:numFmt w:val="bullet"/>
      <w:lvlText w:val=""/>
      <w:lvlJc w:val="left"/>
      <w:pPr>
        <w:ind w:left="2605" w:hanging="360"/>
      </w:pPr>
      <w:rPr>
        <w:rFonts w:ascii="Symbol" w:hAnsi="Symbol" w:hint="default"/>
      </w:rPr>
    </w:lvl>
    <w:lvl w:ilvl="4" w:tplc="0C090003" w:tentative="1">
      <w:start w:val="1"/>
      <w:numFmt w:val="bullet"/>
      <w:lvlText w:val="o"/>
      <w:lvlJc w:val="left"/>
      <w:pPr>
        <w:ind w:left="3325" w:hanging="360"/>
      </w:pPr>
      <w:rPr>
        <w:rFonts w:ascii="Courier New" w:hAnsi="Courier New" w:cs="Courier New" w:hint="default"/>
      </w:rPr>
    </w:lvl>
    <w:lvl w:ilvl="5" w:tplc="0C090005" w:tentative="1">
      <w:start w:val="1"/>
      <w:numFmt w:val="bullet"/>
      <w:lvlText w:val=""/>
      <w:lvlJc w:val="left"/>
      <w:pPr>
        <w:ind w:left="4045" w:hanging="360"/>
      </w:pPr>
      <w:rPr>
        <w:rFonts w:ascii="Wingdings" w:hAnsi="Wingdings" w:hint="default"/>
      </w:rPr>
    </w:lvl>
    <w:lvl w:ilvl="6" w:tplc="0C090001" w:tentative="1">
      <w:start w:val="1"/>
      <w:numFmt w:val="bullet"/>
      <w:lvlText w:val=""/>
      <w:lvlJc w:val="left"/>
      <w:pPr>
        <w:ind w:left="4765" w:hanging="360"/>
      </w:pPr>
      <w:rPr>
        <w:rFonts w:ascii="Symbol" w:hAnsi="Symbol" w:hint="default"/>
      </w:rPr>
    </w:lvl>
    <w:lvl w:ilvl="7" w:tplc="0C090003" w:tentative="1">
      <w:start w:val="1"/>
      <w:numFmt w:val="bullet"/>
      <w:lvlText w:val="o"/>
      <w:lvlJc w:val="left"/>
      <w:pPr>
        <w:ind w:left="5485" w:hanging="360"/>
      </w:pPr>
      <w:rPr>
        <w:rFonts w:ascii="Courier New" w:hAnsi="Courier New" w:cs="Courier New" w:hint="default"/>
      </w:rPr>
    </w:lvl>
    <w:lvl w:ilvl="8" w:tplc="0C090005" w:tentative="1">
      <w:start w:val="1"/>
      <w:numFmt w:val="bullet"/>
      <w:lvlText w:val=""/>
      <w:lvlJc w:val="left"/>
      <w:pPr>
        <w:ind w:left="6205" w:hanging="360"/>
      </w:pPr>
      <w:rPr>
        <w:rFonts w:ascii="Wingdings" w:hAnsi="Wingdings" w:hint="default"/>
      </w:rPr>
    </w:lvl>
  </w:abstractNum>
  <w:abstractNum w:abstractNumId="128" w15:restartNumberingAfterBreak="0">
    <w:nsid w:val="762964D5"/>
    <w:multiLevelType w:val="multilevel"/>
    <w:tmpl w:val="E898CC72"/>
    <w:styleLink w:val="KeyPoints"/>
    <w:lvl w:ilvl="0">
      <w:start w:val="1"/>
      <w:numFmt w:val="decimal"/>
      <w:lvlText w:val="%1."/>
      <w:lvlJc w:val="left"/>
      <w:pPr>
        <w:ind w:left="369" w:hanging="369"/>
      </w:pPr>
      <w:rPr>
        <w:rFonts w:ascii="Arial" w:hAnsi="Arial" w:hint="default"/>
        <w:sz w:val="22"/>
      </w:rPr>
    </w:lvl>
    <w:lvl w:ilvl="1">
      <w:start w:val="1"/>
      <w:numFmt w:val="lowerLetter"/>
      <w:lvlText w:val="%2."/>
      <w:lvlJc w:val="left"/>
      <w:pPr>
        <w:ind w:left="738" w:hanging="369"/>
      </w:pPr>
      <w:rPr>
        <w:rFonts w:hint="default"/>
      </w:rPr>
    </w:lvl>
    <w:lvl w:ilvl="2">
      <w:start w:val="1"/>
      <w:numFmt w:val="lowerRoman"/>
      <w:lvlText w:val="%3."/>
      <w:lvlJc w:val="left"/>
      <w:pPr>
        <w:ind w:left="1107" w:hanging="369"/>
      </w:pPr>
      <w:rPr>
        <w:rFonts w:hint="default"/>
      </w:rPr>
    </w:lvl>
    <w:lvl w:ilvl="3">
      <w:start w:val="1"/>
      <w:numFmt w:val="none"/>
      <w:lvlText w:val="%4"/>
      <w:lvlJc w:val="left"/>
      <w:pPr>
        <w:ind w:left="1476" w:hanging="369"/>
      </w:pPr>
      <w:rPr>
        <w:rFonts w:hint="default"/>
      </w:rPr>
    </w:lvl>
    <w:lvl w:ilvl="4">
      <w:start w:val="1"/>
      <w:numFmt w:val="none"/>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29" w15:restartNumberingAfterBreak="0">
    <w:nsid w:val="77664A87"/>
    <w:multiLevelType w:val="hybridMultilevel"/>
    <w:tmpl w:val="BC4AF7E4"/>
    <w:name w:val="MyNumbering62243"/>
    <w:lvl w:ilvl="0" w:tplc="8F8EC1A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0" w15:restartNumberingAfterBreak="0">
    <w:nsid w:val="7B566744"/>
    <w:multiLevelType w:val="multilevel"/>
    <w:tmpl w:val="583A35FA"/>
    <w:name w:val="MyBullets42"/>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31" w15:restartNumberingAfterBreak="0">
    <w:nsid w:val="7C800D74"/>
    <w:multiLevelType w:val="multilevel"/>
    <w:tmpl w:val="583A35FA"/>
    <w:name w:val="MyBullets314"/>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32" w15:restartNumberingAfterBreak="0">
    <w:nsid w:val="7D1855D1"/>
    <w:multiLevelType w:val="multilevel"/>
    <w:tmpl w:val="583A35FA"/>
    <w:name w:val="MyBullets41"/>
    <w:lvl w:ilvl="0">
      <w:start w:val="7"/>
      <w:numFmt w:val="bullet"/>
      <w:lvlText w:val=""/>
      <w:lvlJc w:val="left"/>
      <w:pPr>
        <w:tabs>
          <w:tab w:val="num" w:pos="357"/>
        </w:tabs>
        <w:ind w:left="357" w:hanging="357"/>
      </w:pPr>
      <w:rPr>
        <w:rFonts w:ascii="Wingdings" w:hAnsi="Wingdings" w:hint="default"/>
        <w:color w:val="auto"/>
        <w:position w:val="1"/>
        <w:sz w:val="20"/>
      </w:rPr>
    </w:lvl>
    <w:lvl w:ilvl="1">
      <w:start w:val="5"/>
      <w:numFmt w:val="bullet"/>
      <w:lvlText w:val="—"/>
      <w:lvlJc w:val="left"/>
      <w:pPr>
        <w:tabs>
          <w:tab w:val="num" w:pos="3760"/>
        </w:tabs>
        <w:ind w:left="3760" w:hanging="357"/>
      </w:pPr>
      <w:rPr>
        <w:rFonts w:ascii="Book Antiqua" w:hAnsi="Book Antiqua" w:hint="default"/>
        <w:b w:val="0"/>
        <w:i w:val="0"/>
        <w:color w:val="auto"/>
        <w:position w:val="0"/>
        <w:sz w:val="20"/>
      </w:rPr>
    </w:lvl>
    <w:lvl w:ilvl="2">
      <w:start w:val="1"/>
      <w:numFmt w:val="bullet"/>
      <w:lvlText w:val=""/>
      <w:lvlJc w:val="left"/>
      <w:pPr>
        <w:tabs>
          <w:tab w:val="num" w:pos="1072"/>
        </w:tabs>
        <w:ind w:left="1071" w:hanging="357"/>
      </w:pPr>
      <w:rPr>
        <w:rFonts w:ascii="Wingdings" w:hAnsi="Wingdings" w:hint="default"/>
        <w:b w:val="0"/>
        <w:i w:val="0"/>
        <w:color w:val="auto"/>
        <w:position w:val="0"/>
        <w:sz w:val="22"/>
      </w:rPr>
    </w:lvl>
    <w:lvl w:ilvl="3">
      <w:start w:val="1"/>
      <w:numFmt w:val="bullet"/>
      <w:lvlText w:val="-"/>
      <w:lvlJc w:val="left"/>
      <w:pPr>
        <w:tabs>
          <w:tab w:val="num" w:pos="1638"/>
        </w:tabs>
        <w:ind w:left="1428" w:hanging="357"/>
      </w:pPr>
      <w:rPr>
        <w:rFonts w:ascii="Arial Rounded MT Bold" w:hAnsi="Arial Rounded MT Bold" w:hint="default"/>
        <w:color w:val="auto"/>
      </w:rPr>
    </w:lvl>
    <w:lvl w:ilvl="4">
      <w:start w:val="1"/>
      <w:numFmt w:val="bullet"/>
      <w:lvlText w:val="o"/>
      <w:lvlJc w:val="left"/>
      <w:pPr>
        <w:tabs>
          <w:tab w:val="num" w:pos="1995"/>
        </w:tabs>
        <w:ind w:left="1785" w:hanging="357"/>
      </w:pPr>
      <w:rPr>
        <w:rFonts w:ascii="Courier New" w:hAnsi="Courier New" w:hint="default"/>
        <w:color w:val="auto"/>
        <w:sz w:val="16"/>
      </w:rPr>
    </w:lvl>
    <w:lvl w:ilvl="5">
      <w:start w:val="1"/>
      <w:numFmt w:val="none"/>
      <w:lvlText w:val=""/>
      <w:lvlJc w:val="left"/>
      <w:pPr>
        <w:tabs>
          <w:tab w:val="num" w:pos="2352"/>
        </w:tabs>
        <w:ind w:left="2142" w:hanging="357"/>
      </w:pPr>
      <w:rPr>
        <w:rFonts w:hint="default"/>
      </w:rPr>
    </w:lvl>
    <w:lvl w:ilvl="6">
      <w:start w:val="1"/>
      <w:numFmt w:val="none"/>
      <w:lvlText w:val=""/>
      <w:lvlJc w:val="left"/>
      <w:pPr>
        <w:tabs>
          <w:tab w:val="num" w:pos="2709"/>
        </w:tabs>
        <w:ind w:left="2499" w:hanging="357"/>
      </w:pPr>
      <w:rPr>
        <w:rFonts w:hint="default"/>
      </w:rPr>
    </w:lvl>
    <w:lvl w:ilvl="7">
      <w:start w:val="1"/>
      <w:numFmt w:val="none"/>
      <w:lvlText w:val=""/>
      <w:lvlJc w:val="left"/>
      <w:pPr>
        <w:tabs>
          <w:tab w:val="num" w:pos="3066"/>
        </w:tabs>
        <w:ind w:left="2856" w:hanging="357"/>
      </w:pPr>
      <w:rPr>
        <w:rFonts w:hint="default"/>
      </w:rPr>
    </w:lvl>
    <w:lvl w:ilvl="8">
      <w:start w:val="1"/>
      <w:numFmt w:val="none"/>
      <w:lvlText w:val=""/>
      <w:lvlJc w:val="left"/>
      <w:pPr>
        <w:tabs>
          <w:tab w:val="num" w:pos="3423"/>
        </w:tabs>
        <w:ind w:left="3213" w:hanging="357"/>
      </w:pPr>
      <w:rPr>
        <w:rFonts w:hint="default"/>
      </w:rPr>
    </w:lvl>
  </w:abstractNum>
  <w:abstractNum w:abstractNumId="133" w15:restartNumberingAfterBreak="0">
    <w:nsid w:val="7E030DAE"/>
    <w:multiLevelType w:val="multilevel"/>
    <w:tmpl w:val="0C09001D"/>
    <w:name w:val="MyNumbering"/>
    <w:lvl w:ilvl="0">
      <w:start w:val="1"/>
      <w:numFmt w:val="decimal"/>
      <w:lvlText w:val="%1)"/>
      <w:lvlJc w:val="left"/>
      <w:pPr>
        <w:ind w:left="1779" w:hanging="360"/>
      </w:pPr>
      <w:rPr>
        <w:rFonts w:hint="default"/>
        <w:b w:val="0"/>
        <w:i w:val="0"/>
        <w:color w:val="auto"/>
        <w:sz w:val="22"/>
      </w:rPr>
    </w:lvl>
    <w:lvl w:ilvl="1">
      <w:start w:val="1"/>
      <w:numFmt w:val="lowerLetter"/>
      <w:lvlText w:val="%2)"/>
      <w:lvlJc w:val="left"/>
      <w:pPr>
        <w:ind w:left="2139" w:hanging="360"/>
      </w:pPr>
      <w:rPr>
        <w:rFonts w:hint="default"/>
        <w:b w:val="0"/>
        <w:i w:val="0"/>
        <w:color w:val="auto"/>
        <w:sz w:val="22"/>
      </w:rPr>
    </w:lvl>
    <w:lvl w:ilvl="2">
      <w:start w:val="1"/>
      <w:numFmt w:val="lowerRoman"/>
      <w:lvlText w:val="%3)"/>
      <w:lvlJc w:val="left"/>
      <w:pPr>
        <w:ind w:left="2499"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59" w:hanging="360"/>
      </w:pPr>
      <w:rPr>
        <w:rFonts w:hint="default"/>
        <w:b w:val="0"/>
        <w:i w:val="0"/>
        <w:color w:val="auto"/>
      </w:rPr>
    </w:lvl>
    <w:lvl w:ilvl="4">
      <w:start w:val="1"/>
      <w:numFmt w:val="lowerLetter"/>
      <w:lvlText w:val="(%5)"/>
      <w:lvlJc w:val="left"/>
      <w:pPr>
        <w:ind w:left="3219" w:hanging="360"/>
      </w:pPr>
      <w:rPr>
        <w:rFonts w:hint="default"/>
        <w:b w:val="0"/>
        <w:i w:val="0"/>
        <w:color w:val="auto"/>
      </w:rPr>
    </w:lvl>
    <w:lvl w:ilvl="5">
      <w:start w:val="1"/>
      <w:numFmt w:val="lowerRoman"/>
      <w:lvlText w:val="(%6)"/>
      <w:lvlJc w:val="left"/>
      <w:pPr>
        <w:ind w:left="3579" w:hanging="360"/>
      </w:pPr>
      <w:rPr>
        <w:rFonts w:hint="default"/>
      </w:rPr>
    </w:lvl>
    <w:lvl w:ilvl="6">
      <w:start w:val="1"/>
      <w:numFmt w:val="decimal"/>
      <w:lvlText w:val="%7."/>
      <w:lvlJc w:val="left"/>
      <w:pPr>
        <w:ind w:left="3939" w:hanging="360"/>
      </w:pPr>
      <w:rPr>
        <w:rFonts w:hint="default"/>
      </w:rPr>
    </w:lvl>
    <w:lvl w:ilvl="7">
      <w:start w:val="1"/>
      <w:numFmt w:val="lowerLetter"/>
      <w:lvlText w:val="%8."/>
      <w:lvlJc w:val="left"/>
      <w:pPr>
        <w:ind w:left="4299" w:hanging="360"/>
      </w:pPr>
      <w:rPr>
        <w:rFonts w:hint="default"/>
      </w:rPr>
    </w:lvl>
    <w:lvl w:ilvl="8">
      <w:start w:val="1"/>
      <w:numFmt w:val="lowerRoman"/>
      <w:lvlText w:val="%9."/>
      <w:lvlJc w:val="left"/>
      <w:pPr>
        <w:ind w:left="4659" w:hanging="360"/>
      </w:pPr>
      <w:rPr>
        <w:rFonts w:hint="default"/>
      </w:rPr>
    </w:lvl>
  </w:abstractNum>
  <w:abstractNum w:abstractNumId="134" w15:restartNumberingAfterBreak="0">
    <w:nsid w:val="7E2819EC"/>
    <w:multiLevelType w:val="multilevel"/>
    <w:tmpl w:val="1250F310"/>
    <w:lvl w:ilvl="0">
      <w:start w:val="1"/>
      <w:numFmt w:val="bullet"/>
      <w:pStyle w:val="AERbulletlistfirststyle"/>
      <w:lvlText w:val=""/>
      <w:lvlJc w:val="left"/>
      <w:pPr>
        <w:ind w:left="644"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7ED3322D"/>
    <w:multiLevelType w:val="hybridMultilevel"/>
    <w:tmpl w:val="3B047FFC"/>
    <w:name w:val="MyNumbering6223"/>
    <w:lvl w:ilvl="0" w:tplc="BC2EC844">
      <w:start w:val="1"/>
      <w:numFmt w:val="lowerLetter"/>
      <w:lvlText w:val="(%1)"/>
      <w:lvlJc w:val="left"/>
      <w:pPr>
        <w:ind w:left="720" w:hanging="360"/>
      </w:pPr>
      <w:rPr>
        <w:rFonts w:ascii="Arial" w:hAnsi="Arial" w:hint="default"/>
        <w:b w:val="0"/>
        <w:i w:val="0"/>
        <w:sz w:val="22"/>
        <w:szCs w:val="2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6" w15:restartNumberingAfterBreak="0">
    <w:nsid w:val="7F4D08A5"/>
    <w:multiLevelType w:val="hybridMultilevel"/>
    <w:tmpl w:val="C0C48F3A"/>
    <w:name w:val="MyNumbering622482"/>
    <w:lvl w:ilvl="0" w:tplc="8F8EC1A6">
      <w:start w:val="1"/>
      <w:numFmt w:val="bullet"/>
      <w:lvlText w:val="-"/>
      <w:lvlJc w:val="left"/>
      <w:pPr>
        <w:ind w:left="1077" w:hanging="360"/>
      </w:pPr>
      <w:rPr>
        <w:rFonts w:ascii="Arial" w:hAnsi="Aria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abstractNumId w:val="35"/>
  </w:num>
  <w:num w:numId="2">
    <w:abstractNumId w:val="6"/>
  </w:num>
  <w:num w:numId="3">
    <w:abstractNumId w:val="40"/>
  </w:num>
  <w:num w:numId="4">
    <w:abstractNumId w:val="95"/>
  </w:num>
  <w:num w:numId="5">
    <w:abstractNumId w:val="83"/>
  </w:num>
  <w:num w:numId="6">
    <w:abstractNumId w:val="38"/>
  </w:num>
  <w:num w:numId="7">
    <w:abstractNumId w:val="31"/>
  </w:num>
  <w:num w:numId="8">
    <w:abstractNumId w:val="63"/>
  </w:num>
  <w:num w:numId="9">
    <w:abstractNumId w:val="1"/>
  </w:num>
  <w:num w:numId="10">
    <w:abstractNumId w:val="128"/>
  </w:num>
  <w:num w:numId="11">
    <w:abstractNumId w:val="107"/>
  </w:num>
  <w:num w:numId="12">
    <w:abstractNumId w:val="100"/>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9"/>
  </w:num>
  <w:num w:numId="15">
    <w:abstractNumId w:val="134"/>
  </w:num>
  <w:num w:numId="16">
    <w:abstractNumId w:val="45"/>
  </w:num>
  <w:num w:numId="17">
    <w:abstractNumId w:val="79"/>
  </w:num>
  <w:num w:numId="18">
    <w:abstractNumId w:val="99"/>
  </w:num>
  <w:num w:numId="19">
    <w:abstractNumId w:val="91"/>
  </w:num>
  <w:num w:numId="20">
    <w:abstractNumId w:val="32"/>
  </w:num>
  <w:num w:numId="21">
    <w:abstractNumId w:val="52"/>
  </w:num>
  <w:num w:numId="22">
    <w:abstractNumId w:val="125"/>
  </w:num>
  <w:num w:numId="23">
    <w:abstractNumId w:val="47"/>
  </w:num>
  <w:num w:numId="24">
    <w:abstractNumId w:val="69"/>
  </w:num>
  <w:num w:numId="25">
    <w:abstractNumId w:val="50"/>
  </w:num>
  <w:num w:numId="26">
    <w:abstractNumId w:val="110"/>
  </w:num>
  <w:num w:numId="27">
    <w:abstractNumId w:val="11"/>
  </w:num>
  <w:num w:numId="28">
    <w:abstractNumId w:val="104"/>
  </w:num>
  <w:num w:numId="29">
    <w:abstractNumId w:val="43"/>
  </w:num>
  <w:num w:numId="30">
    <w:abstractNumId w:val="56"/>
  </w:num>
  <w:num w:numId="31">
    <w:abstractNumId w:val="126"/>
  </w:num>
  <w:num w:numId="32">
    <w:abstractNumId w:val="61"/>
  </w:num>
  <w:num w:numId="33">
    <w:abstractNumId w:val="86"/>
  </w:num>
  <w:num w:numId="34">
    <w:abstractNumId w:val="127"/>
  </w:num>
  <w:num w:numId="35">
    <w:abstractNumId w:val="25"/>
  </w:num>
  <w:num w:numId="36">
    <w:abstractNumId w:val="75"/>
  </w:num>
  <w:num w:numId="37">
    <w:abstractNumId w:val="4"/>
  </w:num>
  <w:num w:numId="38">
    <w:abstractNumId w:val="66"/>
  </w:num>
  <w:num w:numId="39">
    <w:abstractNumId w:val="0"/>
  </w:num>
  <w:num w:numId="40">
    <w:abstractNumId w:val="10"/>
  </w:num>
  <w:num w:numId="41">
    <w:abstractNumId w:val="58"/>
  </w:num>
  <w:num w:numId="42">
    <w:abstractNumId w:val="82"/>
  </w:num>
  <w:num w:numId="43">
    <w:abstractNumId w:val="19"/>
  </w:num>
  <w:num w:numId="44">
    <w:abstractNumId w:val="6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hideSpellingErrors/>
  <w:hideGrammaticalErrors/>
  <w:proofState w:spelling="clean" w:grammar="clean"/>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stylePaneSortMethod w:val="0000"/>
  <w:doNotTrackMoves/>
  <w:doNotTrackFormatting/>
  <w:defaultTabStop w:val="720"/>
  <w:clickAndTypeStyle w:val="BodyText"/>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bbreviations" w:val="False"/>
    <w:docVar w:name="ABN" w:val="ABN 78 006 769 339"/>
    <w:docVar w:name="Address" w:val="Level 27, Ernst &amp; Young Centre ~680 George Street ~Sydney NSW 2000"/>
    <w:docVar w:name="Branch" w:val="Sydney"/>
    <w:docVar w:name="ContentType" w:val="LTR-"/>
    <w:docVar w:name="Country" w:val="Australia"/>
    <w:docVar w:name="CustomTemplates" w:val="True"/>
    <w:docVar w:name="Discipline" w:val="~"/>
    <w:docVar w:name="DOCID" w:val="77898335"/>
    <w:docVar w:name="DocNameType" w:val="ANZ"/>
    <w:docVar w:name="DocNo" w:val="~"/>
    <w:docVar w:name="Entity" w:val="WSP Structures Pty Ltd"/>
    <w:docVar w:name="ExecutiveSummary" w:val="False"/>
    <w:docVar w:name="Fax" w:val="61 2 9272 5101"/>
    <w:docVar w:name="Glossary" w:val="False"/>
    <w:docVar w:name="isReport" w:val="True"/>
    <w:docVar w:name="Para" w:val="_x000d__x000a_"/>
    <w:docVar w:name="Phone" w:val="61 2 9272 5100"/>
    <w:docVar w:name="Postal" w:val="GPO Box 5394 ~Sydney NSW 2001"/>
    <w:docVar w:name="ProjectCode" w:val="~"/>
    <w:docVar w:name="SimpleOurRef" w:val="~"/>
    <w:docVar w:name="TOC" w:val="True"/>
    <w:docVar w:name="TOCImported" w:val="True"/>
    <w:docVar w:name="TOCNew" w:val="True"/>
    <w:docVar w:name="UpdateTheme" w:val="False"/>
    <w:docVar w:name="VERSIONLABEL" w:val="2"/>
    <w:docVar w:name="WSPAuthor" w:val="FD-"/>
    <w:docVar w:name="WSPContentType" w:val=" FD-"/>
    <w:docVar w:name="WSPDiscipline" w:val=" FD-"/>
    <w:docVar w:name="WSPDocDescription" w:val="FDSFSFS"/>
    <w:docVar w:name="WSPDocNamingDate" w:val="151215-"/>
    <w:docVar w:name="WSPDocNo" w:val=" FDS"/>
    <w:docVar w:name="WSPGeneralOurRef" w:val="barfdsa"/>
    <w:docVar w:name="WSPOfficeCode" w:val="FFDSAFSAFS-"/>
    <w:docVar w:name="WSPOurRef" w:val=" FFDA- FD- FD- FDS Rev FD"/>
    <w:docVar w:name="WSPProjectCode" w:val=" FFDA-"/>
    <w:docVar w:name="WSPRevNo" w:val=" FD"/>
    <w:docVar w:name="xAppendixName" w:val="Appendix"/>
    <w:docVar w:name="xTOCApp" w:val="H"/>
    <w:docVar w:name="xTOCFigure" w:val="H"/>
    <w:docVar w:name="xTOCH2" w:val="Y"/>
    <w:docVar w:name="xTOCH3" w:val="Y"/>
    <w:docVar w:name="xTOCPhoto" w:val="S"/>
    <w:docVar w:name="xTOCTable" w:val="H"/>
  </w:docVars>
  <w:rsids>
    <w:rsidRoot w:val="004C69F6"/>
    <w:rsid w:val="00000093"/>
    <w:rsid w:val="00000194"/>
    <w:rsid w:val="0000032A"/>
    <w:rsid w:val="00000333"/>
    <w:rsid w:val="000009F2"/>
    <w:rsid w:val="00000B9A"/>
    <w:rsid w:val="00000E4C"/>
    <w:rsid w:val="00000F1A"/>
    <w:rsid w:val="00001322"/>
    <w:rsid w:val="0000171C"/>
    <w:rsid w:val="0000189B"/>
    <w:rsid w:val="00001A9B"/>
    <w:rsid w:val="00001DFB"/>
    <w:rsid w:val="000025DD"/>
    <w:rsid w:val="0000281A"/>
    <w:rsid w:val="0000290E"/>
    <w:rsid w:val="00002AD2"/>
    <w:rsid w:val="00002B57"/>
    <w:rsid w:val="00002BA1"/>
    <w:rsid w:val="00003094"/>
    <w:rsid w:val="000035F6"/>
    <w:rsid w:val="000037E4"/>
    <w:rsid w:val="000038C7"/>
    <w:rsid w:val="000038FB"/>
    <w:rsid w:val="00003A67"/>
    <w:rsid w:val="00003E56"/>
    <w:rsid w:val="0000405F"/>
    <w:rsid w:val="00004219"/>
    <w:rsid w:val="00004810"/>
    <w:rsid w:val="00004A68"/>
    <w:rsid w:val="00004EF2"/>
    <w:rsid w:val="0000577C"/>
    <w:rsid w:val="000057E4"/>
    <w:rsid w:val="00005823"/>
    <w:rsid w:val="0000598E"/>
    <w:rsid w:val="00005A5C"/>
    <w:rsid w:val="00006028"/>
    <w:rsid w:val="0000634A"/>
    <w:rsid w:val="000063C4"/>
    <w:rsid w:val="000068B5"/>
    <w:rsid w:val="000069D6"/>
    <w:rsid w:val="00006D53"/>
    <w:rsid w:val="00006DD3"/>
    <w:rsid w:val="00007007"/>
    <w:rsid w:val="0000723E"/>
    <w:rsid w:val="0000739E"/>
    <w:rsid w:val="00007986"/>
    <w:rsid w:val="000102A7"/>
    <w:rsid w:val="000105A9"/>
    <w:rsid w:val="00010618"/>
    <w:rsid w:val="00010C8A"/>
    <w:rsid w:val="00011733"/>
    <w:rsid w:val="00011772"/>
    <w:rsid w:val="00011A64"/>
    <w:rsid w:val="00011B88"/>
    <w:rsid w:val="00011EB4"/>
    <w:rsid w:val="00011F39"/>
    <w:rsid w:val="0001201E"/>
    <w:rsid w:val="00012054"/>
    <w:rsid w:val="00012371"/>
    <w:rsid w:val="000125A5"/>
    <w:rsid w:val="00012827"/>
    <w:rsid w:val="0001322B"/>
    <w:rsid w:val="00013597"/>
    <w:rsid w:val="00013700"/>
    <w:rsid w:val="00013B4C"/>
    <w:rsid w:val="00013D78"/>
    <w:rsid w:val="00013FB3"/>
    <w:rsid w:val="00014071"/>
    <w:rsid w:val="00014082"/>
    <w:rsid w:val="000140CE"/>
    <w:rsid w:val="000148AB"/>
    <w:rsid w:val="00014A34"/>
    <w:rsid w:val="00014C9C"/>
    <w:rsid w:val="0001545E"/>
    <w:rsid w:val="00015CD4"/>
    <w:rsid w:val="0001614C"/>
    <w:rsid w:val="00016CA2"/>
    <w:rsid w:val="0001718D"/>
    <w:rsid w:val="000171D8"/>
    <w:rsid w:val="000173A1"/>
    <w:rsid w:val="00017BB7"/>
    <w:rsid w:val="00017E18"/>
    <w:rsid w:val="00020425"/>
    <w:rsid w:val="00020547"/>
    <w:rsid w:val="000205FF"/>
    <w:rsid w:val="0002075E"/>
    <w:rsid w:val="00020F11"/>
    <w:rsid w:val="000210CE"/>
    <w:rsid w:val="00021F13"/>
    <w:rsid w:val="000221B9"/>
    <w:rsid w:val="0002258E"/>
    <w:rsid w:val="00022905"/>
    <w:rsid w:val="00022A9D"/>
    <w:rsid w:val="00022B6D"/>
    <w:rsid w:val="00022C5C"/>
    <w:rsid w:val="0002318A"/>
    <w:rsid w:val="000231E0"/>
    <w:rsid w:val="00023335"/>
    <w:rsid w:val="0002337C"/>
    <w:rsid w:val="00023518"/>
    <w:rsid w:val="00023619"/>
    <w:rsid w:val="00023701"/>
    <w:rsid w:val="0002371F"/>
    <w:rsid w:val="0002397C"/>
    <w:rsid w:val="00023F61"/>
    <w:rsid w:val="00024007"/>
    <w:rsid w:val="00024931"/>
    <w:rsid w:val="00024AC0"/>
    <w:rsid w:val="00024C3D"/>
    <w:rsid w:val="00024D26"/>
    <w:rsid w:val="00024E5F"/>
    <w:rsid w:val="00024FBE"/>
    <w:rsid w:val="00025161"/>
    <w:rsid w:val="00025438"/>
    <w:rsid w:val="00025F54"/>
    <w:rsid w:val="0002642C"/>
    <w:rsid w:val="000264E8"/>
    <w:rsid w:val="0002668E"/>
    <w:rsid w:val="00026A90"/>
    <w:rsid w:val="00026B84"/>
    <w:rsid w:val="00026C6E"/>
    <w:rsid w:val="00026ED5"/>
    <w:rsid w:val="00027274"/>
    <w:rsid w:val="00027800"/>
    <w:rsid w:val="00027BC7"/>
    <w:rsid w:val="00027C6C"/>
    <w:rsid w:val="00027E4A"/>
    <w:rsid w:val="000300AA"/>
    <w:rsid w:val="00030349"/>
    <w:rsid w:val="00030444"/>
    <w:rsid w:val="0003062F"/>
    <w:rsid w:val="0003079E"/>
    <w:rsid w:val="00030EA5"/>
    <w:rsid w:val="00031503"/>
    <w:rsid w:val="000318C7"/>
    <w:rsid w:val="00031978"/>
    <w:rsid w:val="000323F1"/>
    <w:rsid w:val="0003249B"/>
    <w:rsid w:val="000327BE"/>
    <w:rsid w:val="00032806"/>
    <w:rsid w:val="0003286C"/>
    <w:rsid w:val="00032892"/>
    <w:rsid w:val="00032A32"/>
    <w:rsid w:val="00032D65"/>
    <w:rsid w:val="00032E8F"/>
    <w:rsid w:val="00033625"/>
    <w:rsid w:val="00033B39"/>
    <w:rsid w:val="00033C30"/>
    <w:rsid w:val="00034050"/>
    <w:rsid w:val="000343D3"/>
    <w:rsid w:val="0003488C"/>
    <w:rsid w:val="0003553E"/>
    <w:rsid w:val="000356A4"/>
    <w:rsid w:val="00035A48"/>
    <w:rsid w:val="00035A63"/>
    <w:rsid w:val="000361E3"/>
    <w:rsid w:val="000362CA"/>
    <w:rsid w:val="000364F2"/>
    <w:rsid w:val="000365B9"/>
    <w:rsid w:val="00036751"/>
    <w:rsid w:val="00036B44"/>
    <w:rsid w:val="00036BCF"/>
    <w:rsid w:val="00036C8E"/>
    <w:rsid w:val="00036CDC"/>
    <w:rsid w:val="00036D45"/>
    <w:rsid w:val="00037286"/>
    <w:rsid w:val="00037486"/>
    <w:rsid w:val="000374E9"/>
    <w:rsid w:val="000379CB"/>
    <w:rsid w:val="00037C20"/>
    <w:rsid w:val="00040011"/>
    <w:rsid w:val="00040142"/>
    <w:rsid w:val="0004046E"/>
    <w:rsid w:val="00040531"/>
    <w:rsid w:val="000405A7"/>
    <w:rsid w:val="000405AB"/>
    <w:rsid w:val="000406EF"/>
    <w:rsid w:val="00040A04"/>
    <w:rsid w:val="00040BDC"/>
    <w:rsid w:val="00040FD1"/>
    <w:rsid w:val="0004140E"/>
    <w:rsid w:val="00041613"/>
    <w:rsid w:val="00041B06"/>
    <w:rsid w:val="00041CE0"/>
    <w:rsid w:val="00041D53"/>
    <w:rsid w:val="00042079"/>
    <w:rsid w:val="0004222D"/>
    <w:rsid w:val="00042278"/>
    <w:rsid w:val="00042366"/>
    <w:rsid w:val="0004277C"/>
    <w:rsid w:val="00042C9F"/>
    <w:rsid w:val="00042CAF"/>
    <w:rsid w:val="000431D6"/>
    <w:rsid w:val="000438A1"/>
    <w:rsid w:val="00043A10"/>
    <w:rsid w:val="00043AC5"/>
    <w:rsid w:val="00043B16"/>
    <w:rsid w:val="00043B69"/>
    <w:rsid w:val="000443F1"/>
    <w:rsid w:val="00044884"/>
    <w:rsid w:val="00044D1D"/>
    <w:rsid w:val="00044DCE"/>
    <w:rsid w:val="00044F8F"/>
    <w:rsid w:val="00044FDB"/>
    <w:rsid w:val="00045471"/>
    <w:rsid w:val="000455A9"/>
    <w:rsid w:val="000455FE"/>
    <w:rsid w:val="00045735"/>
    <w:rsid w:val="00045A2E"/>
    <w:rsid w:val="00045AEF"/>
    <w:rsid w:val="00045CF4"/>
    <w:rsid w:val="00045D96"/>
    <w:rsid w:val="00045E42"/>
    <w:rsid w:val="0004619B"/>
    <w:rsid w:val="0004627D"/>
    <w:rsid w:val="000463D7"/>
    <w:rsid w:val="00046C16"/>
    <w:rsid w:val="0004747E"/>
    <w:rsid w:val="00047644"/>
    <w:rsid w:val="00047A4F"/>
    <w:rsid w:val="00047C91"/>
    <w:rsid w:val="00050713"/>
    <w:rsid w:val="0005109B"/>
    <w:rsid w:val="000510BB"/>
    <w:rsid w:val="000516BE"/>
    <w:rsid w:val="00051834"/>
    <w:rsid w:val="00051A1F"/>
    <w:rsid w:val="00051D5C"/>
    <w:rsid w:val="00051F2B"/>
    <w:rsid w:val="0005213F"/>
    <w:rsid w:val="00052454"/>
    <w:rsid w:val="0005252A"/>
    <w:rsid w:val="0005253D"/>
    <w:rsid w:val="000525D6"/>
    <w:rsid w:val="00052756"/>
    <w:rsid w:val="0005283A"/>
    <w:rsid w:val="00052A4B"/>
    <w:rsid w:val="00053103"/>
    <w:rsid w:val="00053457"/>
    <w:rsid w:val="0005399F"/>
    <w:rsid w:val="000539FE"/>
    <w:rsid w:val="00053C46"/>
    <w:rsid w:val="00053FEC"/>
    <w:rsid w:val="000540B4"/>
    <w:rsid w:val="000542A1"/>
    <w:rsid w:val="00054674"/>
    <w:rsid w:val="000547F1"/>
    <w:rsid w:val="000549E4"/>
    <w:rsid w:val="00054BE0"/>
    <w:rsid w:val="00055169"/>
    <w:rsid w:val="00055A15"/>
    <w:rsid w:val="00055FA7"/>
    <w:rsid w:val="00056406"/>
    <w:rsid w:val="0005644F"/>
    <w:rsid w:val="00056D39"/>
    <w:rsid w:val="00056D42"/>
    <w:rsid w:val="00056DA3"/>
    <w:rsid w:val="0005705F"/>
    <w:rsid w:val="00057226"/>
    <w:rsid w:val="0005727A"/>
    <w:rsid w:val="00057416"/>
    <w:rsid w:val="000574CC"/>
    <w:rsid w:val="00057571"/>
    <w:rsid w:val="000575CC"/>
    <w:rsid w:val="0005762C"/>
    <w:rsid w:val="00057661"/>
    <w:rsid w:val="000579AF"/>
    <w:rsid w:val="00057ACD"/>
    <w:rsid w:val="000603EE"/>
    <w:rsid w:val="0006053E"/>
    <w:rsid w:val="000608FB"/>
    <w:rsid w:val="00060B55"/>
    <w:rsid w:val="00060B9F"/>
    <w:rsid w:val="00060D90"/>
    <w:rsid w:val="00061E0A"/>
    <w:rsid w:val="000622CB"/>
    <w:rsid w:val="000623AC"/>
    <w:rsid w:val="00062536"/>
    <w:rsid w:val="0006277B"/>
    <w:rsid w:val="000628AA"/>
    <w:rsid w:val="00062F76"/>
    <w:rsid w:val="000634B5"/>
    <w:rsid w:val="000635DA"/>
    <w:rsid w:val="00063820"/>
    <w:rsid w:val="0006386D"/>
    <w:rsid w:val="00063990"/>
    <w:rsid w:val="00063EAD"/>
    <w:rsid w:val="000642D2"/>
    <w:rsid w:val="00064444"/>
    <w:rsid w:val="000653FC"/>
    <w:rsid w:val="0006590D"/>
    <w:rsid w:val="00065B1F"/>
    <w:rsid w:val="00065CC4"/>
    <w:rsid w:val="00065CDA"/>
    <w:rsid w:val="00066037"/>
    <w:rsid w:val="00066597"/>
    <w:rsid w:val="000665B5"/>
    <w:rsid w:val="00066710"/>
    <w:rsid w:val="000669A6"/>
    <w:rsid w:val="00066A4B"/>
    <w:rsid w:val="00066CEB"/>
    <w:rsid w:val="00066EE0"/>
    <w:rsid w:val="00066FB6"/>
    <w:rsid w:val="0006708F"/>
    <w:rsid w:val="00067579"/>
    <w:rsid w:val="00067733"/>
    <w:rsid w:val="000679A1"/>
    <w:rsid w:val="00067A55"/>
    <w:rsid w:val="00067B37"/>
    <w:rsid w:val="00067F43"/>
    <w:rsid w:val="00067F90"/>
    <w:rsid w:val="00070333"/>
    <w:rsid w:val="00070500"/>
    <w:rsid w:val="000705EF"/>
    <w:rsid w:val="000707E8"/>
    <w:rsid w:val="00070897"/>
    <w:rsid w:val="000709D4"/>
    <w:rsid w:val="0007120B"/>
    <w:rsid w:val="00071584"/>
    <w:rsid w:val="00071915"/>
    <w:rsid w:val="00071A2F"/>
    <w:rsid w:val="00071F31"/>
    <w:rsid w:val="000725E5"/>
    <w:rsid w:val="00072840"/>
    <w:rsid w:val="00072942"/>
    <w:rsid w:val="00072E3F"/>
    <w:rsid w:val="0007368F"/>
    <w:rsid w:val="00073846"/>
    <w:rsid w:val="000738AF"/>
    <w:rsid w:val="00073C88"/>
    <w:rsid w:val="00073DD6"/>
    <w:rsid w:val="00073DDA"/>
    <w:rsid w:val="000747C4"/>
    <w:rsid w:val="00074C02"/>
    <w:rsid w:val="00074CCC"/>
    <w:rsid w:val="00074E5F"/>
    <w:rsid w:val="00074EBF"/>
    <w:rsid w:val="00074EF6"/>
    <w:rsid w:val="000753AE"/>
    <w:rsid w:val="000755B1"/>
    <w:rsid w:val="00075769"/>
    <w:rsid w:val="00075AB0"/>
    <w:rsid w:val="00075D68"/>
    <w:rsid w:val="000764DD"/>
    <w:rsid w:val="0007660F"/>
    <w:rsid w:val="00076A01"/>
    <w:rsid w:val="00076A72"/>
    <w:rsid w:val="00076A7D"/>
    <w:rsid w:val="00076CEC"/>
    <w:rsid w:val="000773DF"/>
    <w:rsid w:val="0007772F"/>
    <w:rsid w:val="00077CD3"/>
    <w:rsid w:val="000800F0"/>
    <w:rsid w:val="00080188"/>
    <w:rsid w:val="00080774"/>
    <w:rsid w:val="000809B0"/>
    <w:rsid w:val="00080E3B"/>
    <w:rsid w:val="00081206"/>
    <w:rsid w:val="0008215B"/>
    <w:rsid w:val="00082339"/>
    <w:rsid w:val="000823FD"/>
    <w:rsid w:val="00082CAC"/>
    <w:rsid w:val="00082CF7"/>
    <w:rsid w:val="00083038"/>
    <w:rsid w:val="000831F0"/>
    <w:rsid w:val="000834AE"/>
    <w:rsid w:val="00083E55"/>
    <w:rsid w:val="000841C3"/>
    <w:rsid w:val="00084311"/>
    <w:rsid w:val="00084B10"/>
    <w:rsid w:val="00084BE8"/>
    <w:rsid w:val="000851F6"/>
    <w:rsid w:val="0008527D"/>
    <w:rsid w:val="00085314"/>
    <w:rsid w:val="00085393"/>
    <w:rsid w:val="000856C4"/>
    <w:rsid w:val="00085D93"/>
    <w:rsid w:val="00085E8F"/>
    <w:rsid w:val="00086338"/>
    <w:rsid w:val="00086400"/>
    <w:rsid w:val="000866D0"/>
    <w:rsid w:val="000866EB"/>
    <w:rsid w:val="00086826"/>
    <w:rsid w:val="00086C5B"/>
    <w:rsid w:val="000870AB"/>
    <w:rsid w:val="000874AC"/>
    <w:rsid w:val="000874D6"/>
    <w:rsid w:val="0008765C"/>
    <w:rsid w:val="00087A2D"/>
    <w:rsid w:val="00087AE7"/>
    <w:rsid w:val="00087D42"/>
    <w:rsid w:val="00087F6D"/>
    <w:rsid w:val="000905D6"/>
    <w:rsid w:val="00090815"/>
    <w:rsid w:val="0009093C"/>
    <w:rsid w:val="0009097B"/>
    <w:rsid w:val="00090D68"/>
    <w:rsid w:val="00090D84"/>
    <w:rsid w:val="00090E6C"/>
    <w:rsid w:val="0009129D"/>
    <w:rsid w:val="000915D0"/>
    <w:rsid w:val="00091B4A"/>
    <w:rsid w:val="00091D20"/>
    <w:rsid w:val="00091E67"/>
    <w:rsid w:val="00091EAE"/>
    <w:rsid w:val="00091FE2"/>
    <w:rsid w:val="00092080"/>
    <w:rsid w:val="0009208D"/>
    <w:rsid w:val="0009229B"/>
    <w:rsid w:val="000923D2"/>
    <w:rsid w:val="00092C5B"/>
    <w:rsid w:val="00092C7D"/>
    <w:rsid w:val="00092EBC"/>
    <w:rsid w:val="0009364B"/>
    <w:rsid w:val="00093982"/>
    <w:rsid w:val="00093D9A"/>
    <w:rsid w:val="00093F01"/>
    <w:rsid w:val="00093F0B"/>
    <w:rsid w:val="00093F99"/>
    <w:rsid w:val="00094658"/>
    <w:rsid w:val="000948CB"/>
    <w:rsid w:val="00094948"/>
    <w:rsid w:val="000949A1"/>
    <w:rsid w:val="00094AE6"/>
    <w:rsid w:val="0009524C"/>
    <w:rsid w:val="00095314"/>
    <w:rsid w:val="00095705"/>
    <w:rsid w:val="00095B22"/>
    <w:rsid w:val="000964E7"/>
    <w:rsid w:val="000968BE"/>
    <w:rsid w:val="000969DE"/>
    <w:rsid w:val="00096E00"/>
    <w:rsid w:val="00097555"/>
    <w:rsid w:val="000977C2"/>
    <w:rsid w:val="000979EB"/>
    <w:rsid w:val="00097C84"/>
    <w:rsid w:val="00097D93"/>
    <w:rsid w:val="00097DD0"/>
    <w:rsid w:val="00097FC2"/>
    <w:rsid w:val="000A043A"/>
    <w:rsid w:val="000A04DF"/>
    <w:rsid w:val="000A0D39"/>
    <w:rsid w:val="000A0E4C"/>
    <w:rsid w:val="000A1058"/>
    <w:rsid w:val="000A115A"/>
    <w:rsid w:val="000A1328"/>
    <w:rsid w:val="000A16D5"/>
    <w:rsid w:val="000A1998"/>
    <w:rsid w:val="000A1A10"/>
    <w:rsid w:val="000A1A4F"/>
    <w:rsid w:val="000A1B74"/>
    <w:rsid w:val="000A1D36"/>
    <w:rsid w:val="000A1D3A"/>
    <w:rsid w:val="000A1F71"/>
    <w:rsid w:val="000A24D0"/>
    <w:rsid w:val="000A2528"/>
    <w:rsid w:val="000A2633"/>
    <w:rsid w:val="000A2949"/>
    <w:rsid w:val="000A2A5F"/>
    <w:rsid w:val="000A3069"/>
    <w:rsid w:val="000A3AF8"/>
    <w:rsid w:val="000A4208"/>
    <w:rsid w:val="000A43D8"/>
    <w:rsid w:val="000A46B1"/>
    <w:rsid w:val="000A4706"/>
    <w:rsid w:val="000A474B"/>
    <w:rsid w:val="000A47B2"/>
    <w:rsid w:val="000A48AC"/>
    <w:rsid w:val="000A4BD4"/>
    <w:rsid w:val="000A4C4A"/>
    <w:rsid w:val="000A4DDA"/>
    <w:rsid w:val="000A4EB8"/>
    <w:rsid w:val="000A4F73"/>
    <w:rsid w:val="000A50F3"/>
    <w:rsid w:val="000A561E"/>
    <w:rsid w:val="000A579F"/>
    <w:rsid w:val="000A5C39"/>
    <w:rsid w:val="000A603E"/>
    <w:rsid w:val="000A64D2"/>
    <w:rsid w:val="000A712A"/>
    <w:rsid w:val="000A71FC"/>
    <w:rsid w:val="000A7592"/>
    <w:rsid w:val="000A76C7"/>
    <w:rsid w:val="000A7E9C"/>
    <w:rsid w:val="000B025F"/>
    <w:rsid w:val="000B0789"/>
    <w:rsid w:val="000B111C"/>
    <w:rsid w:val="000B183F"/>
    <w:rsid w:val="000B19B2"/>
    <w:rsid w:val="000B1CB2"/>
    <w:rsid w:val="000B22FB"/>
    <w:rsid w:val="000B2413"/>
    <w:rsid w:val="000B26A4"/>
    <w:rsid w:val="000B2CBF"/>
    <w:rsid w:val="000B30E5"/>
    <w:rsid w:val="000B3291"/>
    <w:rsid w:val="000B3411"/>
    <w:rsid w:val="000B3476"/>
    <w:rsid w:val="000B35F1"/>
    <w:rsid w:val="000B36A7"/>
    <w:rsid w:val="000B389A"/>
    <w:rsid w:val="000B3B9C"/>
    <w:rsid w:val="000B4921"/>
    <w:rsid w:val="000B492A"/>
    <w:rsid w:val="000B49AE"/>
    <w:rsid w:val="000B4A0B"/>
    <w:rsid w:val="000B4AC7"/>
    <w:rsid w:val="000B51C9"/>
    <w:rsid w:val="000B52BE"/>
    <w:rsid w:val="000B52C6"/>
    <w:rsid w:val="000B5313"/>
    <w:rsid w:val="000B5663"/>
    <w:rsid w:val="000B59CB"/>
    <w:rsid w:val="000B5A9D"/>
    <w:rsid w:val="000B5CB3"/>
    <w:rsid w:val="000B60AA"/>
    <w:rsid w:val="000B61EE"/>
    <w:rsid w:val="000B646C"/>
    <w:rsid w:val="000B6475"/>
    <w:rsid w:val="000B65EE"/>
    <w:rsid w:val="000B6907"/>
    <w:rsid w:val="000B7039"/>
    <w:rsid w:val="000B756F"/>
    <w:rsid w:val="000B76ED"/>
    <w:rsid w:val="000B7A66"/>
    <w:rsid w:val="000B7C10"/>
    <w:rsid w:val="000C036C"/>
    <w:rsid w:val="000C043D"/>
    <w:rsid w:val="000C059C"/>
    <w:rsid w:val="000C2607"/>
    <w:rsid w:val="000C269E"/>
    <w:rsid w:val="000C28DF"/>
    <w:rsid w:val="000C2BCB"/>
    <w:rsid w:val="000C30F3"/>
    <w:rsid w:val="000C3146"/>
    <w:rsid w:val="000C321B"/>
    <w:rsid w:val="000C3390"/>
    <w:rsid w:val="000C3784"/>
    <w:rsid w:val="000C3AA0"/>
    <w:rsid w:val="000C3B23"/>
    <w:rsid w:val="000C3DB5"/>
    <w:rsid w:val="000C4716"/>
    <w:rsid w:val="000C471D"/>
    <w:rsid w:val="000C48E8"/>
    <w:rsid w:val="000C4C24"/>
    <w:rsid w:val="000C4ED6"/>
    <w:rsid w:val="000C5015"/>
    <w:rsid w:val="000C5571"/>
    <w:rsid w:val="000C5778"/>
    <w:rsid w:val="000C5B43"/>
    <w:rsid w:val="000C5BA9"/>
    <w:rsid w:val="000C5CFC"/>
    <w:rsid w:val="000C5F1C"/>
    <w:rsid w:val="000C6237"/>
    <w:rsid w:val="000C68C4"/>
    <w:rsid w:val="000C68E3"/>
    <w:rsid w:val="000C70ED"/>
    <w:rsid w:val="000C76B8"/>
    <w:rsid w:val="000C7788"/>
    <w:rsid w:val="000C7BB4"/>
    <w:rsid w:val="000D005C"/>
    <w:rsid w:val="000D01DB"/>
    <w:rsid w:val="000D024E"/>
    <w:rsid w:val="000D1689"/>
    <w:rsid w:val="000D1849"/>
    <w:rsid w:val="000D19C5"/>
    <w:rsid w:val="000D1DA0"/>
    <w:rsid w:val="000D2354"/>
    <w:rsid w:val="000D271C"/>
    <w:rsid w:val="000D2F86"/>
    <w:rsid w:val="000D36FC"/>
    <w:rsid w:val="000D3863"/>
    <w:rsid w:val="000D3881"/>
    <w:rsid w:val="000D38C3"/>
    <w:rsid w:val="000D3AAE"/>
    <w:rsid w:val="000D3E4A"/>
    <w:rsid w:val="000D4049"/>
    <w:rsid w:val="000D4681"/>
    <w:rsid w:val="000D4DF1"/>
    <w:rsid w:val="000D5321"/>
    <w:rsid w:val="000D53CF"/>
    <w:rsid w:val="000D57ED"/>
    <w:rsid w:val="000D5967"/>
    <w:rsid w:val="000D5E74"/>
    <w:rsid w:val="000D5E82"/>
    <w:rsid w:val="000D60C5"/>
    <w:rsid w:val="000D60E9"/>
    <w:rsid w:val="000D66AF"/>
    <w:rsid w:val="000D69A1"/>
    <w:rsid w:val="000D6AF6"/>
    <w:rsid w:val="000D6BEF"/>
    <w:rsid w:val="000D6E50"/>
    <w:rsid w:val="000D71F5"/>
    <w:rsid w:val="000D73BF"/>
    <w:rsid w:val="000D73CA"/>
    <w:rsid w:val="000D7519"/>
    <w:rsid w:val="000D7723"/>
    <w:rsid w:val="000D77A2"/>
    <w:rsid w:val="000D77B1"/>
    <w:rsid w:val="000D77EE"/>
    <w:rsid w:val="000D797F"/>
    <w:rsid w:val="000D7DC1"/>
    <w:rsid w:val="000E0068"/>
    <w:rsid w:val="000E0775"/>
    <w:rsid w:val="000E0F37"/>
    <w:rsid w:val="000E1102"/>
    <w:rsid w:val="000E1187"/>
    <w:rsid w:val="000E11EB"/>
    <w:rsid w:val="000E1490"/>
    <w:rsid w:val="000E1610"/>
    <w:rsid w:val="000E1770"/>
    <w:rsid w:val="000E1A47"/>
    <w:rsid w:val="000E21F5"/>
    <w:rsid w:val="000E2819"/>
    <w:rsid w:val="000E2A35"/>
    <w:rsid w:val="000E2DEF"/>
    <w:rsid w:val="000E2E35"/>
    <w:rsid w:val="000E2E89"/>
    <w:rsid w:val="000E2F22"/>
    <w:rsid w:val="000E31CA"/>
    <w:rsid w:val="000E31FF"/>
    <w:rsid w:val="000E326D"/>
    <w:rsid w:val="000E32D8"/>
    <w:rsid w:val="000E3A3C"/>
    <w:rsid w:val="000E3B79"/>
    <w:rsid w:val="000E3C49"/>
    <w:rsid w:val="000E4043"/>
    <w:rsid w:val="000E4840"/>
    <w:rsid w:val="000E4843"/>
    <w:rsid w:val="000E4B5B"/>
    <w:rsid w:val="000E4C56"/>
    <w:rsid w:val="000E4C86"/>
    <w:rsid w:val="000E5010"/>
    <w:rsid w:val="000E5431"/>
    <w:rsid w:val="000E5885"/>
    <w:rsid w:val="000E5A00"/>
    <w:rsid w:val="000E5A52"/>
    <w:rsid w:val="000E60DA"/>
    <w:rsid w:val="000E64A9"/>
    <w:rsid w:val="000E6504"/>
    <w:rsid w:val="000E6A17"/>
    <w:rsid w:val="000E6B5A"/>
    <w:rsid w:val="000E6DF0"/>
    <w:rsid w:val="000E72D4"/>
    <w:rsid w:val="000E76D9"/>
    <w:rsid w:val="000E7BC0"/>
    <w:rsid w:val="000E7E62"/>
    <w:rsid w:val="000F0B18"/>
    <w:rsid w:val="000F0DA5"/>
    <w:rsid w:val="000F0DAC"/>
    <w:rsid w:val="000F0FCE"/>
    <w:rsid w:val="000F1017"/>
    <w:rsid w:val="000F128A"/>
    <w:rsid w:val="000F13E5"/>
    <w:rsid w:val="000F15C6"/>
    <w:rsid w:val="000F1687"/>
    <w:rsid w:val="000F17C0"/>
    <w:rsid w:val="000F1B74"/>
    <w:rsid w:val="000F1EC2"/>
    <w:rsid w:val="000F20C3"/>
    <w:rsid w:val="000F26EA"/>
    <w:rsid w:val="000F2AD4"/>
    <w:rsid w:val="000F2FC7"/>
    <w:rsid w:val="000F3362"/>
    <w:rsid w:val="000F3396"/>
    <w:rsid w:val="000F3961"/>
    <w:rsid w:val="000F47F5"/>
    <w:rsid w:val="000F4910"/>
    <w:rsid w:val="000F4BCB"/>
    <w:rsid w:val="000F4CD8"/>
    <w:rsid w:val="000F4D26"/>
    <w:rsid w:val="000F4E90"/>
    <w:rsid w:val="000F5351"/>
    <w:rsid w:val="000F5626"/>
    <w:rsid w:val="000F59FB"/>
    <w:rsid w:val="000F5E55"/>
    <w:rsid w:val="000F5EA7"/>
    <w:rsid w:val="000F60B3"/>
    <w:rsid w:val="000F62C7"/>
    <w:rsid w:val="000F631C"/>
    <w:rsid w:val="000F6354"/>
    <w:rsid w:val="000F6363"/>
    <w:rsid w:val="000F6424"/>
    <w:rsid w:val="000F6433"/>
    <w:rsid w:val="000F656F"/>
    <w:rsid w:val="000F6995"/>
    <w:rsid w:val="000F6CD8"/>
    <w:rsid w:val="000F6CDF"/>
    <w:rsid w:val="000F6F60"/>
    <w:rsid w:val="000F6F9C"/>
    <w:rsid w:val="000F7430"/>
    <w:rsid w:val="000F7466"/>
    <w:rsid w:val="000F7619"/>
    <w:rsid w:val="00101883"/>
    <w:rsid w:val="00101AD0"/>
    <w:rsid w:val="00101C0C"/>
    <w:rsid w:val="00101EBF"/>
    <w:rsid w:val="00101F4F"/>
    <w:rsid w:val="001022DC"/>
    <w:rsid w:val="0010299D"/>
    <w:rsid w:val="0010305B"/>
    <w:rsid w:val="00103077"/>
    <w:rsid w:val="00103449"/>
    <w:rsid w:val="00103624"/>
    <w:rsid w:val="00103674"/>
    <w:rsid w:val="00103964"/>
    <w:rsid w:val="00103B3A"/>
    <w:rsid w:val="00103CAD"/>
    <w:rsid w:val="001041CD"/>
    <w:rsid w:val="001042E1"/>
    <w:rsid w:val="001044BF"/>
    <w:rsid w:val="001044FD"/>
    <w:rsid w:val="00104E03"/>
    <w:rsid w:val="00105780"/>
    <w:rsid w:val="00105954"/>
    <w:rsid w:val="00105AB9"/>
    <w:rsid w:val="00105C04"/>
    <w:rsid w:val="001065C1"/>
    <w:rsid w:val="001067B2"/>
    <w:rsid w:val="001068FB"/>
    <w:rsid w:val="001075A2"/>
    <w:rsid w:val="001077AC"/>
    <w:rsid w:val="00107827"/>
    <w:rsid w:val="001078D4"/>
    <w:rsid w:val="00107EE2"/>
    <w:rsid w:val="0011000B"/>
    <w:rsid w:val="0011052E"/>
    <w:rsid w:val="00110849"/>
    <w:rsid w:val="0011087C"/>
    <w:rsid w:val="001109A0"/>
    <w:rsid w:val="00110A2C"/>
    <w:rsid w:val="00110A83"/>
    <w:rsid w:val="00110EF0"/>
    <w:rsid w:val="00110FC0"/>
    <w:rsid w:val="001114D8"/>
    <w:rsid w:val="0011175D"/>
    <w:rsid w:val="00111BE5"/>
    <w:rsid w:val="00111F1B"/>
    <w:rsid w:val="001122BF"/>
    <w:rsid w:val="00112941"/>
    <w:rsid w:val="00112A71"/>
    <w:rsid w:val="00112B57"/>
    <w:rsid w:val="001136AD"/>
    <w:rsid w:val="0011371C"/>
    <w:rsid w:val="0011378C"/>
    <w:rsid w:val="00114377"/>
    <w:rsid w:val="001144A5"/>
    <w:rsid w:val="00114955"/>
    <w:rsid w:val="0011526B"/>
    <w:rsid w:val="0011575F"/>
    <w:rsid w:val="001157DF"/>
    <w:rsid w:val="0011591D"/>
    <w:rsid w:val="00115C53"/>
    <w:rsid w:val="00115C92"/>
    <w:rsid w:val="00115DA7"/>
    <w:rsid w:val="00115DD5"/>
    <w:rsid w:val="00115F76"/>
    <w:rsid w:val="00116264"/>
    <w:rsid w:val="001162AF"/>
    <w:rsid w:val="001163C1"/>
    <w:rsid w:val="00116683"/>
    <w:rsid w:val="00116B5E"/>
    <w:rsid w:val="00116D89"/>
    <w:rsid w:val="001173DF"/>
    <w:rsid w:val="00117629"/>
    <w:rsid w:val="001176AC"/>
    <w:rsid w:val="0011772E"/>
    <w:rsid w:val="00117C80"/>
    <w:rsid w:val="00117DFE"/>
    <w:rsid w:val="00117FAD"/>
    <w:rsid w:val="00120054"/>
    <w:rsid w:val="00120355"/>
    <w:rsid w:val="00120470"/>
    <w:rsid w:val="001206DB"/>
    <w:rsid w:val="00120706"/>
    <w:rsid w:val="001210DB"/>
    <w:rsid w:val="001211ED"/>
    <w:rsid w:val="00121691"/>
    <w:rsid w:val="0012175D"/>
    <w:rsid w:val="00121D2C"/>
    <w:rsid w:val="00121D83"/>
    <w:rsid w:val="0012201F"/>
    <w:rsid w:val="00122335"/>
    <w:rsid w:val="001225B3"/>
    <w:rsid w:val="001227AB"/>
    <w:rsid w:val="00122816"/>
    <w:rsid w:val="00122EA0"/>
    <w:rsid w:val="001230A0"/>
    <w:rsid w:val="0012313C"/>
    <w:rsid w:val="00123448"/>
    <w:rsid w:val="0012364F"/>
    <w:rsid w:val="0012390B"/>
    <w:rsid w:val="00123B35"/>
    <w:rsid w:val="00123D46"/>
    <w:rsid w:val="00123E7D"/>
    <w:rsid w:val="00124191"/>
    <w:rsid w:val="00124256"/>
    <w:rsid w:val="00124CCE"/>
    <w:rsid w:val="00124D6D"/>
    <w:rsid w:val="00124EF4"/>
    <w:rsid w:val="00124FFD"/>
    <w:rsid w:val="0012540B"/>
    <w:rsid w:val="001255AA"/>
    <w:rsid w:val="00125640"/>
    <w:rsid w:val="001256E6"/>
    <w:rsid w:val="00125D09"/>
    <w:rsid w:val="00125DB7"/>
    <w:rsid w:val="00125FCE"/>
    <w:rsid w:val="001262DD"/>
    <w:rsid w:val="0012639B"/>
    <w:rsid w:val="00126476"/>
    <w:rsid w:val="00126E13"/>
    <w:rsid w:val="00127A54"/>
    <w:rsid w:val="00127A79"/>
    <w:rsid w:val="00130028"/>
    <w:rsid w:val="0013024E"/>
    <w:rsid w:val="00130333"/>
    <w:rsid w:val="0013044E"/>
    <w:rsid w:val="00130493"/>
    <w:rsid w:val="001305FB"/>
    <w:rsid w:val="00130909"/>
    <w:rsid w:val="00130BED"/>
    <w:rsid w:val="00131307"/>
    <w:rsid w:val="0013164E"/>
    <w:rsid w:val="00131776"/>
    <w:rsid w:val="00131967"/>
    <w:rsid w:val="001319B3"/>
    <w:rsid w:val="001320DB"/>
    <w:rsid w:val="001323B8"/>
    <w:rsid w:val="00132418"/>
    <w:rsid w:val="00132471"/>
    <w:rsid w:val="0013250D"/>
    <w:rsid w:val="001325C7"/>
    <w:rsid w:val="001326BD"/>
    <w:rsid w:val="0013272F"/>
    <w:rsid w:val="00133305"/>
    <w:rsid w:val="001333C9"/>
    <w:rsid w:val="00133412"/>
    <w:rsid w:val="00133C38"/>
    <w:rsid w:val="00133CEB"/>
    <w:rsid w:val="00134014"/>
    <w:rsid w:val="00134620"/>
    <w:rsid w:val="001353CF"/>
    <w:rsid w:val="00135442"/>
    <w:rsid w:val="001355EB"/>
    <w:rsid w:val="001356BB"/>
    <w:rsid w:val="00135753"/>
    <w:rsid w:val="00135948"/>
    <w:rsid w:val="00135974"/>
    <w:rsid w:val="00136465"/>
    <w:rsid w:val="00136750"/>
    <w:rsid w:val="00137211"/>
    <w:rsid w:val="0013752B"/>
    <w:rsid w:val="00137655"/>
    <w:rsid w:val="00137A08"/>
    <w:rsid w:val="00137A24"/>
    <w:rsid w:val="00137ACF"/>
    <w:rsid w:val="00137B45"/>
    <w:rsid w:val="00137BC2"/>
    <w:rsid w:val="00137D02"/>
    <w:rsid w:val="00137DB5"/>
    <w:rsid w:val="00137FAA"/>
    <w:rsid w:val="001404DD"/>
    <w:rsid w:val="0014087B"/>
    <w:rsid w:val="0014097B"/>
    <w:rsid w:val="001411AF"/>
    <w:rsid w:val="001415A2"/>
    <w:rsid w:val="00141614"/>
    <w:rsid w:val="00141D23"/>
    <w:rsid w:val="00141D2C"/>
    <w:rsid w:val="00142351"/>
    <w:rsid w:val="001428D1"/>
    <w:rsid w:val="001432E0"/>
    <w:rsid w:val="00143437"/>
    <w:rsid w:val="00143F47"/>
    <w:rsid w:val="0014403A"/>
    <w:rsid w:val="001441EE"/>
    <w:rsid w:val="0014471B"/>
    <w:rsid w:val="00144A90"/>
    <w:rsid w:val="00144CFC"/>
    <w:rsid w:val="001451D5"/>
    <w:rsid w:val="0014559D"/>
    <w:rsid w:val="00145982"/>
    <w:rsid w:val="00145D4A"/>
    <w:rsid w:val="00145D7D"/>
    <w:rsid w:val="00145E77"/>
    <w:rsid w:val="001460B2"/>
    <w:rsid w:val="00146277"/>
    <w:rsid w:val="0014642B"/>
    <w:rsid w:val="0014650E"/>
    <w:rsid w:val="00146643"/>
    <w:rsid w:val="0014667D"/>
    <w:rsid w:val="001466B3"/>
    <w:rsid w:val="001466D6"/>
    <w:rsid w:val="0014693E"/>
    <w:rsid w:val="00146947"/>
    <w:rsid w:val="00146A3A"/>
    <w:rsid w:val="00146A3F"/>
    <w:rsid w:val="00146C74"/>
    <w:rsid w:val="0014710F"/>
    <w:rsid w:val="0014722D"/>
    <w:rsid w:val="00147828"/>
    <w:rsid w:val="00147875"/>
    <w:rsid w:val="001479A5"/>
    <w:rsid w:val="00147BB6"/>
    <w:rsid w:val="00147EA6"/>
    <w:rsid w:val="00150164"/>
    <w:rsid w:val="00150368"/>
    <w:rsid w:val="00150656"/>
    <w:rsid w:val="00150D9F"/>
    <w:rsid w:val="00151633"/>
    <w:rsid w:val="00151641"/>
    <w:rsid w:val="001516A1"/>
    <w:rsid w:val="001516EC"/>
    <w:rsid w:val="00151A17"/>
    <w:rsid w:val="00151C85"/>
    <w:rsid w:val="00151C91"/>
    <w:rsid w:val="00151DA3"/>
    <w:rsid w:val="00152358"/>
    <w:rsid w:val="0015260C"/>
    <w:rsid w:val="00152758"/>
    <w:rsid w:val="00152AE7"/>
    <w:rsid w:val="00153551"/>
    <w:rsid w:val="001536B2"/>
    <w:rsid w:val="00153800"/>
    <w:rsid w:val="00153B23"/>
    <w:rsid w:val="00154325"/>
    <w:rsid w:val="001550C3"/>
    <w:rsid w:val="001555DE"/>
    <w:rsid w:val="00155718"/>
    <w:rsid w:val="0015593C"/>
    <w:rsid w:val="00155ABB"/>
    <w:rsid w:val="00155B41"/>
    <w:rsid w:val="00155D28"/>
    <w:rsid w:val="00155DD8"/>
    <w:rsid w:val="00156764"/>
    <w:rsid w:val="001568ED"/>
    <w:rsid w:val="00156ACF"/>
    <w:rsid w:val="00156B5B"/>
    <w:rsid w:val="001571C1"/>
    <w:rsid w:val="00157379"/>
    <w:rsid w:val="001574A5"/>
    <w:rsid w:val="00157D57"/>
    <w:rsid w:val="00157E32"/>
    <w:rsid w:val="00157F04"/>
    <w:rsid w:val="00157F72"/>
    <w:rsid w:val="00160DE7"/>
    <w:rsid w:val="00161419"/>
    <w:rsid w:val="00161666"/>
    <w:rsid w:val="001616D6"/>
    <w:rsid w:val="001621A3"/>
    <w:rsid w:val="0016236E"/>
    <w:rsid w:val="00162508"/>
    <w:rsid w:val="00162678"/>
    <w:rsid w:val="0016271B"/>
    <w:rsid w:val="00162997"/>
    <w:rsid w:val="00162A49"/>
    <w:rsid w:val="00162F3A"/>
    <w:rsid w:val="001631C0"/>
    <w:rsid w:val="00163259"/>
    <w:rsid w:val="001633A3"/>
    <w:rsid w:val="001633DF"/>
    <w:rsid w:val="0016341A"/>
    <w:rsid w:val="00163660"/>
    <w:rsid w:val="0016371D"/>
    <w:rsid w:val="00163A67"/>
    <w:rsid w:val="001640C8"/>
    <w:rsid w:val="001643AC"/>
    <w:rsid w:val="00164716"/>
    <w:rsid w:val="00164D13"/>
    <w:rsid w:val="00164E25"/>
    <w:rsid w:val="00164F8C"/>
    <w:rsid w:val="001657F2"/>
    <w:rsid w:val="0016580D"/>
    <w:rsid w:val="00165A12"/>
    <w:rsid w:val="00165E30"/>
    <w:rsid w:val="00165F99"/>
    <w:rsid w:val="00166097"/>
    <w:rsid w:val="0016616C"/>
    <w:rsid w:val="00166229"/>
    <w:rsid w:val="00166491"/>
    <w:rsid w:val="001664D3"/>
    <w:rsid w:val="00166CE6"/>
    <w:rsid w:val="00166E6D"/>
    <w:rsid w:val="00167460"/>
    <w:rsid w:val="001674DE"/>
    <w:rsid w:val="00167649"/>
    <w:rsid w:val="00167820"/>
    <w:rsid w:val="00167B65"/>
    <w:rsid w:val="00170058"/>
    <w:rsid w:val="00170080"/>
    <w:rsid w:val="0017085C"/>
    <w:rsid w:val="001708D3"/>
    <w:rsid w:val="00170ECB"/>
    <w:rsid w:val="00171873"/>
    <w:rsid w:val="001719B2"/>
    <w:rsid w:val="00171A5E"/>
    <w:rsid w:val="00171D16"/>
    <w:rsid w:val="00171E8A"/>
    <w:rsid w:val="00171F34"/>
    <w:rsid w:val="0017219E"/>
    <w:rsid w:val="0017251D"/>
    <w:rsid w:val="001726D4"/>
    <w:rsid w:val="00172B6D"/>
    <w:rsid w:val="00172C46"/>
    <w:rsid w:val="001732ED"/>
    <w:rsid w:val="00173326"/>
    <w:rsid w:val="001734A5"/>
    <w:rsid w:val="0017356C"/>
    <w:rsid w:val="0017370E"/>
    <w:rsid w:val="0017378D"/>
    <w:rsid w:val="00173C32"/>
    <w:rsid w:val="00173F1F"/>
    <w:rsid w:val="00174203"/>
    <w:rsid w:val="0017473C"/>
    <w:rsid w:val="001750A0"/>
    <w:rsid w:val="001750C5"/>
    <w:rsid w:val="001755BE"/>
    <w:rsid w:val="00175FA7"/>
    <w:rsid w:val="00176269"/>
    <w:rsid w:val="001764BF"/>
    <w:rsid w:val="001769C9"/>
    <w:rsid w:val="00176E07"/>
    <w:rsid w:val="00177B21"/>
    <w:rsid w:val="00177F40"/>
    <w:rsid w:val="00177FE4"/>
    <w:rsid w:val="00180008"/>
    <w:rsid w:val="001800D4"/>
    <w:rsid w:val="001805F3"/>
    <w:rsid w:val="00180B1D"/>
    <w:rsid w:val="001817AB"/>
    <w:rsid w:val="001817BA"/>
    <w:rsid w:val="00182310"/>
    <w:rsid w:val="001825EE"/>
    <w:rsid w:val="001827CC"/>
    <w:rsid w:val="00182A77"/>
    <w:rsid w:val="00182BB7"/>
    <w:rsid w:val="00182BE4"/>
    <w:rsid w:val="00182C1A"/>
    <w:rsid w:val="00182E10"/>
    <w:rsid w:val="0018347E"/>
    <w:rsid w:val="0018366A"/>
    <w:rsid w:val="0018426D"/>
    <w:rsid w:val="0018427A"/>
    <w:rsid w:val="00184327"/>
    <w:rsid w:val="001843B1"/>
    <w:rsid w:val="00184490"/>
    <w:rsid w:val="001844C6"/>
    <w:rsid w:val="001845EF"/>
    <w:rsid w:val="001847A9"/>
    <w:rsid w:val="00184AA3"/>
    <w:rsid w:val="00184B22"/>
    <w:rsid w:val="0018544C"/>
    <w:rsid w:val="0018549D"/>
    <w:rsid w:val="00185868"/>
    <w:rsid w:val="00185F1D"/>
    <w:rsid w:val="0018615C"/>
    <w:rsid w:val="001863C4"/>
    <w:rsid w:val="001866D5"/>
    <w:rsid w:val="00186850"/>
    <w:rsid w:val="00186A36"/>
    <w:rsid w:val="00187103"/>
    <w:rsid w:val="001874D7"/>
    <w:rsid w:val="001874EB"/>
    <w:rsid w:val="00187658"/>
    <w:rsid w:val="00187681"/>
    <w:rsid w:val="0018787D"/>
    <w:rsid w:val="00187905"/>
    <w:rsid w:val="00187D9F"/>
    <w:rsid w:val="00187E2C"/>
    <w:rsid w:val="00187E44"/>
    <w:rsid w:val="00187EB2"/>
    <w:rsid w:val="00187EBF"/>
    <w:rsid w:val="00187F1D"/>
    <w:rsid w:val="001900BE"/>
    <w:rsid w:val="00190145"/>
    <w:rsid w:val="0019042B"/>
    <w:rsid w:val="0019074B"/>
    <w:rsid w:val="001908A8"/>
    <w:rsid w:val="00190B97"/>
    <w:rsid w:val="00190C4D"/>
    <w:rsid w:val="00190CD1"/>
    <w:rsid w:val="00190E12"/>
    <w:rsid w:val="001923F7"/>
    <w:rsid w:val="00192407"/>
    <w:rsid w:val="001925B3"/>
    <w:rsid w:val="0019286D"/>
    <w:rsid w:val="00192BD0"/>
    <w:rsid w:val="00193328"/>
    <w:rsid w:val="001933E1"/>
    <w:rsid w:val="00193480"/>
    <w:rsid w:val="00193AD2"/>
    <w:rsid w:val="00193CC6"/>
    <w:rsid w:val="00193F98"/>
    <w:rsid w:val="00194146"/>
    <w:rsid w:val="00194B60"/>
    <w:rsid w:val="00194D51"/>
    <w:rsid w:val="00194DB0"/>
    <w:rsid w:val="0019530F"/>
    <w:rsid w:val="001955D4"/>
    <w:rsid w:val="00195842"/>
    <w:rsid w:val="00195D19"/>
    <w:rsid w:val="00196434"/>
    <w:rsid w:val="001964B2"/>
    <w:rsid w:val="0019656A"/>
    <w:rsid w:val="00196762"/>
    <w:rsid w:val="001968DC"/>
    <w:rsid w:val="00196938"/>
    <w:rsid w:val="00196958"/>
    <w:rsid w:val="00196D8E"/>
    <w:rsid w:val="0019714F"/>
    <w:rsid w:val="001979A7"/>
    <w:rsid w:val="00197B2E"/>
    <w:rsid w:val="00197B79"/>
    <w:rsid w:val="001A01A2"/>
    <w:rsid w:val="001A0286"/>
    <w:rsid w:val="001A0A05"/>
    <w:rsid w:val="001A1314"/>
    <w:rsid w:val="001A137F"/>
    <w:rsid w:val="001A1DEE"/>
    <w:rsid w:val="001A201E"/>
    <w:rsid w:val="001A286D"/>
    <w:rsid w:val="001A2AEF"/>
    <w:rsid w:val="001A2DE8"/>
    <w:rsid w:val="001A2F93"/>
    <w:rsid w:val="001A321D"/>
    <w:rsid w:val="001A3352"/>
    <w:rsid w:val="001A3420"/>
    <w:rsid w:val="001A353D"/>
    <w:rsid w:val="001A3695"/>
    <w:rsid w:val="001A4023"/>
    <w:rsid w:val="001A4DF2"/>
    <w:rsid w:val="001A4EBF"/>
    <w:rsid w:val="001A5078"/>
    <w:rsid w:val="001A5188"/>
    <w:rsid w:val="001A5205"/>
    <w:rsid w:val="001A551E"/>
    <w:rsid w:val="001A55D5"/>
    <w:rsid w:val="001A5660"/>
    <w:rsid w:val="001A581E"/>
    <w:rsid w:val="001A5AD3"/>
    <w:rsid w:val="001A6071"/>
    <w:rsid w:val="001A60A3"/>
    <w:rsid w:val="001A60EA"/>
    <w:rsid w:val="001A6640"/>
    <w:rsid w:val="001A6DFF"/>
    <w:rsid w:val="001A6E48"/>
    <w:rsid w:val="001A729B"/>
    <w:rsid w:val="001A7335"/>
    <w:rsid w:val="001A7368"/>
    <w:rsid w:val="001A7613"/>
    <w:rsid w:val="001A7909"/>
    <w:rsid w:val="001A79E9"/>
    <w:rsid w:val="001A7C6E"/>
    <w:rsid w:val="001B0076"/>
    <w:rsid w:val="001B00AD"/>
    <w:rsid w:val="001B0447"/>
    <w:rsid w:val="001B071A"/>
    <w:rsid w:val="001B07A7"/>
    <w:rsid w:val="001B07E8"/>
    <w:rsid w:val="001B0E44"/>
    <w:rsid w:val="001B0E9C"/>
    <w:rsid w:val="001B13A0"/>
    <w:rsid w:val="001B13C6"/>
    <w:rsid w:val="001B1519"/>
    <w:rsid w:val="001B171C"/>
    <w:rsid w:val="001B17B0"/>
    <w:rsid w:val="001B191F"/>
    <w:rsid w:val="001B1992"/>
    <w:rsid w:val="001B1A92"/>
    <w:rsid w:val="001B1B2B"/>
    <w:rsid w:val="001B22F9"/>
    <w:rsid w:val="001B2323"/>
    <w:rsid w:val="001B2481"/>
    <w:rsid w:val="001B2EE1"/>
    <w:rsid w:val="001B31DC"/>
    <w:rsid w:val="001B32B4"/>
    <w:rsid w:val="001B370F"/>
    <w:rsid w:val="001B3909"/>
    <w:rsid w:val="001B3A17"/>
    <w:rsid w:val="001B3B88"/>
    <w:rsid w:val="001B3FE6"/>
    <w:rsid w:val="001B4015"/>
    <w:rsid w:val="001B40A3"/>
    <w:rsid w:val="001B429E"/>
    <w:rsid w:val="001B453A"/>
    <w:rsid w:val="001B4653"/>
    <w:rsid w:val="001B4860"/>
    <w:rsid w:val="001B4907"/>
    <w:rsid w:val="001B49B6"/>
    <w:rsid w:val="001B4BA8"/>
    <w:rsid w:val="001B4BFF"/>
    <w:rsid w:val="001B4CCD"/>
    <w:rsid w:val="001B4FC0"/>
    <w:rsid w:val="001B5085"/>
    <w:rsid w:val="001B520A"/>
    <w:rsid w:val="001B53D2"/>
    <w:rsid w:val="001B56DF"/>
    <w:rsid w:val="001B5836"/>
    <w:rsid w:val="001B59F7"/>
    <w:rsid w:val="001B5D15"/>
    <w:rsid w:val="001B66CC"/>
    <w:rsid w:val="001B6919"/>
    <w:rsid w:val="001B6BC7"/>
    <w:rsid w:val="001B6CAD"/>
    <w:rsid w:val="001B6D41"/>
    <w:rsid w:val="001B6E81"/>
    <w:rsid w:val="001B702E"/>
    <w:rsid w:val="001B7CE2"/>
    <w:rsid w:val="001B7E7C"/>
    <w:rsid w:val="001B7F01"/>
    <w:rsid w:val="001C06D5"/>
    <w:rsid w:val="001C097B"/>
    <w:rsid w:val="001C0981"/>
    <w:rsid w:val="001C1217"/>
    <w:rsid w:val="001C145F"/>
    <w:rsid w:val="001C1CFF"/>
    <w:rsid w:val="001C201E"/>
    <w:rsid w:val="001C2033"/>
    <w:rsid w:val="001C20BD"/>
    <w:rsid w:val="001C20D9"/>
    <w:rsid w:val="001C223E"/>
    <w:rsid w:val="001C2527"/>
    <w:rsid w:val="001C2C24"/>
    <w:rsid w:val="001C2D48"/>
    <w:rsid w:val="001C33AC"/>
    <w:rsid w:val="001C3916"/>
    <w:rsid w:val="001C3968"/>
    <w:rsid w:val="001C3B0B"/>
    <w:rsid w:val="001C3C13"/>
    <w:rsid w:val="001C3F15"/>
    <w:rsid w:val="001C3F4E"/>
    <w:rsid w:val="001C436E"/>
    <w:rsid w:val="001C4691"/>
    <w:rsid w:val="001C4739"/>
    <w:rsid w:val="001C48E5"/>
    <w:rsid w:val="001C4E1C"/>
    <w:rsid w:val="001C51CF"/>
    <w:rsid w:val="001C5D5A"/>
    <w:rsid w:val="001C6166"/>
    <w:rsid w:val="001C61F7"/>
    <w:rsid w:val="001C6C42"/>
    <w:rsid w:val="001C6CEE"/>
    <w:rsid w:val="001C6E63"/>
    <w:rsid w:val="001C729B"/>
    <w:rsid w:val="001C783E"/>
    <w:rsid w:val="001D01A9"/>
    <w:rsid w:val="001D0C43"/>
    <w:rsid w:val="001D1134"/>
    <w:rsid w:val="001D1223"/>
    <w:rsid w:val="001D1727"/>
    <w:rsid w:val="001D1732"/>
    <w:rsid w:val="001D18F1"/>
    <w:rsid w:val="001D1A6F"/>
    <w:rsid w:val="001D1FE1"/>
    <w:rsid w:val="001D2442"/>
    <w:rsid w:val="001D2957"/>
    <w:rsid w:val="001D299E"/>
    <w:rsid w:val="001D2A2F"/>
    <w:rsid w:val="001D2B3A"/>
    <w:rsid w:val="001D30DA"/>
    <w:rsid w:val="001D3169"/>
    <w:rsid w:val="001D38A0"/>
    <w:rsid w:val="001D39F8"/>
    <w:rsid w:val="001D3B02"/>
    <w:rsid w:val="001D3C3A"/>
    <w:rsid w:val="001D3CCF"/>
    <w:rsid w:val="001D456D"/>
    <w:rsid w:val="001D45B7"/>
    <w:rsid w:val="001D46CE"/>
    <w:rsid w:val="001D4D13"/>
    <w:rsid w:val="001D4DE9"/>
    <w:rsid w:val="001D4F12"/>
    <w:rsid w:val="001D4F49"/>
    <w:rsid w:val="001D57DF"/>
    <w:rsid w:val="001D5B01"/>
    <w:rsid w:val="001D6229"/>
    <w:rsid w:val="001D6234"/>
    <w:rsid w:val="001D62ED"/>
    <w:rsid w:val="001D63D0"/>
    <w:rsid w:val="001D64F2"/>
    <w:rsid w:val="001D69E8"/>
    <w:rsid w:val="001D71A2"/>
    <w:rsid w:val="001D7362"/>
    <w:rsid w:val="001D73C3"/>
    <w:rsid w:val="001D770E"/>
    <w:rsid w:val="001D776E"/>
    <w:rsid w:val="001D7831"/>
    <w:rsid w:val="001D79A7"/>
    <w:rsid w:val="001D7B5F"/>
    <w:rsid w:val="001D7B78"/>
    <w:rsid w:val="001D7C3A"/>
    <w:rsid w:val="001D7CBD"/>
    <w:rsid w:val="001D7CF6"/>
    <w:rsid w:val="001D7D02"/>
    <w:rsid w:val="001D7D07"/>
    <w:rsid w:val="001D7DBC"/>
    <w:rsid w:val="001E00E9"/>
    <w:rsid w:val="001E010C"/>
    <w:rsid w:val="001E01DD"/>
    <w:rsid w:val="001E04BC"/>
    <w:rsid w:val="001E064B"/>
    <w:rsid w:val="001E0720"/>
    <w:rsid w:val="001E07E5"/>
    <w:rsid w:val="001E0A2D"/>
    <w:rsid w:val="001E11DD"/>
    <w:rsid w:val="001E11E2"/>
    <w:rsid w:val="001E159D"/>
    <w:rsid w:val="001E1D0D"/>
    <w:rsid w:val="001E2129"/>
    <w:rsid w:val="001E2259"/>
    <w:rsid w:val="001E2412"/>
    <w:rsid w:val="001E28D4"/>
    <w:rsid w:val="001E2AB6"/>
    <w:rsid w:val="001E2CC1"/>
    <w:rsid w:val="001E2DD7"/>
    <w:rsid w:val="001E2E95"/>
    <w:rsid w:val="001E3159"/>
    <w:rsid w:val="001E3189"/>
    <w:rsid w:val="001E39DD"/>
    <w:rsid w:val="001E3E6C"/>
    <w:rsid w:val="001E426B"/>
    <w:rsid w:val="001E477D"/>
    <w:rsid w:val="001E4B7A"/>
    <w:rsid w:val="001E4C31"/>
    <w:rsid w:val="001E4DC7"/>
    <w:rsid w:val="001E5016"/>
    <w:rsid w:val="001E524C"/>
    <w:rsid w:val="001E5ACD"/>
    <w:rsid w:val="001E5BD6"/>
    <w:rsid w:val="001E6202"/>
    <w:rsid w:val="001E6421"/>
    <w:rsid w:val="001E658B"/>
    <w:rsid w:val="001E6595"/>
    <w:rsid w:val="001E65C3"/>
    <w:rsid w:val="001E6674"/>
    <w:rsid w:val="001E685C"/>
    <w:rsid w:val="001E692E"/>
    <w:rsid w:val="001E6A9C"/>
    <w:rsid w:val="001E6C37"/>
    <w:rsid w:val="001E7273"/>
    <w:rsid w:val="001E737E"/>
    <w:rsid w:val="001E7869"/>
    <w:rsid w:val="001E7CB8"/>
    <w:rsid w:val="001E7E57"/>
    <w:rsid w:val="001E7F43"/>
    <w:rsid w:val="001E7FD1"/>
    <w:rsid w:val="001F01D7"/>
    <w:rsid w:val="001F034A"/>
    <w:rsid w:val="001F042C"/>
    <w:rsid w:val="001F0810"/>
    <w:rsid w:val="001F089D"/>
    <w:rsid w:val="001F0B10"/>
    <w:rsid w:val="001F0D57"/>
    <w:rsid w:val="001F0E3C"/>
    <w:rsid w:val="001F1327"/>
    <w:rsid w:val="001F137E"/>
    <w:rsid w:val="001F156E"/>
    <w:rsid w:val="001F1733"/>
    <w:rsid w:val="001F1965"/>
    <w:rsid w:val="001F1C13"/>
    <w:rsid w:val="001F204F"/>
    <w:rsid w:val="001F2191"/>
    <w:rsid w:val="001F284A"/>
    <w:rsid w:val="001F28F7"/>
    <w:rsid w:val="001F2B15"/>
    <w:rsid w:val="001F31F1"/>
    <w:rsid w:val="001F3275"/>
    <w:rsid w:val="001F3378"/>
    <w:rsid w:val="001F35C2"/>
    <w:rsid w:val="001F3673"/>
    <w:rsid w:val="001F3C4A"/>
    <w:rsid w:val="001F4451"/>
    <w:rsid w:val="001F44D3"/>
    <w:rsid w:val="001F4755"/>
    <w:rsid w:val="001F47CC"/>
    <w:rsid w:val="001F4D34"/>
    <w:rsid w:val="001F4DBB"/>
    <w:rsid w:val="001F5040"/>
    <w:rsid w:val="001F5DF3"/>
    <w:rsid w:val="001F5E51"/>
    <w:rsid w:val="001F6112"/>
    <w:rsid w:val="001F6336"/>
    <w:rsid w:val="001F63DD"/>
    <w:rsid w:val="001F660D"/>
    <w:rsid w:val="001F6A93"/>
    <w:rsid w:val="001F7133"/>
    <w:rsid w:val="001F7151"/>
    <w:rsid w:val="001F7290"/>
    <w:rsid w:val="001F797E"/>
    <w:rsid w:val="001F79F3"/>
    <w:rsid w:val="0020005A"/>
    <w:rsid w:val="0020006C"/>
    <w:rsid w:val="002004FD"/>
    <w:rsid w:val="00200DCF"/>
    <w:rsid w:val="002012AB"/>
    <w:rsid w:val="0020188A"/>
    <w:rsid w:val="00201DE9"/>
    <w:rsid w:val="00201EF9"/>
    <w:rsid w:val="002021BE"/>
    <w:rsid w:val="00202A0D"/>
    <w:rsid w:val="00202B4B"/>
    <w:rsid w:val="00202C1A"/>
    <w:rsid w:val="00202D57"/>
    <w:rsid w:val="0020374C"/>
    <w:rsid w:val="002038F9"/>
    <w:rsid w:val="00203CE3"/>
    <w:rsid w:val="002042B6"/>
    <w:rsid w:val="002043CC"/>
    <w:rsid w:val="00204710"/>
    <w:rsid w:val="002048E2"/>
    <w:rsid w:val="00204C97"/>
    <w:rsid w:val="00205962"/>
    <w:rsid w:val="00205D13"/>
    <w:rsid w:val="0020602F"/>
    <w:rsid w:val="0020674A"/>
    <w:rsid w:val="00206A7F"/>
    <w:rsid w:val="00206FA5"/>
    <w:rsid w:val="002070C8"/>
    <w:rsid w:val="002071C2"/>
    <w:rsid w:val="00207596"/>
    <w:rsid w:val="002077EF"/>
    <w:rsid w:val="00207DB0"/>
    <w:rsid w:val="00207EA2"/>
    <w:rsid w:val="00210064"/>
    <w:rsid w:val="002103EB"/>
    <w:rsid w:val="00210650"/>
    <w:rsid w:val="002108C5"/>
    <w:rsid w:val="00210B99"/>
    <w:rsid w:val="00210E4E"/>
    <w:rsid w:val="002114B9"/>
    <w:rsid w:val="00211830"/>
    <w:rsid w:val="00211B05"/>
    <w:rsid w:val="00211B79"/>
    <w:rsid w:val="00211C91"/>
    <w:rsid w:val="00211CE6"/>
    <w:rsid w:val="002128B3"/>
    <w:rsid w:val="002129A4"/>
    <w:rsid w:val="00212A14"/>
    <w:rsid w:val="00212E82"/>
    <w:rsid w:val="0021309A"/>
    <w:rsid w:val="002130AC"/>
    <w:rsid w:val="0021323E"/>
    <w:rsid w:val="00213571"/>
    <w:rsid w:val="00213B11"/>
    <w:rsid w:val="00213CBB"/>
    <w:rsid w:val="00213ECF"/>
    <w:rsid w:val="00213EE8"/>
    <w:rsid w:val="0021443A"/>
    <w:rsid w:val="002144C1"/>
    <w:rsid w:val="002146AD"/>
    <w:rsid w:val="00214B04"/>
    <w:rsid w:val="00214B0D"/>
    <w:rsid w:val="00214B1F"/>
    <w:rsid w:val="00214ECB"/>
    <w:rsid w:val="00214F01"/>
    <w:rsid w:val="00214FE7"/>
    <w:rsid w:val="002153E1"/>
    <w:rsid w:val="00215754"/>
    <w:rsid w:val="00215C18"/>
    <w:rsid w:val="00215C40"/>
    <w:rsid w:val="00215D7F"/>
    <w:rsid w:val="00216466"/>
    <w:rsid w:val="002164EF"/>
    <w:rsid w:val="002167DB"/>
    <w:rsid w:val="00216ADA"/>
    <w:rsid w:val="00216B82"/>
    <w:rsid w:val="00216CEE"/>
    <w:rsid w:val="00217082"/>
    <w:rsid w:val="0021713C"/>
    <w:rsid w:val="002171E0"/>
    <w:rsid w:val="002173F2"/>
    <w:rsid w:val="00217ACA"/>
    <w:rsid w:val="00217E26"/>
    <w:rsid w:val="00220056"/>
    <w:rsid w:val="002205A4"/>
    <w:rsid w:val="002205EB"/>
    <w:rsid w:val="00220698"/>
    <w:rsid w:val="0022073D"/>
    <w:rsid w:val="0022097F"/>
    <w:rsid w:val="0022099B"/>
    <w:rsid w:val="00220A07"/>
    <w:rsid w:val="002212C7"/>
    <w:rsid w:val="0022152C"/>
    <w:rsid w:val="00221952"/>
    <w:rsid w:val="00221AAC"/>
    <w:rsid w:val="00221AD1"/>
    <w:rsid w:val="0022290D"/>
    <w:rsid w:val="00222C12"/>
    <w:rsid w:val="00222E2C"/>
    <w:rsid w:val="00222F3A"/>
    <w:rsid w:val="00223252"/>
    <w:rsid w:val="00223694"/>
    <w:rsid w:val="0022372B"/>
    <w:rsid w:val="002239CD"/>
    <w:rsid w:val="002243E2"/>
    <w:rsid w:val="00224671"/>
    <w:rsid w:val="00224A4D"/>
    <w:rsid w:val="00225087"/>
    <w:rsid w:val="00225089"/>
    <w:rsid w:val="002251B8"/>
    <w:rsid w:val="00225414"/>
    <w:rsid w:val="00226225"/>
    <w:rsid w:val="0022637A"/>
    <w:rsid w:val="00226459"/>
    <w:rsid w:val="002272DE"/>
    <w:rsid w:val="002274C1"/>
    <w:rsid w:val="0022756B"/>
    <w:rsid w:val="002276FF"/>
    <w:rsid w:val="00230209"/>
    <w:rsid w:val="002303F9"/>
    <w:rsid w:val="00230614"/>
    <w:rsid w:val="00230925"/>
    <w:rsid w:val="00230E9E"/>
    <w:rsid w:val="0023109D"/>
    <w:rsid w:val="002313B2"/>
    <w:rsid w:val="00231D84"/>
    <w:rsid w:val="002320B0"/>
    <w:rsid w:val="002321B9"/>
    <w:rsid w:val="002323F4"/>
    <w:rsid w:val="00232D3E"/>
    <w:rsid w:val="00232DF4"/>
    <w:rsid w:val="00232F96"/>
    <w:rsid w:val="00232FA5"/>
    <w:rsid w:val="002331AE"/>
    <w:rsid w:val="00233547"/>
    <w:rsid w:val="00233571"/>
    <w:rsid w:val="00233D37"/>
    <w:rsid w:val="002343EF"/>
    <w:rsid w:val="002347C4"/>
    <w:rsid w:val="00234DC2"/>
    <w:rsid w:val="0023503C"/>
    <w:rsid w:val="00235593"/>
    <w:rsid w:val="002355C6"/>
    <w:rsid w:val="002357B3"/>
    <w:rsid w:val="0023587F"/>
    <w:rsid w:val="00235905"/>
    <w:rsid w:val="00235BC7"/>
    <w:rsid w:val="00235C15"/>
    <w:rsid w:val="0023601B"/>
    <w:rsid w:val="002360FC"/>
    <w:rsid w:val="0023624D"/>
    <w:rsid w:val="002363C2"/>
    <w:rsid w:val="00236C0A"/>
    <w:rsid w:val="00237339"/>
    <w:rsid w:val="002375C1"/>
    <w:rsid w:val="002375CF"/>
    <w:rsid w:val="00237604"/>
    <w:rsid w:val="00237CF3"/>
    <w:rsid w:val="002405F1"/>
    <w:rsid w:val="00240AF3"/>
    <w:rsid w:val="00240D37"/>
    <w:rsid w:val="00240F6F"/>
    <w:rsid w:val="00241020"/>
    <w:rsid w:val="00241092"/>
    <w:rsid w:val="002412D5"/>
    <w:rsid w:val="002414F5"/>
    <w:rsid w:val="0024154A"/>
    <w:rsid w:val="00241D64"/>
    <w:rsid w:val="00241E84"/>
    <w:rsid w:val="00241F5E"/>
    <w:rsid w:val="00242040"/>
    <w:rsid w:val="00242165"/>
    <w:rsid w:val="002421F8"/>
    <w:rsid w:val="00242224"/>
    <w:rsid w:val="00242254"/>
    <w:rsid w:val="002422A1"/>
    <w:rsid w:val="00242A32"/>
    <w:rsid w:val="00243082"/>
    <w:rsid w:val="00243399"/>
    <w:rsid w:val="002438A7"/>
    <w:rsid w:val="00243C88"/>
    <w:rsid w:val="00243EE2"/>
    <w:rsid w:val="002445D7"/>
    <w:rsid w:val="0024464C"/>
    <w:rsid w:val="0024465D"/>
    <w:rsid w:val="002448CB"/>
    <w:rsid w:val="00244AE8"/>
    <w:rsid w:val="00244EF4"/>
    <w:rsid w:val="00244F4A"/>
    <w:rsid w:val="00245558"/>
    <w:rsid w:val="00245A01"/>
    <w:rsid w:val="00245DAA"/>
    <w:rsid w:val="0024643C"/>
    <w:rsid w:val="00246458"/>
    <w:rsid w:val="002464C4"/>
    <w:rsid w:val="002468BD"/>
    <w:rsid w:val="00246A9B"/>
    <w:rsid w:val="00246AA6"/>
    <w:rsid w:val="00246ADB"/>
    <w:rsid w:val="00247019"/>
    <w:rsid w:val="002471B4"/>
    <w:rsid w:val="00247219"/>
    <w:rsid w:val="00247591"/>
    <w:rsid w:val="0024795F"/>
    <w:rsid w:val="00247DAF"/>
    <w:rsid w:val="00247DBA"/>
    <w:rsid w:val="00247F99"/>
    <w:rsid w:val="00250943"/>
    <w:rsid w:val="002509AF"/>
    <w:rsid w:val="00250CEC"/>
    <w:rsid w:val="002512A9"/>
    <w:rsid w:val="00251830"/>
    <w:rsid w:val="00251AE0"/>
    <w:rsid w:val="00251BAB"/>
    <w:rsid w:val="00251CA9"/>
    <w:rsid w:val="00252137"/>
    <w:rsid w:val="0025256D"/>
    <w:rsid w:val="002528E2"/>
    <w:rsid w:val="00252A97"/>
    <w:rsid w:val="00252C1C"/>
    <w:rsid w:val="00252C93"/>
    <w:rsid w:val="0025316E"/>
    <w:rsid w:val="002533DC"/>
    <w:rsid w:val="0025340F"/>
    <w:rsid w:val="00253A96"/>
    <w:rsid w:val="00253D82"/>
    <w:rsid w:val="00253FD4"/>
    <w:rsid w:val="002541C8"/>
    <w:rsid w:val="00254418"/>
    <w:rsid w:val="002548F2"/>
    <w:rsid w:val="002549B7"/>
    <w:rsid w:val="00255643"/>
    <w:rsid w:val="0025626D"/>
    <w:rsid w:val="00256321"/>
    <w:rsid w:val="00256560"/>
    <w:rsid w:val="00256624"/>
    <w:rsid w:val="00256C87"/>
    <w:rsid w:val="00256DDA"/>
    <w:rsid w:val="00256EDB"/>
    <w:rsid w:val="0025744E"/>
    <w:rsid w:val="0025755C"/>
    <w:rsid w:val="00257738"/>
    <w:rsid w:val="00257F30"/>
    <w:rsid w:val="00257F46"/>
    <w:rsid w:val="002600AD"/>
    <w:rsid w:val="00260278"/>
    <w:rsid w:val="00260892"/>
    <w:rsid w:val="00260CB3"/>
    <w:rsid w:val="00260FF7"/>
    <w:rsid w:val="002611FB"/>
    <w:rsid w:val="00261317"/>
    <w:rsid w:val="00261321"/>
    <w:rsid w:val="002618F0"/>
    <w:rsid w:val="00261910"/>
    <w:rsid w:val="002619E4"/>
    <w:rsid w:val="00261C12"/>
    <w:rsid w:val="002620C0"/>
    <w:rsid w:val="002622B1"/>
    <w:rsid w:val="00262ACE"/>
    <w:rsid w:val="00262EDE"/>
    <w:rsid w:val="00262FC8"/>
    <w:rsid w:val="00262FDF"/>
    <w:rsid w:val="00263094"/>
    <w:rsid w:val="002632C9"/>
    <w:rsid w:val="002633E5"/>
    <w:rsid w:val="002634B1"/>
    <w:rsid w:val="00263646"/>
    <w:rsid w:val="0026389C"/>
    <w:rsid w:val="002639D5"/>
    <w:rsid w:val="00264319"/>
    <w:rsid w:val="002647C1"/>
    <w:rsid w:val="00264BC6"/>
    <w:rsid w:val="00264E21"/>
    <w:rsid w:val="0026524E"/>
    <w:rsid w:val="00265270"/>
    <w:rsid w:val="002654B4"/>
    <w:rsid w:val="002657DD"/>
    <w:rsid w:val="002658BA"/>
    <w:rsid w:val="00265B4D"/>
    <w:rsid w:val="00265BC4"/>
    <w:rsid w:val="00265C0D"/>
    <w:rsid w:val="00265F14"/>
    <w:rsid w:val="002663F1"/>
    <w:rsid w:val="0026655E"/>
    <w:rsid w:val="00266A5E"/>
    <w:rsid w:val="00266ACC"/>
    <w:rsid w:val="00266CF8"/>
    <w:rsid w:val="0026795F"/>
    <w:rsid w:val="00267A0F"/>
    <w:rsid w:val="00267C47"/>
    <w:rsid w:val="00267F2B"/>
    <w:rsid w:val="00270096"/>
    <w:rsid w:val="0027009D"/>
    <w:rsid w:val="002700A1"/>
    <w:rsid w:val="00270179"/>
    <w:rsid w:val="002707A0"/>
    <w:rsid w:val="00270F05"/>
    <w:rsid w:val="0027144D"/>
    <w:rsid w:val="002714C2"/>
    <w:rsid w:val="00271DE1"/>
    <w:rsid w:val="00272037"/>
    <w:rsid w:val="00272332"/>
    <w:rsid w:val="00272345"/>
    <w:rsid w:val="0027240B"/>
    <w:rsid w:val="00272507"/>
    <w:rsid w:val="00272B32"/>
    <w:rsid w:val="00272D0C"/>
    <w:rsid w:val="00272D81"/>
    <w:rsid w:val="00272F24"/>
    <w:rsid w:val="0027324A"/>
    <w:rsid w:val="00273322"/>
    <w:rsid w:val="002738B5"/>
    <w:rsid w:val="00273900"/>
    <w:rsid w:val="00273FA9"/>
    <w:rsid w:val="002743A9"/>
    <w:rsid w:val="002747A2"/>
    <w:rsid w:val="002748A7"/>
    <w:rsid w:val="00274DE8"/>
    <w:rsid w:val="00274DED"/>
    <w:rsid w:val="0027536C"/>
    <w:rsid w:val="00275520"/>
    <w:rsid w:val="002758B4"/>
    <w:rsid w:val="0027593C"/>
    <w:rsid w:val="00275C4C"/>
    <w:rsid w:val="00276040"/>
    <w:rsid w:val="002760EF"/>
    <w:rsid w:val="00276A82"/>
    <w:rsid w:val="00276C54"/>
    <w:rsid w:val="00276C73"/>
    <w:rsid w:val="00276FF5"/>
    <w:rsid w:val="0027705B"/>
    <w:rsid w:val="00277289"/>
    <w:rsid w:val="002773F6"/>
    <w:rsid w:val="0027759D"/>
    <w:rsid w:val="00277618"/>
    <w:rsid w:val="002778AD"/>
    <w:rsid w:val="00280220"/>
    <w:rsid w:val="002806F2"/>
    <w:rsid w:val="00280745"/>
    <w:rsid w:val="0028076D"/>
    <w:rsid w:val="00280CB0"/>
    <w:rsid w:val="00280D58"/>
    <w:rsid w:val="0028122C"/>
    <w:rsid w:val="0028139F"/>
    <w:rsid w:val="002818C0"/>
    <w:rsid w:val="00281D9D"/>
    <w:rsid w:val="002820ED"/>
    <w:rsid w:val="00282660"/>
    <w:rsid w:val="002827FE"/>
    <w:rsid w:val="00282A1D"/>
    <w:rsid w:val="00282E1D"/>
    <w:rsid w:val="0028301E"/>
    <w:rsid w:val="00283090"/>
    <w:rsid w:val="00283150"/>
    <w:rsid w:val="00283444"/>
    <w:rsid w:val="0028351E"/>
    <w:rsid w:val="00283565"/>
    <w:rsid w:val="0028382A"/>
    <w:rsid w:val="002839D3"/>
    <w:rsid w:val="00283A30"/>
    <w:rsid w:val="00283A59"/>
    <w:rsid w:val="00283CB4"/>
    <w:rsid w:val="00283E21"/>
    <w:rsid w:val="00283EA9"/>
    <w:rsid w:val="00283F38"/>
    <w:rsid w:val="0028415A"/>
    <w:rsid w:val="002841C5"/>
    <w:rsid w:val="0028469D"/>
    <w:rsid w:val="00284A0E"/>
    <w:rsid w:val="00284B05"/>
    <w:rsid w:val="00284BDB"/>
    <w:rsid w:val="00285107"/>
    <w:rsid w:val="00285129"/>
    <w:rsid w:val="00285493"/>
    <w:rsid w:val="002857D1"/>
    <w:rsid w:val="00285A11"/>
    <w:rsid w:val="00285A96"/>
    <w:rsid w:val="002860F2"/>
    <w:rsid w:val="002864BE"/>
    <w:rsid w:val="00287018"/>
    <w:rsid w:val="0028748E"/>
    <w:rsid w:val="00287851"/>
    <w:rsid w:val="00290957"/>
    <w:rsid w:val="00290A20"/>
    <w:rsid w:val="00290C12"/>
    <w:rsid w:val="00290C34"/>
    <w:rsid w:val="00290D97"/>
    <w:rsid w:val="0029115F"/>
    <w:rsid w:val="002913E4"/>
    <w:rsid w:val="00291539"/>
    <w:rsid w:val="0029154C"/>
    <w:rsid w:val="00291D62"/>
    <w:rsid w:val="00291D93"/>
    <w:rsid w:val="00291DBB"/>
    <w:rsid w:val="00292BF8"/>
    <w:rsid w:val="00292E8C"/>
    <w:rsid w:val="002934E1"/>
    <w:rsid w:val="0029372A"/>
    <w:rsid w:val="00293CCF"/>
    <w:rsid w:val="0029403A"/>
    <w:rsid w:val="0029403B"/>
    <w:rsid w:val="00294170"/>
    <w:rsid w:val="0029437C"/>
    <w:rsid w:val="0029450C"/>
    <w:rsid w:val="00294589"/>
    <w:rsid w:val="00294804"/>
    <w:rsid w:val="002948EB"/>
    <w:rsid w:val="00294BCA"/>
    <w:rsid w:val="00294DCA"/>
    <w:rsid w:val="00295115"/>
    <w:rsid w:val="00295190"/>
    <w:rsid w:val="00295246"/>
    <w:rsid w:val="0029533B"/>
    <w:rsid w:val="002953E2"/>
    <w:rsid w:val="00295A37"/>
    <w:rsid w:val="00295BFE"/>
    <w:rsid w:val="00295C21"/>
    <w:rsid w:val="00295E80"/>
    <w:rsid w:val="00296065"/>
    <w:rsid w:val="0029619B"/>
    <w:rsid w:val="00296311"/>
    <w:rsid w:val="00296A7A"/>
    <w:rsid w:val="00296C56"/>
    <w:rsid w:val="00296D33"/>
    <w:rsid w:val="0029752D"/>
    <w:rsid w:val="00297C08"/>
    <w:rsid w:val="00297C2D"/>
    <w:rsid w:val="002A0474"/>
    <w:rsid w:val="002A0A44"/>
    <w:rsid w:val="002A0C1C"/>
    <w:rsid w:val="002A11B8"/>
    <w:rsid w:val="002A11D3"/>
    <w:rsid w:val="002A120F"/>
    <w:rsid w:val="002A1613"/>
    <w:rsid w:val="002A175E"/>
    <w:rsid w:val="002A19B8"/>
    <w:rsid w:val="002A19FA"/>
    <w:rsid w:val="002A1ED1"/>
    <w:rsid w:val="002A24BA"/>
    <w:rsid w:val="002A24EE"/>
    <w:rsid w:val="002A28DF"/>
    <w:rsid w:val="002A2BE2"/>
    <w:rsid w:val="002A2DED"/>
    <w:rsid w:val="002A2E62"/>
    <w:rsid w:val="002A301D"/>
    <w:rsid w:val="002A3361"/>
    <w:rsid w:val="002A336F"/>
    <w:rsid w:val="002A34B7"/>
    <w:rsid w:val="002A35A6"/>
    <w:rsid w:val="002A395B"/>
    <w:rsid w:val="002A3B81"/>
    <w:rsid w:val="002A3F3F"/>
    <w:rsid w:val="002A4049"/>
    <w:rsid w:val="002A40EC"/>
    <w:rsid w:val="002A440A"/>
    <w:rsid w:val="002A4637"/>
    <w:rsid w:val="002A466D"/>
    <w:rsid w:val="002A4AA4"/>
    <w:rsid w:val="002A4AEB"/>
    <w:rsid w:val="002A4B4E"/>
    <w:rsid w:val="002A4C3B"/>
    <w:rsid w:val="002A57C6"/>
    <w:rsid w:val="002A5DB0"/>
    <w:rsid w:val="002A633A"/>
    <w:rsid w:val="002A6499"/>
    <w:rsid w:val="002A64C3"/>
    <w:rsid w:val="002A662A"/>
    <w:rsid w:val="002A662F"/>
    <w:rsid w:val="002A677E"/>
    <w:rsid w:val="002A692B"/>
    <w:rsid w:val="002A6C39"/>
    <w:rsid w:val="002A6DE3"/>
    <w:rsid w:val="002A70F0"/>
    <w:rsid w:val="002A732E"/>
    <w:rsid w:val="002A7606"/>
    <w:rsid w:val="002A78C2"/>
    <w:rsid w:val="002A7D81"/>
    <w:rsid w:val="002A7E9E"/>
    <w:rsid w:val="002B04E3"/>
    <w:rsid w:val="002B05CA"/>
    <w:rsid w:val="002B118F"/>
    <w:rsid w:val="002B1714"/>
    <w:rsid w:val="002B1DBC"/>
    <w:rsid w:val="002B23F8"/>
    <w:rsid w:val="002B2E9C"/>
    <w:rsid w:val="002B2EB4"/>
    <w:rsid w:val="002B2F0D"/>
    <w:rsid w:val="002B2FDF"/>
    <w:rsid w:val="002B3212"/>
    <w:rsid w:val="002B3418"/>
    <w:rsid w:val="002B373F"/>
    <w:rsid w:val="002B42E1"/>
    <w:rsid w:val="002B44A4"/>
    <w:rsid w:val="002B44F3"/>
    <w:rsid w:val="002B4A7C"/>
    <w:rsid w:val="002B4B9F"/>
    <w:rsid w:val="002B4D58"/>
    <w:rsid w:val="002B4E6A"/>
    <w:rsid w:val="002B4F61"/>
    <w:rsid w:val="002B4F86"/>
    <w:rsid w:val="002B4F97"/>
    <w:rsid w:val="002B5140"/>
    <w:rsid w:val="002B57D9"/>
    <w:rsid w:val="002B59A4"/>
    <w:rsid w:val="002B5FD4"/>
    <w:rsid w:val="002B63BF"/>
    <w:rsid w:val="002B679E"/>
    <w:rsid w:val="002B6B22"/>
    <w:rsid w:val="002B6CB3"/>
    <w:rsid w:val="002B6D00"/>
    <w:rsid w:val="002B71DB"/>
    <w:rsid w:val="002B71E0"/>
    <w:rsid w:val="002B742D"/>
    <w:rsid w:val="002B750E"/>
    <w:rsid w:val="002B7B5A"/>
    <w:rsid w:val="002B7D2E"/>
    <w:rsid w:val="002C00C0"/>
    <w:rsid w:val="002C0195"/>
    <w:rsid w:val="002C02B3"/>
    <w:rsid w:val="002C09EB"/>
    <w:rsid w:val="002C0D03"/>
    <w:rsid w:val="002C1717"/>
    <w:rsid w:val="002C1758"/>
    <w:rsid w:val="002C2093"/>
    <w:rsid w:val="002C2B76"/>
    <w:rsid w:val="002C33A9"/>
    <w:rsid w:val="002C37A5"/>
    <w:rsid w:val="002C3835"/>
    <w:rsid w:val="002C3AB1"/>
    <w:rsid w:val="002C3B36"/>
    <w:rsid w:val="002C3E5E"/>
    <w:rsid w:val="002C4069"/>
    <w:rsid w:val="002C4185"/>
    <w:rsid w:val="002C43DB"/>
    <w:rsid w:val="002C4B01"/>
    <w:rsid w:val="002C4DC4"/>
    <w:rsid w:val="002C4F15"/>
    <w:rsid w:val="002C4FCA"/>
    <w:rsid w:val="002C546E"/>
    <w:rsid w:val="002C567E"/>
    <w:rsid w:val="002C5C52"/>
    <w:rsid w:val="002C5CA7"/>
    <w:rsid w:val="002C5D2D"/>
    <w:rsid w:val="002C670A"/>
    <w:rsid w:val="002C6755"/>
    <w:rsid w:val="002C6963"/>
    <w:rsid w:val="002C7228"/>
    <w:rsid w:val="002C7471"/>
    <w:rsid w:val="002C7694"/>
    <w:rsid w:val="002D0160"/>
    <w:rsid w:val="002D01C6"/>
    <w:rsid w:val="002D02EA"/>
    <w:rsid w:val="002D040A"/>
    <w:rsid w:val="002D0781"/>
    <w:rsid w:val="002D079E"/>
    <w:rsid w:val="002D0F03"/>
    <w:rsid w:val="002D12E0"/>
    <w:rsid w:val="002D1BFE"/>
    <w:rsid w:val="002D1CB3"/>
    <w:rsid w:val="002D1CCE"/>
    <w:rsid w:val="002D21C9"/>
    <w:rsid w:val="002D2577"/>
    <w:rsid w:val="002D2A80"/>
    <w:rsid w:val="002D2CBE"/>
    <w:rsid w:val="002D2D1D"/>
    <w:rsid w:val="002D2D90"/>
    <w:rsid w:val="002D2F00"/>
    <w:rsid w:val="002D30F2"/>
    <w:rsid w:val="002D3177"/>
    <w:rsid w:val="002D35B4"/>
    <w:rsid w:val="002D38A2"/>
    <w:rsid w:val="002D38F3"/>
    <w:rsid w:val="002D3CE0"/>
    <w:rsid w:val="002D3D07"/>
    <w:rsid w:val="002D3FB4"/>
    <w:rsid w:val="002D4010"/>
    <w:rsid w:val="002D40C2"/>
    <w:rsid w:val="002D4174"/>
    <w:rsid w:val="002D4942"/>
    <w:rsid w:val="002D4969"/>
    <w:rsid w:val="002D4EBF"/>
    <w:rsid w:val="002D52F3"/>
    <w:rsid w:val="002D55FC"/>
    <w:rsid w:val="002D5B74"/>
    <w:rsid w:val="002D5C8A"/>
    <w:rsid w:val="002D621F"/>
    <w:rsid w:val="002D6499"/>
    <w:rsid w:val="002D6AAE"/>
    <w:rsid w:val="002D6B21"/>
    <w:rsid w:val="002D6D04"/>
    <w:rsid w:val="002D6E54"/>
    <w:rsid w:val="002D6FFC"/>
    <w:rsid w:val="002D750D"/>
    <w:rsid w:val="002D757C"/>
    <w:rsid w:val="002D7760"/>
    <w:rsid w:val="002D792E"/>
    <w:rsid w:val="002D7AA5"/>
    <w:rsid w:val="002D7E94"/>
    <w:rsid w:val="002E00DA"/>
    <w:rsid w:val="002E0627"/>
    <w:rsid w:val="002E0889"/>
    <w:rsid w:val="002E0BA3"/>
    <w:rsid w:val="002E0D48"/>
    <w:rsid w:val="002E0ED2"/>
    <w:rsid w:val="002E0FB3"/>
    <w:rsid w:val="002E1302"/>
    <w:rsid w:val="002E1949"/>
    <w:rsid w:val="002E1BA4"/>
    <w:rsid w:val="002E1C79"/>
    <w:rsid w:val="002E1E61"/>
    <w:rsid w:val="002E20BE"/>
    <w:rsid w:val="002E22C2"/>
    <w:rsid w:val="002E2336"/>
    <w:rsid w:val="002E2499"/>
    <w:rsid w:val="002E2C77"/>
    <w:rsid w:val="002E2EA6"/>
    <w:rsid w:val="002E3000"/>
    <w:rsid w:val="002E3165"/>
    <w:rsid w:val="002E32D3"/>
    <w:rsid w:val="002E338E"/>
    <w:rsid w:val="002E34C5"/>
    <w:rsid w:val="002E368F"/>
    <w:rsid w:val="002E374D"/>
    <w:rsid w:val="002E3829"/>
    <w:rsid w:val="002E3970"/>
    <w:rsid w:val="002E3DA4"/>
    <w:rsid w:val="002E3F4B"/>
    <w:rsid w:val="002E3F60"/>
    <w:rsid w:val="002E442D"/>
    <w:rsid w:val="002E4491"/>
    <w:rsid w:val="002E44A0"/>
    <w:rsid w:val="002E44C4"/>
    <w:rsid w:val="002E4641"/>
    <w:rsid w:val="002E4A88"/>
    <w:rsid w:val="002E4B07"/>
    <w:rsid w:val="002E4E4D"/>
    <w:rsid w:val="002E5052"/>
    <w:rsid w:val="002E5064"/>
    <w:rsid w:val="002E5537"/>
    <w:rsid w:val="002E5CCA"/>
    <w:rsid w:val="002E5E0C"/>
    <w:rsid w:val="002E5E25"/>
    <w:rsid w:val="002E60A8"/>
    <w:rsid w:val="002E6323"/>
    <w:rsid w:val="002E6506"/>
    <w:rsid w:val="002E6528"/>
    <w:rsid w:val="002E6550"/>
    <w:rsid w:val="002E6551"/>
    <w:rsid w:val="002E6955"/>
    <w:rsid w:val="002E707C"/>
    <w:rsid w:val="002E70BF"/>
    <w:rsid w:val="002E723F"/>
    <w:rsid w:val="002E72DB"/>
    <w:rsid w:val="002E739D"/>
    <w:rsid w:val="002E75A8"/>
    <w:rsid w:val="002E7651"/>
    <w:rsid w:val="002E78EB"/>
    <w:rsid w:val="002E7AA3"/>
    <w:rsid w:val="002F01D2"/>
    <w:rsid w:val="002F01F1"/>
    <w:rsid w:val="002F0297"/>
    <w:rsid w:val="002F045C"/>
    <w:rsid w:val="002F0D93"/>
    <w:rsid w:val="002F0DF6"/>
    <w:rsid w:val="002F0F9F"/>
    <w:rsid w:val="002F14AE"/>
    <w:rsid w:val="002F150C"/>
    <w:rsid w:val="002F184D"/>
    <w:rsid w:val="002F1C6E"/>
    <w:rsid w:val="002F2E67"/>
    <w:rsid w:val="002F2E98"/>
    <w:rsid w:val="002F2ECF"/>
    <w:rsid w:val="002F2F0A"/>
    <w:rsid w:val="002F3298"/>
    <w:rsid w:val="002F348E"/>
    <w:rsid w:val="002F35A4"/>
    <w:rsid w:val="002F3625"/>
    <w:rsid w:val="002F3731"/>
    <w:rsid w:val="002F379A"/>
    <w:rsid w:val="002F3F24"/>
    <w:rsid w:val="002F4281"/>
    <w:rsid w:val="002F4350"/>
    <w:rsid w:val="002F4591"/>
    <w:rsid w:val="002F4619"/>
    <w:rsid w:val="002F495B"/>
    <w:rsid w:val="002F4F65"/>
    <w:rsid w:val="002F599D"/>
    <w:rsid w:val="002F5B6B"/>
    <w:rsid w:val="002F5BC8"/>
    <w:rsid w:val="002F5ED2"/>
    <w:rsid w:val="002F6102"/>
    <w:rsid w:val="002F6303"/>
    <w:rsid w:val="002F64CD"/>
    <w:rsid w:val="002F6809"/>
    <w:rsid w:val="002F6EE0"/>
    <w:rsid w:val="002F7009"/>
    <w:rsid w:val="002F7121"/>
    <w:rsid w:val="002F725D"/>
    <w:rsid w:val="002F74E3"/>
    <w:rsid w:val="002F74EF"/>
    <w:rsid w:val="002F7531"/>
    <w:rsid w:val="002F7585"/>
    <w:rsid w:val="002F7B3B"/>
    <w:rsid w:val="002F7C11"/>
    <w:rsid w:val="002F7C5F"/>
    <w:rsid w:val="002F7DBC"/>
    <w:rsid w:val="002F7FE7"/>
    <w:rsid w:val="00300022"/>
    <w:rsid w:val="003002FF"/>
    <w:rsid w:val="00300843"/>
    <w:rsid w:val="00300C1A"/>
    <w:rsid w:val="003011BE"/>
    <w:rsid w:val="00301482"/>
    <w:rsid w:val="00301647"/>
    <w:rsid w:val="003016D8"/>
    <w:rsid w:val="003019AB"/>
    <w:rsid w:val="003019FB"/>
    <w:rsid w:val="00301E77"/>
    <w:rsid w:val="0030259D"/>
    <w:rsid w:val="00302600"/>
    <w:rsid w:val="00302894"/>
    <w:rsid w:val="00302943"/>
    <w:rsid w:val="00302CCD"/>
    <w:rsid w:val="0030357D"/>
    <w:rsid w:val="00303694"/>
    <w:rsid w:val="00303E9C"/>
    <w:rsid w:val="0030427C"/>
    <w:rsid w:val="003042FF"/>
    <w:rsid w:val="003045FC"/>
    <w:rsid w:val="00304BD4"/>
    <w:rsid w:val="00305176"/>
    <w:rsid w:val="0030521E"/>
    <w:rsid w:val="00305B43"/>
    <w:rsid w:val="00305BB8"/>
    <w:rsid w:val="00305DE1"/>
    <w:rsid w:val="00305E2E"/>
    <w:rsid w:val="00305E8B"/>
    <w:rsid w:val="0030613F"/>
    <w:rsid w:val="00306444"/>
    <w:rsid w:val="00306892"/>
    <w:rsid w:val="00306BBB"/>
    <w:rsid w:val="00307606"/>
    <w:rsid w:val="003076F2"/>
    <w:rsid w:val="003077BC"/>
    <w:rsid w:val="00307881"/>
    <w:rsid w:val="003079E1"/>
    <w:rsid w:val="003101A2"/>
    <w:rsid w:val="003102AF"/>
    <w:rsid w:val="00310334"/>
    <w:rsid w:val="00310968"/>
    <w:rsid w:val="003109A7"/>
    <w:rsid w:val="00310A2F"/>
    <w:rsid w:val="00310B88"/>
    <w:rsid w:val="00310B91"/>
    <w:rsid w:val="00310E60"/>
    <w:rsid w:val="003110AA"/>
    <w:rsid w:val="00311385"/>
    <w:rsid w:val="00311ADE"/>
    <w:rsid w:val="0031211F"/>
    <w:rsid w:val="00312218"/>
    <w:rsid w:val="0031270D"/>
    <w:rsid w:val="00313123"/>
    <w:rsid w:val="00313470"/>
    <w:rsid w:val="003135B3"/>
    <w:rsid w:val="00313CA4"/>
    <w:rsid w:val="0031429A"/>
    <w:rsid w:val="0031470D"/>
    <w:rsid w:val="003149EF"/>
    <w:rsid w:val="00314AC9"/>
    <w:rsid w:val="00315186"/>
    <w:rsid w:val="00315198"/>
    <w:rsid w:val="0031522A"/>
    <w:rsid w:val="003157EA"/>
    <w:rsid w:val="00315B52"/>
    <w:rsid w:val="00315C4A"/>
    <w:rsid w:val="0031633B"/>
    <w:rsid w:val="003165F4"/>
    <w:rsid w:val="00317218"/>
    <w:rsid w:val="003172A7"/>
    <w:rsid w:val="003175F0"/>
    <w:rsid w:val="00317665"/>
    <w:rsid w:val="00317857"/>
    <w:rsid w:val="00317B7C"/>
    <w:rsid w:val="00317D2D"/>
    <w:rsid w:val="00320188"/>
    <w:rsid w:val="003201BC"/>
    <w:rsid w:val="00320440"/>
    <w:rsid w:val="003212C2"/>
    <w:rsid w:val="00321590"/>
    <w:rsid w:val="0032168C"/>
    <w:rsid w:val="00321765"/>
    <w:rsid w:val="003217DF"/>
    <w:rsid w:val="00321B2F"/>
    <w:rsid w:val="00321F41"/>
    <w:rsid w:val="00322371"/>
    <w:rsid w:val="0032239E"/>
    <w:rsid w:val="003225A7"/>
    <w:rsid w:val="00322ADF"/>
    <w:rsid w:val="00322C60"/>
    <w:rsid w:val="00323279"/>
    <w:rsid w:val="0032329D"/>
    <w:rsid w:val="0032337F"/>
    <w:rsid w:val="0032355C"/>
    <w:rsid w:val="003237B6"/>
    <w:rsid w:val="0032390B"/>
    <w:rsid w:val="00323A97"/>
    <w:rsid w:val="00323D64"/>
    <w:rsid w:val="00323DC1"/>
    <w:rsid w:val="0032452D"/>
    <w:rsid w:val="00324699"/>
    <w:rsid w:val="0032492C"/>
    <w:rsid w:val="00324ED9"/>
    <w:rsid w:val="00325018"/>
    <w:rsid w:val="00325069"/>
    <w:rsid w:val="00325136"/>
    <w:rsid w:val="00325274"/>
    <w:rsid w:val="00325572"/>
    <w:rsid w:val="003255DA"/>
    <w:rsid w:val="00325884"/>
    <w:rsid w:val="003258F0"/>
    <w:rsid w:val="003259D7"/>
    <w:rsid w:val="00325E0A"/>
    <w:rsid w:val="00326269"/>
    <w:rsid w:val="0032629B"/>
    <w:rsid w:val="0032641A"/>
    <w:rsid w:val="00326432"/>
    <w:rsid w:val="003268E7"/>
    <w:rsid w:val="00326B06"/>
    <w:rsid w:val="00326B30"/>
    <w:rsid w:val="00326E4B"/>
    <w:rsid w:val="00326E64"/>
    <w:rsid w:val="003273C1"/>
    <w:rsid w:val="003277C5"/>
    <w:rsid w:val="00327C3B"/>
    <w:rsid w:val="00327C8E"/>
    <w:rsid w:val="00327D0E"/>
    <w:rsid w:val="00330865"/>
    <w:rsid w:val="00330913"/>
    <w:rsid w:val="00330A7A"/>
    <w:rsid w:val="003312AE"/>
    <w:rsid w:val="00331625"/>
    <w:rsid w:val="00331931"/>
    <w:rsid w:val="00331E8A"/>
    <w:rsid w:val="00332060"/>
    <w:rsid w:val="00332132"/>
    <w:rsid w:val="00332ADB"/>
    <w:rsid w:val="00332B93"/>
    <w:rsid w:val="003332DD"/>
    <w:rsid w:val="00333567"/>
    <w:rsid w:val="00333568"/>
    <w:rsid w:val="003335B4"/>
    <w:rsid w:val="003337C6"/>
    <w:rsid w:val="00333A7B"/>
    <w:rsid w:val="00333DA0"/>
    <w:rsid w:val="003340EE"/>
    <w:rsid w:val="003347F7"/>
    <w:rsid w:val="0033483D"/>
    <w:rsid w:val="0033561D"/>
    <w:rsid w:val="0033561E"/>
    <w:rsid w:val="003359D7"/>
    <w:rsid w:val="00335F1C"/>
    <w:rsid w:val="00335F33"/>
    <w:rsid w:val="00336245"/>
    <w:rsid w:val="003364EA"/>
    <w:rsid w:val="003368A2"/>
    <w:rsid w:val="00336DB5"/>
    <w:rsid w:val="00337017"/>
    <w:rsid w:val="003371D4"/>
    <w:rsid w:val="00337489"/>
    <w:rsid w:val="00337BB7"/>
    <w:rsid w:val="00337BE5"/>
    <w:rsid w:val="00337DDB"/>
    <w:rsid w:val="00337E28"/>
    <w:rsid w:val="0034071E"/>
    <w:rsid w:val="003409C0"/>
    <w:rsid w:val="00340B9B"/>
    <w:rsid w:val="00340F88"/>
    <w:rsid w:val="003416C5"/>
    <w:rsid w:val="003419CC"/>
    <w:rsid w:val="00341AAE"/>
    <w:rsid w:val="00341D4C"/>
    <w:rsid w:val="003425C3"/>
    <w:rsid w:val="00342A07"/>
    <w:rsid w:val="00343100"/>
    <w:rsid w:val="003432BD"/>
    <w:rsid w:val="003433BB"/>
    <w:rsid w:val="003434D1"/>
    <w:rsid w:val="003438B3"/>
    <w:rsid w:val="00343DBB"/>
    <w:rsid w:val="00343F71"/>
    <w:rsid w:val="00343F93"/>
    <w:rsid w:val="003441FE"/>
    <w:rsid w:val="00344367"/>
    <w:rsid w:val="0034474D"/>
    <w:rsid w:val="00344A4A"/>
    <w:rsid w:val="00344DAB"/>
    <w:rsid w:val="00345664"/>
    <w:rsid w:val="003457C5"/>
    <w:rsid w:val="00345BF1"/>
    <w:rsid w:val="0034618B"/>
    <w:rsid w:val="003465E9"/>
    <w:rsid w:val="003465FA"/>
    <w:rsid w:val="00346ADF"/>
    <w:rsid w:val="0034718F"/>
    <w:rsid w:val="003471A8"/>
    <w:rsid w:val="003474C4"/>
    <w:rsid w:val="00347812"/>
    <w:rsid w:val="00347853"/>
    <w:rsid w:val="00347E5F"/>
    <w:rsid w:val="00347F2B"/>
    <w:rsid w:val="00350E30"/>
    <w:rsid w:val="00350E40"/>
    <w:rsid w:val="003511E3"/>
    <w:rsid w:val="00351341"/>
    <w:rsid w:val="003514A9"/>
    <w:rsid w:val="003516DA"/>
    <w:rsid w:val="003517B0"/>
    <w:rsid w:val="00351989"/>
    <w:rsid w:val="0035206E"/>
    <w:rsid w:val="003529C7"/>
    <w:rsid w:val="00352A74"/>
    <w:rsid w:val="003531FF"/>
    <w:rsid w:val="00353BAE"/>
    <w:rsid w:val="00353FA1"/>
    <w:rsid w:val="0035435B"/>
    <w:rsid w:val="003544A7"/>
    <w:rsid w:val="0035450B"/>
    <w:rsid w:val="00354603"/>
    <w:rsid w:val="003547A1"/>
    <w:rsid w:val="003548C6"/>
    <w:rsid w:val="003549D7"/>
    <w:rsid w:val="00354A5A"/>
    <w:rsid w:val="00354CBB"/>
    <w:rsid w:val="003553BA"/>
    <w:rsid w:val="0035563B"/>
    <w:rsid w:val="0035572D"/>
    <w:rsid w:val="00355921"/>
    <w:rsid w:val="00355E2A"/>
    <w:rsid w:val="00356162"/>
    <w:rsid w:val="003563BB"/>
    <w:rsid w:val="003563BC"/>
    <w:rsid w:val="00356604"/>
    <w:rsid w:val="0035688B"/>
    <w:rsid w:val="00356A63"/>
    <w:rsid w:val="00356D89"/>
    <w:rsid w:val="0035727D"/>
    <w:rsid w:val="00357E1B"/>
    <w:rsid w:val="003601E1"/>
    <w:rsid w:val="003603C1"/>
    <w:rsid w:val="003604E5"/>
    <w:rsid w:val="00360B16"/>
    <w:rsid w:val="003613E3"/>
    <w:rsid w:val="00361ECA"/>
    <w:rsid w:val="00362070"/>
    <w:rsid w:val="0036224B"/>
    <w:rsid w:val="00362583"/>
    <w:rsid w:val="0036258B"/>
    <w:rsid w:val="003629F5"/>
    <w:rsid w:val="00362A4A"/>
    <w:rsid w:val="00362B0F"/>
    <w:rsid w:val="00362B6B"/>
    <w:rsid w:val="00362D0A"/>
    <w:rsid w:val="00362FDF"/>
    <w:rsid w:val="0036314A"/>
    <w:rsid w:val="00363254"/>
    <w:rsid w:val="00363268"/>
    <w:rsid w:val="00363448"/>
    <w:rsid w:val="00363B33"/>
    <w:rsid w:val="003649DA"/>
    <w:rsid w:val="00364EC2"/>
    <w:rsid w:val="00365367"/>
    <w:rsid w:val="003654F4"/>
    <w:rsid w:val="003657BB"/>
    <w:rsid w:val="003664C4"/>
    <w:rsid w:val="00366521"/>
    <w:rsid w:val="00366821"/>
    <w:rsid w:val="00366E1B"/>
    <w:rsid w:val="00367497"/>
    <w:rsid w:val="00367533"/>
    <w:rsid w:val="0036774F"/>
    <w:rsid w:val="00370000"/>
    <w:rsid w:val="003701E0"/>
    <w:rsid w:val="00370341"/>
    <w:rsid w:val="003703AA"/>
    <w:rsid w:val="003708D2"/>
    <w:rsid w:val="003710C3"/>
    <w:rsid w:val="003717D4"/>
    <w:rsid w:val="00371E13"/>
    <w:rsid w:val="00372030"/>
    <w:rsid w:val="003721CD"/>
    <w:rsid w:val="0037228D"/>
    <w:rsid w:val="003722FF"/>
    <w:rsid w:val="0037233C"/>
    <w:rsid w:val="003727EE"/>
    <w:rsid w:val="003728AB"/>
    <w:rsid w:val="00372959"/>
    <w:rsid w:val="00372CAF"/>
    <w:rsid w:val="00373AA3"/>
    <w:rsid w:val="00373C41"/>
    <w:rsid w:val="003740F6"/>
    <w:rsid w:val="003742BA"/>
    <w:rsid w:val="00374482"/>
    <w:rsid w:val="00374529"/>
    <w:rsid w:val="003749F4"/>
    <w:rsid w:val="00374D48"/>
    <w:rsid w:val="00374EF9"/>
    <w:rsid w:val="00374FE8"/>
    <w:rsid w:val="003752EB"/>
    <w:rsid w:val="003756A1"/>
    <w:rsid w:val="003756C4"/>
    <w:rsid w:val="00375747"/>
    <w:rsid w:val="00375A2D"/>
    <w:rsid w:val="00375B5C"/>
    <w:rsid w:val="00375BF4"/>
    <w:rsid w:val="0037614D"/>
    <w:rsid w:val="003763C4"/>
    <w:rsid w:val="00376458"/>
    <w:rsid w:val="0037661D"/>
    <w:rsid w:val="00376D4E"/>
    <w:rsid w:val="00376F6B"/>
    <w:rsid w:val="00376F78"/>
    <w:rsid w:val="0037730A"/>
    <w:rsid w:val="0037738A"/>
    <w:rsid w:val="00377C21"/>
    <w:rsid w:val="00377EC4"/>
    <w:rsid w:val="00377F24"/>
    <w:rsid w:val="00380138"/>
    <w:rsid w:val="003803CA"/>
    <w:rsid w:val="00380679"/>
    <w:rsid w:val="0038095A"/>
    <w:rsid w:val="003809E8"/>
    <w:rsid w:val="00380B2B"/>
    <w:rsid w:val="00380B3B"/>
    <w:rsid w:val="0038125F"/>
    <w:rsid w:val="0038160D"/>
    <w:rsid w:val="00381626"/>
    <w:rsid w:val="00381F41"/>
    <w:rsid w:val="0038200B"/>
    <w:rsid w:val="003820A2"/>
    <w:rsid w:val="003824AA"/>
    <w:rsid w:val="003824E2"/>
    <w:rsid w:val="003827E9"/>
    <w:rsid w:val="00382EAD"/>
    <w:rsid w:val="00383AB0"/>
    <w:rsid w:val="00383B36"/>
    <w:rsid w:val="00383E80"/>
    <w:rsid w:val="00383F0E"/>
    <w:rsid w:val="00384556"/>
    <w:rsid w:val="00384E72"/>
    <w:rsid w:val="00384E82"/>
    <w:rsid w:val="003853A3"/>
    <w:rsid w:val="00385418"/>
    <w:rsid w:val="00385690"/>
    <w:rsid w:val="00385D41"/>
    <w:rsid w:val="00386110"/>
    <w:rsid w:val="003863CD"/>
    <w:rsid w:val="003867F0"/>
    <w:rsid w:val="00386AAD"/>
    <w:rsid w:val="00386B5F"/>
    <w:rsid w:val="00386BAA"/>
    <w:rsid w:val="00386C9A"/>
    <w:rsid w:val="00386DA2"/>
    <w:rsid w:val="00386FEB"/>
    <w:rsid w:val="0038708B"/>
    <w:rsid w:val="00387811"/>
    <w:rsid w:val="00390055"/>
    <w:rsid w:val="00390268"/>
    <w:rsid w:val="00390560"/>
    <w:rsid w:val="003906C9"/>
    <w:rsid w:val="00390A82"/>
    <w:rsid w:val="00390FE6"/>
    <w:rsid w:val="003913A4"/>
    <w:rsid w:val="003917A7"/>
    <w:rsid w:val="003917DE"/>
    <w:rsid w:val="00391BDC"/>
    <w:rsid w:val="00392218"/>
    <w:rsid w:val="0039222A"/>
    <w:rsid w:val="00392456"/>
    <w:rsid w:val="00392534"/>
    <w:rsid w:val="00392885"/>
    <w:rsid w:val="00392C30"/>
    <w:rsid w:val="00392F1B"/>
    <w:rsid w:val="00393AC3"/>
    <w:rsid w:val="00393FB6"/>
    <w:rsid w:val="003941E0"/>
    <w:rsid w:val="0039425E"/>
    <w:rsid w:val="0039477E"/>
    <w:rsid w:val="0039484E"/>
    <w:rsid w:val="003948B8"/>
    <w:rsid w:val="003949FF"/>
    <w:rsid w:val="00394A3C"/>
    <w:rsid w:val="00394B7E"/>
    <w:rsid w:val="00394E2D"/>
    <w:rsid w:val="00394F92"/>
    <w:rsid w:val="0039523D"/>
    <w:rsid w:val="003954C5"/>
    <w:rsid w:val="003957AA"/>
    <w:rsid w:val="00395A4B"/>
    <w:rsid w:val="003960ED"/>
    <w:rsid w:val="00396529"/>
    <w:rsid w:val="00396877"/>
    <w:rsid w:val="00396913"/>
    <w:rsid w:val="00396EC5"/>
    <w:rsid w:val="0039726C"/>
    <w:rsid w:val="003972DF"/>
    <w:rsid w:val="003975C3"/>
    <w:rsid w:val="003976B4"/>
    <w:rsid w:val="0039772E"/>
    <w:rsid w:val="00397B30"/>
    <w:rsid w:val="00397DB2"/>
    <w:rsid w:val="00397E74"/>
    <w:rsid w:val="00397ECE"/>
    <w:rsid w:val="00397FA2"/>
    <w:rsid w:val="003A00BE"/>
    <w:rsid w:val="003A014C"/>
    <w:rsid w:val="003A0279"/>
    <w:rsid w:val="003A05D3"/>
    <w:rsid w:val="003A062D"/>
    <w:rsid w:val="003A066D"/>
    <w:rsid w:val="003A076D"/>
    <w:rsid w:val="003A0C77"/>
    <w:rsid w:val="003A108A"/>
    <w:rsid w:val="003A11E3"/>
    <w:rsid w:val="003A15BA"/>
    <w:rsid w:val="003A1806"/>
    <w:rsid w:val="003A185A"/>
    <w:rsid w:val="003A1D52"/>
    <w:rsid w:val="003A2CCF"/>
    <w:rsid w:val="003A373E"/>
    <w:rsid w:val="003A3A56"/>
    <w:rsid w:val="003A3AF8"/>
    <w:rsid w:val="003A3D22"/>
    <w:rsid w:val="003A3EDD"/>
    <w:rsid w:val="003A4633"/>
    <w:rsid w:val="003A4666"/>
    <w:rsid w:val="003A4AD1"/>
    <w:rsid w:val="003A533F"/>
    <w:rsid w:val="003A5587"/>
    <w:rsid w:val="003A5D86"/>
    <w:rsid w:val="003A60CD"/>
    <w:rsid w:val="003A62CF"/>
    <w:rsid w:val="003A66F9"/>
    <w:rsid w:val="003A686F"/>
    <w:rsid w:val="003A6881"/>
    <w:rsid w:val="003A68B5"/>
    <w:rsid w:val="003A690E"/>
    <w:rsid w:val="003A6993"/>
    <w:rsid w:val="003A6BD8"/>
    <w:rsid w:val="003A725F"/>
    <w:rsid w:val="003A72F2"/>
    <w:rsid w:val="003A7355"/>
    <w:rsid w:val="003A7755"/>
    <w:rsid w:val="003A7785"/>
    <w:rsid w:val="003A798C"/>
    <w:rsid w:val="003A7C03"/>
    <w:rsid w:val="003A7E6D"/>
    <w:rsid w:val="003B0121"/>
    <w:rsid w:val="003B0201"/>
    <w:rsid w:val="003B02F9"/>
    <w:rsid w:val="003B038E"/>
    <w:rsid w:val="003B0606"/>
    <w:rsid w:val="003B06D0"/>
    <w:rsid w:val="003B06D8"/>
    <w:rsid w:val="003B0740"/>
    <w:rsid w:val="003B076B"/>
    <w:rsid w:val="003B0C17"/>
    <w:rsid w:val="003B10F6"/>
    <w:rsid w:val="003B13FE"/>
    <w:rsid w:val="003B164B"/>
    <w:rsid w:val="003B18A0"/>
    <w:rsid w:val="003B1932"/>
    <w:rsid w:val="003B1C54"/>
    <w:rsid w:val="003B1D62"/>
    <w:rsid w:val="003B2007"/>
    <w:rsid w:val="003B208D"/>
    <w:rsid w:val="003B218D"/>
    <w:rsid w:val="003B21BA"/>
    <w:rsid w:val="003B21E8"/>
    <w:rsid w:val="003B26FC"/>
    <w:rsid w:val="003B2814"/>
    <w:rsid w:val="003B29E2"/>
    <w:rsid w:val="003B2B65"/>
    <w:rsid w:val="003B2D14"/>
    <w:rsid w:val="003B2E0D"/>
    <w:rsid w:val="003B32D3"/>
    <w:rsid w:val="003B37D9"/>
    <w:rsid w:val="003B3BAA"/>
    <w:rsid w:val="003B3CAC"/>
    <w:rsid w:val="003B3DAA"/>
    <w:rsid w:val="003B401F"/>
    <w:rsid w:val="003B41DA"/>
    <w:rsid w:val="003B42D7"/>
    <w:rsid w:val="003B442D"/>
    <w:rsid w:val="003B4604"/>
    <w:rsid w:val="003B4729"/>
    <w:rsid w:val="003B4D3F"/>
    <w:rsid w:val="003B5342"/>
    <w:rsid w:val="003B53BD"/>
    <w:rsid w:val="003B55A9"/>
    <w:rsid w:val="003B56DB"/>
    <w:rsid w:val="003B5806"/>
    <w:rsid w:val="003B5892"/>
    <w:rsid w:val="003B5BC0"/>
    <w:rsid w:val="003B5EEF"/>
    <w:rsid w:val="003B6209"/>
    <w:rsid w:val="003B6692"/>
    <w:rsid w:val="003B6B57"/>
    <w:rsid w:val="003B6CE2"/>
    <w:rsid w:val="003B6D60"/>
    <w:rsid w:val="003B74BE"/>
    <w:rsid w:val="003B75B1"/>
    <w:rsid w:val="003B7814"/>
    <w:rsid w:val="003B7A23"/>
    <w:rsid w:val="003C00D0"/>
    <w:rsid w:val="003C0BC8"/>
    <w:rsid w:val="003C0C05"/>
    <w:rsid w:val="003C1105"/>
    <w:rsid w:val="003C14B5"/>
    <w:rsid w:val="003C187B"/>
    <w:rsid w:val="003C19C4"/>
    <w:rsid w:val="003C1E50"/>
    <w:rsid w:val="003C259C"/>
    <w:rsid w:val="003C25F9"/>
    <w:rsid w:val="003C27A5"/>
    <w:rsid w:val="003C2968"/>
    <w:rsid w:val="003C2C0D"/>
    <w:rsid w:val="003C2C66"/>
    <w:rsid w:val="003C2D90"/>
    <w:rsid w:val="003C2DC3"/>
    <w:rsid w:val="003C2F1C"/>
    <w:rsid w:val="003C300B"/>
    <w:rsid w:val="003C3102"/>
    <w:rsid w:val="003C37DD"/>
    <w:rsid w:val="003C391B"/>
    <w:rsid w:val="003C3A8F"/>
    <w:rsid w:val="003C3B57"/>
    <w:rsid w:val="003C3C66"/>
    <w:rsid w:val="003C3C7D"/>
    <w:rsid w:val="003C49AA"/>
    <w:rsid w:val="003C5226"/>
    <w:rsid w:val="003C5624"/>
    <w:rsid w:val="003C567D"/>
    <w:rsid w:val="003C5AEF"/>
    <w:rsid w:val="003C5C66"/>
    <w:rsid w:val="003C5E7B"/>
    <w:rsid w:val="003C634C"/>
    <w:rsid w:val="003C6C8E"/>
    <w:rsid w:val="003C71C0"/>
    <w:rsid w:val="003C73E1"/>
    <w:rsid w:val="003C757A"/>
    <w:rsid w:val="003C7AF9"/>
    <w:rsid w:val="003C7C59"/>
    <w:rsid w:val="003C7D52"/>
    <w:rsid w:val="003C7DAD"/>
    <w:rsid w:val="003D03E3"/>
    <w:rsid w:val="003D0CB1"/>
    <w:rsid w:val="003D0F60"/>
    <w:rsid w:val="003D133D"/>
    <w:rsid w:val="003D13D0"/>
    <w:rsid w:val="003D1B6E"/>
    <w:rsid w:val="003D1B95"/>
    <w:rsid w:val="003D2092"/>
    <w:rsid w:val="003D22F2"/>
    <w:rsid w:val="003D2562"/>
    <w:rsid w:val="003D2757"/>
    <w:rsid w:val="003D2777"/>
    <w:rsid w:val="003D2DEC"/>
    <w:rsid w:val="003D306C"/>
    <w:rsid w:val="003D378E"/>
    <w:rsid w:val="003D3CF5"/>
    <w:rsid w:val="003D3EC8"/>
    <w:rsid w:val="003D40C5"/>
    <w:rsid w:val="003D412D"/>
    <w:rsid w:val="003D426E"/>
    <w:rsid w:val="003D4747"/>
    <w:rsid w:val="003D48B7"/>
    <w:rsid w:val="003D4DAC"/>
    <w:rsid w:val="003D4E10"/>
    <w:rsid w:val="003D512C"/>
    <w:rsid w:val="003D64F6"/>
    <w:rsid w:val="003D661B"/>
    <w:rsid w:val="003D67E8"/>
    <w:rsid w:val="003D69C6"/>
    <w:rsid w:val="003D70B4"/>
    <w:rsid w:val="003D70C8"/>
    <w:rsid w:val="003D72D3"/>
    <w:rsid w:val="003D738B"/>
    <w:rsid w:val="003D73E7"/>
    <w:rsid w:val="003D759B"/>
    <w:rsid w:val="003D7CC3"/>
    <w:rsid w:val="003E002F"/>
    <w:rsid w:val="003E05A8"/>
    <w:rsid w:val="003E05CF"/>
    <w:rsid w:val="003E14FD"/>
    <w:rsid w:val="003E1632"/>
    <w:rsid w:val="003E1BAD"/>
    <w:rsid w:val="003E1D01"/>
    <w:rsid w:val="003E1D34"/>
    <w:rsid w:val="003E27BA"/>
    <w:rsid w:val="003E28ED"/>
    <w:rsid w:val="003E297C"/>
    <w:rsid w:val="003E2D81"/>
    <w:rsid w:val="003E3282"/>
    <w:rsid w:val="003E329A"/>
    <w:rsid w:val="003E329B"/>
    <w:rsid w:val="003E376A"/>
    <w:rsid w:val="003E3AF6"/>
    <w:rsid w:val="003E3D5D"/>
    <w:rsid w:val="003E41DD"/>
    <w:rsid w:val="003E4715"/>
    <w:rsid w:val="003E4809"/>
    <w:rsid w:val="003E48EF"/>
    <w:rsid w:val="003E5011"/>
    <w:rsid w:val="003E51CD"/>
    <w:rsid w:val="003E55A4"/>
    <w:rsid w:val="003E578C"/>
    <w:rsid w:val="003E5EDD"/>
    <w:rsid w:val="003E5F52"/>
    <w:rsid w:val="003E60AC"/>
    <w:rsid w:val="003E629A"/>
    <w:rsid w:val="003E6482"/>
    <w:rsid w:val="003E6855"/>
    <w:rsid w:val="003E7068"/>
    <w:rsid w:val="003E716A"/>
    <w:rsid w:val="003E7234"/>
    <w:rsid w:val="003E7504"/>
    <w:rsid w:val="003E752A"/>
    <w:rsid w:val="003E7532"/>
    <w:rsid w:val="003E7774"/>
    <w:rsid w:val="003E7BC8"/>
    <w:rsid w:val="003F0473"/>
    <w:rsid w:val="003F06EA"/>
    <w:rsid w:val="003F093B"/>
    <w:rsid w:val="003F09FF"/>
    <w:rsid w:val="003F0C6C"/>
    <w:rsid w:val="003F0C9C"/>
    <w:rsid w:val="003F0DFD"/>
    <w:rsid w:val="003F0E7A"/>
    <w:rsid w:val="003F0ED1"/>
    <w:rsid w:val="003F10B9"/>
    <w:rsid w:val="003F1198"/>
    <w:rsid w:val="003F121E"/>
    <w:rsid w:val="003F176B"/>
    <w:rsid w:val="003F18FA"/>
    <w:rsid w:val="003F1930"/>
    <w:rsid w:val="003F1A32"/>
    <w:rsid w:val="003F1A61"/>
    <w:rsid w:val="003F1B96"/>
    <w:rsid w:val="003F1C35"/>
    <w:rsid w:val="003F1FE5"/>
    <w:rsid w:val="003F20C0"/>
    <w:rsid w:val="003F2850"/>
    <w:rsid w:val="003F285E"/>
    <w:rsid w:val="003F2EA4"/>
    <w:rsid w:val="003F34FD"/>
    <w:rsid w:val="003F38A2"/>
    <w:rsid w:val="003F41AE"/>
    <w:rsid w:val="003F47F1"/>
    <w:rsid w:val="003F49AD"/>
    <w:rsid w:val="003F4E97"/>
    <w:rsid w:val="003F51F9"/>
    <w:rsid w:val="003F5238"/>
    <w:rsid w:val="003F5293"/>
    <w:rsid w:val="003F56D8"/>
    <w:rsid w:val="003F5961"/>
    <w:rsid w:val="003F65E7"/>
    <w:rsid w:val="003F6BC7"/>
    <w:rsid w:val="003F6EBE"/>
    <w:rsid w:val="003F705B"/>
    <w:rsid w:val="003F73A2"/>
    <w:rsid w:val="003F75E6"/>
    <w:rsid w:val="003F7705"/>
    <w:rsid w:val="003F782D"/>
    <w:rsid w:val="003F7DDE"/>
    <w:rsid w:val="00400210"/>
    <w:rsid w:val="004006EF"/>
    <w:rsid w:val="00400AC3"/>
    <w:rsid w:val="00400B30"/>
    <w:rsid w:val="00400BA1"/>
    <w:rsid w:val="00400EA2"/>
    <w:rsid w:val="00400FDD"/>
    <w:rsid w:val="00402105"/>
    <w:rsid w:val="004021EC"/>
    <w:rsid w:val="0040224B"/>
    <w:rsid w:val="0040292D"/>
    <w:rsid w:val="00402C33"/>
    <w:rsid w:val="00402F91"/>
    <w:rsid w:val="00402FAD"/>
    <w:rsid w:val="00403099"/>
    <w:rsid w:val="0040325C"/>
    <w:rsid w:val="00403274"/>
    <w:rsid w:val="004035AF"/>
    <w:rsid w:val="00403736"/>
    <w:rsid w:val="00403D55"/>
    <w:rsid w:val="00404230"/>
    <w:rsid w:val="00404BF4"/>
    <w:rsid w:val="00404DB2"/>
    <w:rsid w:val="004051C3"/>
    <w:rsid w:val="00405202"/>
    <w:rsid w:val="004052AB"/>
    <w:rsid w:val="00405328"/>
    <w:rsid w:val="004064F6"/>
    <w:rsid w:val="004065F2"/>
    <w:rsid w:val="00406AA0"/>
    <w:rsid w:val="00406B39"/>
    <w:rsid w:val="00407016"/>
    <w:rsid w:val="00407269"/>
    <w:rsid w:val="0040743E"/>
    <w:rsid w:val="004076E7"/>
    <w:rsid w:val="00407885"/>
    <w:rsid w:val="00407AFB"/>
    <w:rsid w:val="00407DAF"/>
    <w:rsid w:val="00407FF7"/>
    <w:rsid w:val="00410077"/>
    <w:rsid w:val="004100F3"/>
    <w:rsid w:val="0041023F"/>
    <w:rsid w:val="00410766"/>
    <w:rsid w:val="00410EEF"/>
    <w:rsid w:val="00411440"/>
    <w:rsid w:val="004114F9"/>
    <w:rsid w:val="004116D9"/>
    <w:rsid w:val="00411947"/>
    <w:rsid w:val="004119E4"/>
    <w:rsid w:val="00411F87"/>
    <w:rsid w:val="004120E1"/>
    <w:rsid w:val="0041263A"/>
    <w:rsid w:val="004126AB"/>
    <w:rsid w:val="00412820"/>
    <w:rsid w:val="00412ABA"/>
    <w:rsid w:val="004134FB"/>
    <w:rsid w:val="0041356A"/>
    <w:rsid w:val="00413625"/>
    <w:rsid w:val="00413A28"/>
    <w:rsid w:val="00413BF9"/>
    <w:rsid w:val="00413CFC"/>
    <w:rsid w:val="004141F0"/>
    <w:rsid w:val="00414643"/>
    <w:rsid w:val="00414740"/>
    <w:rsid w:val="00414809"/>
    <w:rsid w:val="00414878"/>
    <w:rsid w:val="00414976"/>
    <w:rsid w:val="00414C7D"/>
    <w:rsid w:val="00414F69"/>
    <w:rsid w:val="00414FB3"/>
    <w:rsid w:val="0041502B"/>
    <w:rsid w:val="004151CC"/>
    <w:rsid w:val="004151F5"/>
    <w:rsid w:val="004153F7"/>
    <w:rsid w:val="004154A3"/>
    <w:rsid w:val="00415648"/>
    <w:rsid w:val="00415846"/>
    <w:rsid w:val="004158D2"/>
    <w:rsid w:val="00415B41"/>
    <w:rsid w:val="00415BD4"/>
    <w:rsid w:val="00415D38"/>
    <w:rsid w:val="00415DDD"/>
    <w:rsid w:val="00416251"/>
    <w:rsid w:val="00416B61"/>
    <w:rsid w:val="00416D9C"/>
    <w:rsid w:val="00417333"/>
    <w:rsid w:val="004176B5"/>
    <w:rsid w:val="004178B0"/>
    <w:rsid w:val="00417A53"/>
    <w:rsid w:val="00417AB7"/>
    <w:rsid w:val="00417EBE"/>
    <w:rsid w:val="0042045C"/>
    <w:rsid w:val="004204C0"/>
    <w:rsid w:val="004207D1"/>
    <w:rsid w:val="00420EBC"/>
    <w:rsid w:val="004212A3"/>
    <w:rsid w:val="00421450"/>
    <w:rsid w:val="00421614"/>
    <w:rsid w:val="0042162D"/>
    <w:rsid w:val="00421B7A"/>
    <w:rsid w:val="00423397"/>
    <w:rsid w:val="00423901"/>
    <w:rsid w:val="00423F02"/>
    <w:rsid w:val="004243DB"/>
    <w:rsid w:val="004245D9"/>
    <w:rsid w:val="0042461D"/>
    <w:rsid w:val="004249F0"/>
    <w:rsid w:val="00424A4B"/>
    <w:rsid w:val="00424EB0"/>
    <w:rsid w:val="00425188"/>
    <w:rsid w:val="0042566E"/>
    <w:rsid w:val="0042583F"/>
    <w:rsid w:val="004258EF"/>
    <w:rsid w:val="00425A7C"/>
    <w:rsid w:val="00425E6B"/>
    <w:rsid w:val="00426268"/>
    <w:rsid w:val="004263B7"/>
    <w:rsid w:val="004264F6"/>
    <w:rsid w:val="004270D3"/>
    <w:rsid w:val="004276AC"/>
    <w:rsid w:val="00427F9A"/>
    <w:rsid w:val="00427FB0"/>
    <w:rsid w:val="00430035"/>
    <w:rsid w:val="004300D5"/>
    <w:rsid w:val="004302DE"/>
    <w:rsid w:val="00430335"/>
    <w:rsid w:val="00430467"/>
    <w:rsid w:val="00430AF0"/>
    <w:rsid w:val="00430D04"/>
    <w:rsid w:val="0043127F"/>
    <w:rsid w:val="004318E7"/>
    <w:rsid w:val="0043198C"/>
    <w:rsid w:val="00431B3C"/>
    <w:rsid w:val="00431FB4"/>
    <w:rsid w:val="004325C6"/>
    <w:rsid w:val="00432D12"/>
    <w:rsid w:val="00432D3D"/>
    <w:rsid w:val="00433266"/>
    <w:rsid w:val="004332D1"/>
    <w:rsid w:val="004332F5"/>
    <w:rsid w:val="004334B2"/>
    <w:rsid w:val="004335DB"/>
    <w:rsid w:val="00433D0D"/>
    <w:rsid w:val="00433E06"/>
    <w:rsid w:val="00433F32"/>
    <w:rsid w:val="00433F43"/>
    <w:rsid w:val="004340F6"/>
    <w:rsid w:val="0043439D"/>
    <w:rsid w:val="00434606"/>
    <w:rsid w:val="004346DC"/>
    <w:rsid w:val="004348BF"/>
    <w:rsid w:val="00434F85"/>
    <w:rsid w:val="00435178"/>
    <w:rsid w:val="004354FA"/>
    <w:rsid w:val="0043556F"/>
    <w:rsid w:val="00435C17"/>
    <w:rsid w:val="00435F16"/>
    <w:rsid w:val="00436175"/>
    <w:rsid w:val="00436295"/>
    <w:rsid w:val="004364F6"/>
    <w:rsid w:val="00436621"/>
    <w:rsid w:val="0043718F"/>
    <w:rsid w:val="0043720A"/>
    <w:rsid w:val="00437445"/>
    <w:rsid w:val="004376C7"/>
    <w:rsid w:val="004376D3"/>
    <w:rsid w:val="00437842"/>
    <w:rsid w:val="004378BD"/>
    <w:rsid w:val="00437DC2"/>
    <w:rsid w:val="00437FF3"/>
    <w:rsid w:val="00440252"/>
    <w:rsid w:val="00440653"/>
    <w:rsid w:val="00440AF0"/>
    <w:rsid w:val="00440C07"/>
    <w:rsid w:val="00440F4B"/>
    <w:rsid w:val="004410F1"/>
    <w:rsid w:val="0044145F"/>
    <w:rsid w:val="00441F48"/>
    <w:rsid w:val="00441FD3"/>
    <w:rsid w:val="004421F1"/>
    <w:rsid w:val="004423A6"/>
    <w:rsid w:val="00442419"/>
    <w:rsid w:val="00442495"/>
    <w:rsid w:val="004424C1"/>
    <w:rsid w:val="004425B3"/>
    <w:rsid w:val="004425CD"/>
    <w:rsid w:val="004426D8"/>
    <w:rsid w:val="004428C5"/>
    <w:rsid w:val="004429BF"/>
    <w:rsid w:val="00442D93"/>
    <w:rsid w:val="0044315F"/>
    <w:rsid w:val="00443305"/>
    <w:rsid w:val="004435BE"/>
    <w:rsid w:val="004438E2"/>
    <w:rsid w:val="00444185"/>
    <w:rsid w:val="004445FF"/>
    <w:rsid w:val="0044492F"/>
    <w:rsid w:val="00444994"/>
    <w:rsid w:val="00444DBE"/>
    <w:rsid w:val="00444E5D"/>
    <w:rsid w:val="0044504D"/>
    <w:rsid w:val="0044582B"/>
    <w:rsid w:val="00445A6D"/>
    <w:rsid w:val="00445B59"/>
    <w:rsid w:val="00445FC0"/>
    <w:rsid w:val="0044620A"/>
    <w:rsid w:val="004464F3"/>
    <w:rsid w:val="00446745"/>
    <w:rsid w:val="004467E7"/>
    <w:rsid w:val="0044693C"/>
    <w:rsid w:val="004469F5"/>
    <w:rsid w:val="00446B58"/>
    <w:rsid w:val="00446CF7"/>
    <w:rsid w:val="00446E25"/>
    <w:rsid w:val="00446F34"/>
    <w:rsid w:val="00447150"/>
    <w:rsid w:val="00447256"/>
    <w:rsid w:val="004476B0"/>
    <w:rsid w:val="004478E0"/>
    <w:rsid w:val="00447941"/>
    <w:rsid w:val="00447FE6"/>
    <w:rsid w:val="0045025E"/>
    <w:rsid w:val="00450324"/>
    <w:rsid w:val="00450486"/>
    <w:rsid w:val="0045066C"/>
    <w:rsid w:val="00450858"/>
    <w:rsid w:val="00450DBA"/>
    <w:rsid w:val="00451299"/>
    <w:rsid w:val="00451A01"/>
    <w:rsid w:val="00451AED"/>
    <w:rsid w:val="00451B5A"/>
    <w:rsid w:val="00451E05"/>
    <w:rsid w:val="00451FAC"/>
    <w:rsid w:val="00452066"/>
    <w:rsid w:val="004521C4"/>
    <w:rsid w:val="00452294"/>
    <w:rsid w:val="00452568"/>
    <w:rsid w:val="00452930"/>
    <w:rsid w:val="0045293D"/>
    <w:rsid w:val="00452A1D"/>
    <w:rsid w:val="00452E80"/>
    <w:rsid w:val="004540F0"/>
    <w:rsid w:val="004543BE"/>
    <w:rsid w:val="004546BE"/>
    <w:rsid w:val="004547DD"/>
    <w:rsid w:val="00454807"/>
    <w:rsid w:val="004548A6"/>
    <w:rsid w:val="00454A8F"/>
    <w:rsid w:val="00454B51"/>
    <w:rsid w:val="004554AA"/>
    <w:rsid w:val="004556FE"/>
    <w:rsid w:val="004558E4"/>
    <w:rsid w:val="00455994"/>
    <w:rsid w:val="00455C55"/>
    <w:rsid w:val="00456210"/>
    <w:rsid w:val="00456780"/>
    <w:rsid w:val="0045687C"/>
    <w:rsid w:val="004574FE"/>
    <w:rsid w:val="0045782F"/>
    <w:rsid w:val="0045794A"/>
    <w:rsid w:val="0045796F"/>
    <w:rsid w:val="00457E48"/>
    <w:rsid w:val="00457F6F"/>
    <w:rsid w:val="004602AA"/>
    <w:rsid w:val="004603CC"/>
    <w:rsid w:val="00460B70"/>
    <w:rsid w:val="00460DE0"/>
    <w:rsid w:val="0046102E"/>
    <w:rsid w:val="004612C3"/>
    <w:rsid w:val="0046162D"/>
    <w:rsid w:val="0046187D"/>
    <w:rsid w:val="0046188C"/>
    <w:rsid w:val="00461991"/>
    <w:rsid w:val="004620C7"/>
    <w:rsid w:val="00462210"/>
    <w:rsid w:val="0046221A"/>
    <w:rsid w:val="00462464"/>
    <w:rsid w:val="00462AF0"/>
    <w:rsid w:val="00462BEC"/>
    <w:rsid w:val="0046344D"/>
    <w:rsid w:val="004635B2"/>
    <w:rsid w:val="004636C6"/>
    <w:rsid w:val="004637DC"/>
    <w:rsid w:val="00463BBC"/>
    <w:rsid w:val="00463E1E"/>
    <w:rsid w:val="00463ED9"/>
    <w:rsid w:val="004646E4"/>
    <w:rsid w:val="0046474B"/>
    <w:rsid w:val="004649D4"/>
    <w:rsid w:val="00464A85"/>
    <w:rsid w:val="00465134"/>
    <w:rsid w:val="0046529F"/>
    <w:rsid w:val="004652B7"/>
    <w:rsid w:val="00465A2D"/>
    <w:rsid w:val="00465BD9"/>
    <w:rsid w:val="00465CBD"/>
    <w:rsid w:val="00466199"/>
    <w:rsid w:val="0046621E"/>
    <w:rsid w:val="004664E1"/>
    <w:rsid w:val="004664F8"/>
    <w:rsid w:val="00466504"/>
    <w:rsid w:val="00466993"/>
    <w:rsid w:val="00466CDD"/>
    <w:rsid w:val="0046714A"/>
    <w:rsid w:val="004674AD"/>
    <w:rsid w:val="00467742"/>
    <w:rsid w:val="00467DB2"/>
    <w:rsid w:val="00467DD0"/>
    <w:rsid w:val="00467F25"/>
    <w:rsid w:val="00470069"/>
    <w:rsid w:val="00470134"/>
    <w:rsid w:val="00470926"/>
    <w:rsid w:val="004713FB"/>
    <w:rsid w:val="00472602"/>
    <w:rsid w:val="004726B7"/>
    <w:rsid w:val="004726CE"/>
    <w:rsid w:val="00472BB2"/>
    <w:rsid w:val="00472E7C"/>
    <w:rsid w:val="00472F38"/>
    <w:rsid w:val="004732D1"/>
    <w:rsid w:val="004735EC"/>
    <w:rsid w:val="004736C6"/>
    <w:rsid w:val="00473884"/>
    <w:rsid w:val="00473982"/>
    <w:rsid w:val="00473A8D"/>
    <w:rsid w:val="00473CD3"/>
    <w:rsid w:val="0047410F"/>
    <w:rsid w:val="004744DC"/>
    <w:rsid w:val="004745F6"/>
    <w:rsid w:val="00474714"/>
    <w:rsid w:val="00474A0B"/>
    <w:rsid w:val="00474C5F"/>
    <w:rsid w:val="00474DDB"/>
    <w:rsid w:val="00474E91"/>
    <w:rsid w:val="00474F66"/>
    <w:rsid w:val="00475088"/>
    <w:rsid w:val="00475145"/>
    <w:rsid w:val="0047517F"/>
    <w:rsid w:val="00475624"/>
    <w:rsid w:val="00475670"/>
    <w:rsid w:val="004756A9"/>
    <w:rsid w:val="00475A7E"/>
    <w:rsid w:val="0047603B"/>
    <w:rsid w:val="00476B9D"/>
    <w:rsid w:val="00476D8D"/>
    <w:rsid w:val="00477263"/>
    <w:rsid w:val="0047727F"/>
    <w:rsid w:val="00477844"/>
    <w:rsid w:val="00477CBA"/>
    <w:rsid w:val="00477D0B"/>
    <w:rsid w:val="00477FE9"/>
    <w:rsid w:val="00480149"/>
    <w:rsid w:val="0048036E"/>
    <w:rsid w:val="00480AF1"/>
    <w:rsid w:val="00480F49"/>
    <w:rsid w:val="004811E6"/>
    <w:rsid w:val="00481240"/>
    <w:rsid w:val="00481819"/>
    <w:rsid w:val="00481855"/>
    <w:rsid w:val="004818CF"/>
    <w:rsid w:val="004818F3"/>
    <w:rsid w:val="00481A08"/>
    <w:rsid w:val="00481BD7"/>
    <w:rsid w:val="00482534"/>
    <w:rsid w:val="0048255D"/>
    <w:rsid w:val="0048263F"/>
    <w:rsid w:val="004826B5"/>
    <w:rsid w:val="00482FD6"/>
    <w:rsid w:val="00483025"/>
    <w:rsid w:val="004831EF"/>
    <w:rsid w:val="004833C9"/>
    <w:rsid w:val="004833F1"/>
    <w:rsid w:val="0048370C"/>
    <w:rsid w:val="00483CE2"/>
    <w:rsid w:val="00483D17"/>
    <w:rsid w:val="004846D9"/>
    <w:rsid w:val="00484F7A"/>
    <w:rsid w:val="00485496"/>
    <w:rsid w:val="004854CC"/>
    <w:rsid w:val="004859A8"/>
    <w:rsid w:val="00485B95"/>
    <w:rsid w:val="00485C23"/>
    <w:rsid w:val="00486499"/>
    <w:rsid w:val="0048667B"/>
    <w:rsid w:val="00486789"/>
    <w:rsid w:val="00486DB2"/>
    <w:rsid w:val="00486E56"/>
    <w:rsid w:val="00486FE9"/>
    <w:rsid w:val="00487007"/>
    <w:rsid w:val="00487099"/>
    <w:rsid w:val="004874A1"/>
    <w:rsid w:val="0048765F"/>
    <w:rsid w:val="00487817"/>
    <w:rsid w:val="0048783D"/>
    <w:rsid w:val="00487B94"/>
    <w:rsid w:val="004900DF"/>
    <w:rsid w:val="004902B5"/>
    <w:rsid w:val="004902E1"/>
    <w:rsid w:val="00490484"/>
    <w:rsid w:val="0049048D"/>
    <w:rsid w:val="00490510"/>
    <w:rsid w:val="00490772"/>
    <w:rsid w:val="004908FE"/>
    <w:rsid w:val="00490AEC"/>
    <w:rsid w:val="00490D09"/>
    <w:rsid w:val="00490D35"/>
    <w:rsid w:val="00490EBB"/>
    <w:rsid w:val="00490FF3"/>
    <w:rsid w:val="004913FE"/>
    <w:rsid w:val="00491BD0"/>
    <w:rsid w:val="00491F57"/>
    <w:rsid w:val="0049210D"/>
    <w:rsid w:val="0049219A"/>
    <w:rsid w:val="004921AF"/>
    <w:rsid w:val="004925AC"/>
    <w:rsid w:val="004926ED"/>
    <w:rsid w:val="0049294B"/>
    <w:rsid w:val="00493297"/>
    <w:rsid w:val="00493401"/>
    <w:rsid w:val="004934EA"/>
    <w:rsid w:val="0049389F"/>
    <w:rsid w:val="00494330"/>
    <w:rsid w:val="004944E0"/>
    <w:rsid w:val="00494580"/>
    <w:rsid w:val="004947B9"/>
    <w:rsid w:val="0049484B"/>
    <w:rsid w:val="00494B16"/>
    <w:rsid w:val="00494D37"/>
    <w:rsid w:val="00494FA3"/>
    <w:rsid w:val="004953E2"/>
    <w:rsid w:val="004954FE"/>
    <w:rsid w:val="0049570C"/>
    <w:rsid w:val="00495AD4"/>
    <w:rsid w:val="00495EE8"/>
    <w:rsid w:val="00496477"/>
    <w:rsid w:val="00496481"/>
    <w:rsid w:val="004971AA"/>
    <w:rsid w:val="0049723A"/>
    <w:rsid w:val="0049733A"/>
    <w:rsid w:val="00497C6C"/>
    <w:rsid w:val="004A0593"/>
    <w:rsid w:val="004A0789"/>
    <w:rsid w:val="004A0B51"/>
    <w:rsid w:val="004A0BEE"/>
    <w:rsid w:val="004A0C46"/>
    <w:rsid w:val="004A0E3E"/>
    <w:rsid w:val="004A12A0"/>
    <w:rsid w:val="004A18C6"/>
    <w:rsid w:val="004A19BF"/>
    <w:rsid w:val="004A1ECB"/>
    <w:rsid w:val="004A2031"/>
    <w:rsid w:val="004A2220"/>
    <w:rsid w:val="004A25B5"/>
    <w:rsid w:val="004A2ED8"/>
    <w:rsid w:val="004A3610"/>
    <w:rsid w:val="004A386C"/>
    <w:rsid w:val="004A395E"/>
    <w:rsid w:val="004A3AF6"/>
    <w:rsid w:val="004A3B41"/>
    <w:rsid w:val="004A3CBE"/>
    <w:rsid w:val="004A3ECC"/>
    <w:rsid w:val="004A4235"/>
    <w:rsid w:val="004A42A8"/>
    <w:rsid w:val="004A4666"/>
    <w:rsid w:val="004A4B11"/>
    <w:rsid w:val="004A5A80"/>
    <w:rsid w:val="004A5CAD"/>
    <w:rsid w:val="004A5E24"/>
    <w:rsid w:val="004A61D9"/>
    <w:rsid w:val="004A61F4"/>
    <w:rsid w:val="004A6593"/>
    <w:rsid w:val="004A6AB5"/>
    <w:rsid w:val="004A6F49"/>
    <w:rsid w:val="004A7033"/>
    <w:rsid w:val="004A752F"/>
    <w:rsid w:val="004A7D3E"/>
    <w:rsid w:val="004A7DBF"/>
    <w:rsid w:val="004A7F3E"/>
    <w:rsid w:val="004B0132"/>
    <w:rsid w:val="004B0246"/>
    <w:rsid w:val="004B0722"/>
    <w:rsid w:val="004B0969"/>
    <w:rsid w:val="004B0BD0"/>
    <w:rsid w:val="004B0E20"/>
    <w:rsid w:val="004B0FC5"/>
    <w:rsid w:val="004B1217"/>
    <w:rsid w:val="004B1845"/>
    <w:rsid w:val="004B1F0E"/>
    <w:rsid w:val="004B229C"/>
    <w:rsid w:val="004B25FA"/>
    <w:rsid w:val="004B26E7"/>
    <w:rsid w:val="004B2721"/>
    <w:rsid w:val="004B2946"/>
    <w:rsid w:val="004B2AE0"/>
    <w:rsid w:val="004B2D99"/>
    <w:rsid w:val="004B308D"/>
    <w:rsid w:val="004B335F"/>
    <w:rsid w:val="004B39AE"/>
    <w:rsid w:val="004B3A17"/>
    <w:rsid w:val="004B3D51"/>
    <w:rsid w:val="004B3D6E"/>
    <w:rsid w:val="004B3F0E"/>
    <w:rsid w:val="004B40AB"/>
    <w:rsid w:val="004B43A4"/>
    <w:rsid w:val="004B44BF"/>
    <w:rsid w:val="004B45E6"/>
    <w:rsid w:val="004B4640"/>
    <w:rsid w:val="004B46F1"/>
    <w:rsid w:val="004B4F74"/>
    <w:rsid w:val="004B52B4"/>
    <w:rsid w:val="004B5875"/>
    <w:rsid w:val="004B5C8D"/>
    <w:rsid w:val="004B60A3"/>
    <w:rsid w:val="004B6232"/>
    <w:rsid w:val="004B668D"/>
    <w:rsid w:val="004B6797"/>
    <w:rsid w:val="004B6883"/>
    <w:rsid w:val="004B6C67"/>
    <w:rsid w:val="004B6D39"/>
    <w:rsid w:val="004B6F02"/>
    <w:rsid w:val="004B6F19"/>
    <w:rsid w:val="004B6F45"/>
    <w:rsid w:val="004B733A"/>
    <w:rsid w:val="004B7485"/>
    <w:rsid w:val="004B772D"/>
    <w:rsid w:val="004B7943"/>
    <w:rsid w:val="004B7AC8"/>
    <w:rsid w:val="004B7C73"/>
    <w:rsid w:val="004C00BE"/>
    <w:rsid w:val="004C08A2"/>
    <w:rsid w:val="004C0A7A"/>
    <w:rsid w:val="004C0F7F"/>
    <w:rsid w:val="004C14A6"/>
    <w:rsid w:val="004C1AB9"/>
    <w:rsid w:val="004C1AD3"/>
    <w:rsid w:val="004C1D00"/>
    <w:rsid w:val="004C1EF9"/>
    <w:rsid w:val="004C20EB"/>
    <w:rsid w:val="004C2263"/>
    <w:rsid w:val="004C227F"/>
    <w:rsid w:val="004C23C4"/>
    <w:rsid w:val="004C252C"/>
    <w:rsid w:val="004C2A2C"/>
    <w:rsid w:val="004C2EDF"/>
    <w:rsid w:val="004C3117"/>
    <w:rsid w:val="004C313A"/>
    <w:rsid w:val="004C33C0"/>
    <w:rsid w:val="004C3A25"/>
    <w:rsid w:val="004C3BB4"/>
    <w:rsid w:val="004C3FE0"/>
    <w:rsid w:val="004C4126"/>
    <w:rsid w:val="004C4381"/>
    <w:rsid w:val="004C4672"/>
    <w:rsid w:val="004C4906"/>
    <w:rsid w:val="004C4A5D"/>
    <w:rsid w:val="004C4A76"/>
    <w:rsid w:val="004C522B"/>
    <w:rsid w:val="004C57CB"/>
    <w:rsid w:val="004C5846"/>
    <w:rsid w:val="004C5A70"/>
    <w:rsid w:val="004C5E2B"/>
    <w:rsid w:val="004C5F06"/>
    <w:rsid w:val="004C6049"/>
    <w:rsid w:val="004C62AE"/>
    <w:rsid w:val="004C674C"/>
    <w:rsid w:val="004C675D"/>
    <w:rsid w:val="004C689E"/>
    <w:rsid w:val="004C6941"/>
    <w:rsid w:val="004C69F6"/>
    <w:rsid w:val="004C6B7E"/>
    <w:rsid w:val="004C6CAA"/>
    <w:rsid w:val="004C6D62"/>
    <w:rsid w:val="004C6DD3"/>
    <w:rsid w:val="004C6E0D"/>
    <w:rsid w:val="004C7499"/>
    <w:rsid w:val="004C7630"/>
    <w:rsid w:val="004D013E"/>
    <w:rsid w:val="004D063E"/>
    <w:rsid w:val="004D085E"/>
    <w:rsid w:val="004D0B87"/>
    <w:rsid w:val="004D14C3"/>
    <w:rsid w:val="004D1A8C"/>
    <w:rsid w:val="004D1BD5"/>
    <w:rsid w:val="004D1CDF"/>
    <w:rsid w:val="004D1E39"/>
    <w:rsid w:val="004D2328"/>
    <w:rsid w:val="004D24CD"/>
    <w:rsid w:val="004D26A8"/>
    <w:rsid w:val="004D273F"/>
    <w:rsid w:val="004D2751"/>
    <w:rsid w:val="004D2856"/>
    <w:rsid w:val="004D2ADA"/>
    <w:rsid w:val="004D2DAF"/>
    <w:rsid w:val="004D2F50"/>
    <w:rsid w:val="004D3519"/>
    <w:rsid w:val="004D4427"/>
    <w:rsid w:val="004D4FAB"/>
    <w:rsid w:val="004D52B4"/>
    <w:rsid w:val="004D52BF"/>
    <w:rsid w:val="004D555A"/>
    <w:rsid w:val="004D5708"/>
    <w:rsid w:val="004D5882"/>
    <w:rsid w:val="004D591C"/>
    <w:rsid w:val="004D5A8C"/>
    <w:rsid w:val="004D5AA8"/>
    <w:rsid w:val="004D62D5"/>
    <w:rsid w:val="004D6AE9"/>
    <w:rsid w:val="004D6D26"/>
    <w:rsid w:val="004D6D3F"/>
    <w:rsid w:val="004D73D8"/>
    <w:rsid w:val="004D7494"/>
    <w:rsid w:val="004D7652"/>
    <w:rsid w:val="004D7AEE"/>
    <w:rsid w:val="004D7B5A"/>
    <w:rsid w:val="004D7B62"/>
    <w:rsid w:val="004E063D"/>
    <w:rsid w:val="004E0BB4"/>
    <w:rsid w:val="004E0BD3"/>
    <w:rsid w:val="004E0CBC"/>
    <w:rsid w:val="004E1432"/>
    <w:rsid w:val="004E1521"/>
    <w:rsid w:val="004E1582"/>
    <w:rsid w:val="004E19E6"/>
    <w:rsid w:val="004E1DF0"/>
    <w:rsid w:val="004E1FBF"/>
    <w:rsid w:val="004E2135"/>
    <w:rsid w:val="004E25AF"/>
    <w:rsid w:val="004E27FC"/>
    <w:rsid w:val="004E2ACA"/>
    <w:rsid w:val="004E2D09"/>
    <w:rsid w:val="004E36D4"/>
    <w:rsid w:val="004E3C88"/>
    <w:rsid w:val="004E4017"/>
    <w:rsid w:val="004E4494"/>
    <w:rsid w:val="004E4A9A"/>
    <w:rsid w:val="004E4C48"/>
    <w:rsid w:val="004E4E6D"/>
    <w:rsid w:val="004E50FA"/>
    <w:rsid w:val="004E522A"/>
    <w:rsid w:val="004E53F9"/>
    <w:rsid w:val="004E598D"/>
    <w:rsid w:val="004E5AC7"/>
    <w:rsid w:val="004E5C06"/>
    <w:rsid w:val="004E5F4C"/>
    <w:rsid w:val="004E60D2"/>
    <w:rsid w:val="004E60F4"/>
    <w:rsid w:val="004E61FB"/>
    <w:rsid w:val="004E663A"/>
    <w:rsid w:val="004E66E7"/>
    <w:rsid w:val="004E68E7"/>
    <w:rsid w:val="004E6B5E"/>
    <w:rsid w:val="004E6B86"/>
    <w:rsid w:val="004E6C19"/>
    <w:rsid w:val="004E6DF8"/>
    <w:rsid w:val="004E7423"/>
    <w:rsid w:val="004E7714"/>
    <w:rsid w:val="004E7751"/>
    <w:rsid w:val="004E78B5"/>
    <w:rsid w:val="004E7B0C"/>
    <w:rsid w:val="004E7B8F"/>
    <w:rsid w:val="004E7BC5"/>
    <w:rsid w:val="004F00AC"/>
    <w:rsid w:val="004F0137"/>
    <w:rsid w:val="004F03C8"/>
    <w:rsid w:val="004F03F3"/>
    <w:rsid w:val="004F06F2"/>
    <w:rsid w:val="004F1347"/>
    <w:rsid w:val="004F188E"/>
    <w:rsid w:val="004F195E"/>
    <w:rsid w:val="004F2086"/>
    <w:rsid w:val="004F22F2"/>
    <w:rsid w:val="004F24B8"/>
    <w:rsid w:val="004F2763"/>
    <w:rsid w:val="004F2815"/>
    <w:rsid w:val="004F28D7"/>
    <w:rsid w:val="004F2942"/>
    <w:rsid w:val="004F2B64"/>
    <w:rsid w:val="004F2C14"/>
    <w:rsid w:val="004F310F"/>
    <w:rsid w:val="004F3129"/>
    <w:rsid w:val="004F3189"/>
    <w:rsid w:val="004F3221"/>
    <w:rsid w:val="004F356F"/>
    <w:rsid w:val="004F360E"/>
    <w:rsid w:val="004F364E"/>
    <w:rsid w:val="004F36CD"/>
    <w:rsid w:val="004F36FB"/>
    <w:rsid w:val="004F3731"/>
    <w:rsid w:val="004F374B"/>
    <w:rsid w:val="004F37D8"/>
    <w:rsid w:val="004F3C0F"/>
    <w:rsid w:val="004F3EAF"/>
    <w:rsid w:val="004F46D1"/>
    <w:rsid w:val="004F4B7F"/>
    <w:rsid w:val="004F4D18"/>
    <w:rsid w:val="004F4DA4"/>
    <w:rsid w:val="004F4ED4"/>
    <w:rsid w:val="004F52B5"/>
    <w:rsid w:val="004F5412"/>
    <w:rsid w:val="004F542A"/>
    <w:rsid w:val="004F575B"/>
    <w:rsid w:val="004F5B4B"/>
    <w:rsid w:val="004F5E90"/>
    <w:rsid w:val="004F61E2"/>
    <w:rsid w:val="004F67E6"/>
    <w:rsid w:val="004F6DC1"/>
    <w:rsid w:val="004F7523"/>
    <w:rsid w:val="004F7A92"/>
    <w:rsid w:val="004F7B9E"/>
    <w:rsid w:val="004F7DE8"/>
    <w:rsid w:val="004F7F03"/>
    <w:rsid w:val="00500192"/>
    <w:rsid w:val="00500318"/>
    <w:rsid w:val="00500458"/>
    <w:rsid w:val="00500589"/>
    <w:rsid w:val="00500689"/>
    <w:rsid w:val="005008CD"/>
    <w:rsid w:val="00500A43"/>
    <w:rsid w:val="00500BFE"/>
    <w:rsid w:val="00500C6B"/>
    <w:rsid w:val="005010BD"/>
    <w:rsid w:val="005017A2"/>
    <w:rsid w:val="005019B4"/>
    <w:rsid w:val="00501A83"/>
    <w:rsid w:val="00501E14"/>
    <w:rsid w:val="00502022"/>
    <w:rsid w:val="00502196"/>
    <w:rsid w:val="005021BD"/>
    <w:rsid w:val="00502666"/>
    <w:rsid w:val="005026DD"/>
    <w:rsid w:val="00502721"/>
    <w:rsid w:val="00502B5C"/>
    <w:rsid w:val="0050313D"/>
    <w:rsid w:val="0050349D"/>
    <w:rsid w:val="00503592"/>
    <w:rsid w:val="00503A1B"/>
    <w:rsid w:val="00503AA3"/>
    <w:rsid w:val="00503F6A"/>
    <w:rsid w:val="00503F8E"/>
    <w:rsid w:val="00503FB6"/>
    <w:rsid w:val="00504037"/>
    <w:rsid w:val="005040D3"/>
    <w:rsid w:val="00504364"/>
    <w:rsid w:val="00504664"/>
    <w:rsid w:val="00504711"/>
    <w:rsid w:val="0050475F"/>
    <w:rsid w:val="005047D7"/>
    <w:rsid w:val="005049B5"/>
    <w:rsid w:val="00504AF5"/>
    <w:rsid w:val="00504EEE"/>
    <w:rsid w:val="00505041"/>
    <w:rsid w:val="00505A9A"/>
    <w:rsid w:val="00505FFB"/>
    <w:rsid w:val="00506569"/>
    <w:rsid w:val="005067E5"/>
    <w:rsid w:val="005069E5"/>
    <w:rsid w:val="0050711A"/>
    <w:rsid w:val="00507206"/>
    <w:rsid w:val="00507356"/>
    <w:rsid w:val="005074FD"/>
    <w:rsid w:val="00507966"/>
    <w:rsid w:val="00507A21"/>
    <w:rsid w:val="0051037F"/>
    <w:rsid w:val="00510729"/>
    <w:rsid w:val="00511009"/>
    <w:rsid w:val="0051132A"/>
    <w:rsid w:val="00511349"/>
    <w:rsid w:val="005117D3"/>
    <w:rsid w:val="005122AE"/>
    <w:rsid w:val="0051273F"/>
    <w:rsid w:val="00512A5A"/>
    <w:rsid w:val="00512AAF"/>
    <w:rsid w:val="00512D92"/>
    <w:rsid w:val="00512DCC"/>
    <w:rsid w:val="00513013"/>
    <w:rsid w:val="0051306A"/>
    <w:rsid w:val="005130B5"/>
    <w:rsid w:val="00513153"/>
    <w:rsid w:val="00513214"/>
    <w:rsid w:val="0051344C"/>
    <w:rsid w:val="00513886"/>
    <w:rsid w:val="00513898"/>
    <w:rsid w:val="00513906"/>
    <w:rsid w:val="00513B6A"/>
    <w:rsid w:val="00513D22"/>
    <w:rsid w:val="00513D2A"/>
    <w:rsid w:val="00513F07"/>
    <w:rsid w:val="00513FCF"/>
    <w:rsid w:val="00514313"/>
    <w:rsid w:val="005143D4"/>
    <w:rsid w:val="00514861"/>
    <w:rsid w:val="00514900"/>
    <w:rsid w:val="00514A77"/>
    <w:rsid w:val="00514CB4"/>
    <w:rsid w:val="00514F0B"/>
    <w:rsid w:val="005153BB"/>
    <w:rsid w:val="00515692"/>
    <w:rsid w:val="0051584C"/>
    <w:rsid w:val="0051651B"/>
    <w:rsid w:val="0051660D"/>
    <w:rsid w:val="00516AC3"/>
    <w:rsid w:val="00516B48"/>
    <w:rsid w:val="00516BAA"/>
    <w:rsid w:val="00516BE0"/>
    <w:rsid w:val="00516D33"/>
    <w:rsid w:val="00516E5B"/>
    <w:rsid w:val="00517431"/>
    <w:rsid w:val="005175A0"/>
    <w:rsid w:val="00517811"/>
    <w:rsid w:val="0052020C"/>
    <w:rsid w:val="00520485"/>
    <w:rsid w:val="00520511"/>
    <w:rsid w:val="005206A8"/>
    <w:rsid w:val="0052087B"/>
    <w:rsid w:val="00520C94"/>
    <w:rsid w:val="00520EF9"/>
    <w:rsid w:val="00521248"/>
    <w:rsid w:val="005212A2"/>
    <w:rsid w:val="005215A0"/>
    <w:rsid w:val="00521AEA"/>
    <w:rsid w:val="0052256A"/>
    <w:rsid w:val="00522628"/>
    <w:rsid w:val="00522D92"/>
    <w:rsid w:val="005234B7"/>
    <w:rsid w:val="00523FE8"/>
    <w:rsid w:val="0052436B"/>
    <w:rsid w:val="005243E4"/>
    <w:rsid w:val="00524743"/>
    <w:rsid w:val="00524AB7"/>
    <w:rsid w:val="00525115"/>
    <w:rsid w:val="0052522B"/>
    <w:rsid w:val="005253E2"/>
    <w:rsid w:val="00525708"/>
    <w:rsid w:val="005257FF"/>
    <w:rsid w:val="00525E82"/>
    <w:rsid w:val="00526526"/>
    <w:rsid w:val="00526C5C"/>
    <w:rsid w:val="00526CA4"/>
    <w:rsid w:val="005273EE"/>
    <w:rsid w:val="00527417"/>
    <w:rsid w:val="0052DF22"/>
    <w:rsid w:val="00530153"/>
    <w:rsid w:val="005305D4"/>
    <w:rsid w:val="005307A3"/>
    <w:rsid w:val="00530872"/>
    <w:rsid w:val="00530880"/>
    <w:rsid w:val="005308BB"/>
    <w:rsid w:val="00530CDD"/>
    <w:rsid w:val="00531510"/>
    <w:rsid w:val="00531539"/>
    <w:rsid w:val="00531BE4"/>
    <w:rsid w:val="00532004"/>
    <w:rsid w:val="00532364"/>
    <w:rsid w:val="0053255F"/>
    <w:rsid w:val="005327B9"/>
    <w:rsid w:val="00532B6D"/>
    <w:rsid w:val="00532CD9"/>
    <w:rsid w:val="00532D87"/>
    <w:rsid w:val="00533113"/>
    <w:rsid w:val="005332CF"/>
    <w:rsid w:val="00533C69"/>
    <w:rsid w:val="00533E61"/>
    <w:rsid w:val="00534233"/>
    <w:rsid w:val="0053440D"/>
    <w:rsid w:val="00534453"/>
    <w:rsid w:val="00535224"/>
    <w:rsid w:val="005353F0"/>
    <w:rsid w:val="005355D2"/>
    <w:rsid w:val="00535A55"/>
    <w:rsid w:val="00535B40"/>
    <w:rsid w:val="00536260"/>
    <w:rsid w:val="0053671B"/>
    <w:rsid w:val="00536878"/>
    <w:rsid w:val="00536AD2"/>
    <w:rsid w:val="00536AF7"/>
    <w:rsid w:val="00536B92"/>
    <w:rsid w:val="00536D6E"/>
    <w:rsid w:val="0053703D"/>
    <w:rsid w:val="005371E5"/>
    <w:rsid w:val="0053773E"/>
    <w:rsid w:val="00537910"/>
    <w:rsid w:val="0053799B"/>
    <w:rsid w:val="00537B05"/>
    <w:rsid w:val="005401D7"/>
    <w:rsid w:val="005406E1"/>
    <w:rsid w:val="00540929"/>
    <w:rsid w:val="00540A8B"/>
    <w:rsid w:val="00540F28"/>
    <w:rsid w:val="005412AC"/>
    <w:rsid w:val="00541385"/>
    <w:rsid w:val="005416D0"/>
    <w:rsid w:val="00541973"/>
    <w:rsid w:val="00542301"/>
    <w:rsid w:val="005423F5"/>
    <w:rsid w:val="0054259E"/>
    <w:rsid w:val="00542673"/>
    <w:rsid w:val="005427DF"/>
    <w:rsid w:val="00542A09"/>
    <w:rsid w:val="00542D07"/>
    <w:rsid w:val="005439D6"/>
    <w:rsid w:val="00543A56"/>
    <w:rsid w:val="00543DD2"/>
    <w:rsid w:val="00544143"/>
    <w:rsid w:val="00544662"/>
    <w:rsid w:val="00544D97"/>
    <w:rsid w:val="00544E62"/>
    <w:rsid w:val="00545012"/>
    <w:rsid w:val="00545A90"/>
    <w:rsid w:val="00545B4E"/>
    <w:rsid w:val="005465C0"/>
    <w:rsid w:val="00546933"/>
    <w:rsid w:val="00546986"/>
    <w:rsid w:val="00547433"/>
    <w:rsid w:val="005476BD"/>
    <w:rsid w:val="005476E0"/>
    <w:rsid w:val="005477B5"/>
    <w:rsid w:val="005478DC"/>
    <w:rsid w:val="00547998"/>
    <w:rsid w:val="00547AC2"/>
    <w:rsid w:val="00547BB6"/>
    <w:rsid w:val="00547C61"/>
    <w:rsid w:val="00550005"/>
    <w:rsid w:val="00550076"/>
    <w:rsid w:val="00550080"/>
    <w:rsid w:val="0055012B"/>
    <w:rsid w:val="00550196"/>
    <w:rsid w:val="00550220"/>
    <w:rsid w:val="0055034B"/>
    <w:rsid w:val="005505AF"/>
    <w:rsid w:val="005506C8"/>
    <w:rsid w:val="00550705"/>
    <w:rsid w:val="00550FE9"/>
    <w:rsid w:val="00551017"/>
    <w:rsid w:val="00551196"/>
    <w:rsid w:val="00551203"/>
    <w:rsid w:val="0055144A"/>
    <w:rsid w:val="005515AC"/>
    <w:rsid w:val="00551629"/>
    <w:rsid w:val="005516A4"/>
    <w:rsid w:val="00551761"/>
    <w:rsid w:val="00552636"/>
    <w:rsid w:val="00552C49"/>
    <w:rsid w:val="00552F3A"/>
    <w:rsid w:val="005535AA"/>
    <w:rsid w:val="005535CA"/>
    <w:rsid w:val="005538C9"/>
    <w:rsid w:val="00553A48"/>
    <w:rsid w:val="00553CC2"/>
    <w:rsid w:val="00553E52"/>
    <w:rsid w:val="00553F2B"/>
    <w:rsid w:val="005542F9"/>
    <w:rsid w:val="00554847"/>
    <w:rsid w:val="00554A12"/>
    <w:rsid w:val="00554D69"/>
    <w:rsid w:val="005554E5"/>
    <w:rsid w:val="00555569"/>
    <w:rsid w:val="00555669"/>
    <w:rsid w:val="00555699"/>
    <w:rsid w:val="0055571A"/>
    <w:rsid w:val="0055584D"/>
    <w:rsid w:val="00555E6A"/>
    <w:rsid w:val="00556573"/>
    <w:rsid w:val="005568FF"/>
    <w:rsid w:val="00556CDC"/>
    <w:rsid w:val="00556D96"/>
    <w:rsid w:val="005570E5"/>
    <w:rsid w:val="0055731F"/>
    <w:rsid w:val="00560069"/>
    <w:rsid w:val="00560199"/>
    <w:rsid w:val="00560B95"/>
    <w:rsid w:val="0056126E"/>
    <w:rsid w:val="00561337"/>
    <w:rsid w:val="00561555"/>
    <w:rsid w:val="005615E7"/>
    <w:rsid w:val="00561AF0"/>
    <w:rsid w:val="00561B2B"/>
    <w:rsid w:val="00561C3A"/>
    <w:rsid w:val="00562285"/>
    <w:rsid w:val="00562689"/>
    <w:rsid w:val="0056275C"/>
    <w:rsid w:val="005627D8"/>
    <w:rsid w:val="00562E1C"/>
    <w:rsid w:val="00563040"/>
    <w:rsid w:val="0056310A"/>
    <w:rsid w:val="00563577"/>
    <w:rsid w:val="00563779"/>
    <w:rsid w:val="00563AA1"/>
    <w:rsid w:val="00563C7C"/>
    <w:rsid w:val="005640B7"/>
    <w:rsid w:val="005641FC"/>
    <w:rsid w:val="00564363"/>
    <w:rsid w:val="00564A3A"/>
    <w:rsid w:val="00564AA6"/>
    <w:rsid w:val="00565168"/>
    <w:rsid w:val="00565254"/>
    <w:rsid w:val="005653AD"/>
    <w:rsid w:val="00565462"/>
    <w:rsid w:val="00565AF5"/>
    <w:rsid w:val="00565CA0"/>
    <w:rsid w:val="00565D8F"/>
    <w:rsid w:val="00565DD8"/>
    <w:rsid w:val="00565E9C"/>
    <w:rsid w:val="005663EA"/>
    <w:rsid w:val="005664B7"/>
    <w:rsid w:val="0056671D"/>
    <w:rsid w:val="00566BA3"/>
    <w:rsid w:val="00566C6B"/>
    <w:rsid w:val="00566E04"/>
    <w:rsid w:val="00566E07"/>
    <w:rsid w:val="00566EED"/>
    <w:rsid w:val="00567180"/>
    <w:rsid w:val="005673FE"/>
    <w:rsid w:val="00567453"/>
    <w:rsid w:val="00567529"/>
    <w:rsid w:val="00567BC7"/>
    <w:rsid w:val="00567FA5"/>
    <w:rsid w:val="005701E6"/>
    <w:rsid w:val="0057020B"/>
    <w:rsid w:val="005702C7"/>
    <w:rsid w:val="005704CA"/>
    <w:rsid w:val="00570893"/>
    <w:rsid w:val="0057098B"/>
    <w:rsid w:val="00570A9D"/>
    <w:rsid w:val="00570C9A"/>
    <w:rsid w:val="0057113C"/>
    <w:rsid w:val="005718FE"/>
    <w:rsid w:val="0057191E"/>
    <w:rsid w:val="0057197F"/>
    <w:rsid w:val="00572016"/>
    <w:rsid w:val="00572133"/>
    <w:rsid w:val="005723DD"/>
    <w:rsid w:val="005724BE"/>
    <w:rsid w:val="00572F4C"/>
    <w:rsid w:val="0057326F"/>
    <w:rsid w:val="0057344D"/>
    <w:rsid w:val="0057353D"/>
    <w:rsid w:val="00573AA7"/>
    <w:rsid w:val="00573BD1"/>
    <w:rsid w:val="00573D03"/>
    <w:rsid w:val="00573D7B"/>
    <w:rsid w:val="00573E71"/>
    <w:rsid w:val="00573F9B"/>
    <w:rsid w:val="0057458D"/>
    <w:rsid w:val="0057474C"/>
    <w:rsid w:val="0057481F"/>
    <w:rsid w:val="0057498E"/>
    <w:rsid w:val="00574F1B"/>
    <w:rsid w:val="00575020"/>
    <w:rsid w:val="005752C5"/>
    <w:rsid w:val="00575350"/>
    <w:rsid w:val="00575663"/>
    <w:rsid w:val="00575C54"/>
    <w:rsid w:val="00575EEC"/>
    <w:rsid w:val="00575F64"/>
    <w:rsid w:val="005762BF"/>
    <w:rsid w:val="0057640D"/>
    <w:rsid w:val="00576547"/>
    <w:rsid w:val="00576762"/>
    <w:rsid w:val="0057787B"/>
    <w:rsid w:val="00577A6A"/>
    <w:rsid w:val="00580567"/>
    <w:rsid w:val="005806D3"/>
    <w:rsid w:val="005808C1"/>
    <w:rsid w:val="00580A62"/>
    <w:rsid w:val="00580F4E"/>
    <w:rsid w:val="00580F89"/>
    <w:rsid w:val="00581033"/>
    <w:rsid w:val="00581037"/>
    <w:rsid w:val="005810FF"/>
    <w:rsid w:val="00581557"/>
    <w:rsid w:val="00581766"/>
    <w:rsid w:val="00581807"/>
    <w:rsid w:val="00581901"/>
    <w:rsid w:val="005820AB"/>
    <w:rsid w:val="00582406"/>
    <w:rsid w:val="005828C5"/>
    <w:rsid w:val="00582B69"/>
    <w:rsid w:val="00582EAD"/>
    <w:rsid w:val="0058379D"/>
    <w:rsid w:val="00583B4D"/>
    <w:rsid w:val="00583B4E"/>
    <w:rsid w:val="00583D9B"/>
    <w:rsid w:val="00583F4C"/>
    <w:rsid w:val="00584219"/>
    <w:rsid w:val="005845E6"/>
    <w:rsid w:val="0058460E"/>
    <w:rsid w:val="00584ED3"/>
    <w:rsid w:val="005854E5"/>
    <w:rsid w:val="00585734"/>
    <w:rsid w:val="0058591F"/>
    <w:rsid w:val="00585CFB"/>
    <w:rsid w:val="00585D28"/>
    <w:rsid w:val="00585D6E"/>
    <w:rsid w:val="00585E31"/>
    <w:rsid w:val="00585ED8"/>
    <w:rsid w:val="0058654B"/>
    <w:rsid w:val="00586559"/>
    <w:rsid w:val="0058657E"/>
    <w:rsid w:val="00586EC0"/>
    <w:rsid w:val="0058705F"/>
    <w:rsid w:val="00587167"/>
    <w:rsid w:val="005871CC"/>
    <w:rsid w:val="005872F1"/>
    <w:rsid w:val="0058786F"/>
    <w:rsid w:val="00587DFD"/>
    <w:rsid w:val="00587F14"/>
    <w:rsid w:val="00590193"/>
    <w:rsid w:val="00590A64"/>
    <w:rsid w:val="00590B2E"/>
    <w:rsid w:val="00590C43"/>
    <w:rsid w:val="00590CE5"/>
    <w:rsid w:val="00590D55"/>
    <w:rsid w:val="00590E44"/>
    <w:rsid w:val="005918EC"/>
    <w:rsid w:val="0059190D"/>
    <w:rsid w:val="00591AFC"/>
    <w:rsid w:val="00591D1A"/>
    <w:rsid w:val="00591DF7"/>
    <w:rsid w:val="0059205E"/>
    <w:rsid w:val="00592951"/>
    <w:rsid w:val="005929B3"/>
    <w:rsid w:val="00592CD2"/>
    <w:rsid w:val="00592D23"/>
    <w:rsid w:val="005931D2"/>
    <w:rsid w:val="00593334"/>
    <w:rsid w:val="0059378B"/>
    <w:rsid w:val="00593814"/>
    <w:rsid w:val="00593952"/>
    <w:rsid w:val="00593DC6"/>
    <w:rsid w:val="00593EF8"/>
    <w:rsid w:val="0059404D"/>
    <w:rsid w:val="00594844"/>
    <w:rsid w:val="0059489A"/>
    <w:rsid w:val="00594B25"/>
    <w:rsid w:val="005952D3"/>
    <w:rsid w:val="005958FF"/>
    <w:rsid w:val="00595FFA"/>
    <w:rsid w:val="005962CA"/>
    <w:rsid w:val="0059663C"/>
    <w:rsid w:val="00596F30"/>
    <w:rsid w:val="00596FEE"/>
    <w:rsid w:val="00596FF9"/>
    <w:rsid w:val="00597135"/>
    <w:rsid w:val="00597709"/>
    <w:rsid w:val="005978C0"/>
    <w:rsid w:val="00597BD7"/>
    <w:rsid w:val="00597DE7"/>
    <w:rsid w:val="005A0196"/>
    <w:rsid w:val="005A047A"/>
    <w:rsid w:val="005A09FD"/>
    <w:rsid w:val="005A0A0D"/>
    <w:rsid w:val="005A0F86"/>
    <w:rsid w:val="005A1021"/>
    <w:rsid w:val="005A1C45"/>
    <w:rsid w:val="005A21F4"/>
    <w:rsid w:val="005A2289"/>
    <w:rsid w:val="005A23CD"/>
    <w:rsid w:val="005A2716"/>
    <w:rsid w:val="005A277E"/>
    <w:rsid w:val="005A27CB"/>
    <w:rsid w:val="005A2B15"/>
    <w:rsid w:val="005A2CFF"/>
    <w:rsid w:val="005A3078"/>
    <w:rsid w:val="005A3651"/>
    <w:rsid w:val="005A3A4E"/>
    <w:rsid w:val="005A3B3E"/>
    <w:rsid w:val="005A3DCB"/>
    <w:rsid w:val="005A43C4"/>
    <w:rsid w:val="005A46E2"/>
    <w:rsid w:val="005A4966"/>
    <w:rsid w:val="005A4B6E"/>
    <w:rsid w:val="005A4FB8"/>
    <w:rsid w:val="005A580B"/>
    <w:rsid w:val="005A58DC"/>
    <w:rsid w:val="005A5964"/>
    <w:rsid w:val="005A603A"/>
    <w:rsid w:val="005A62F9"/>
    <w:rsid w:val="005A63A8"/>
    <w:rsid w:val="005A6AB7"/>
    <w:rsid w:val="005A6ED7"/>
    <w:rsid w:val="005A7231"/>
    <w:rsid w:val="005A74AC"/>
    <w:rsid w:val="005A799E"/>
    <w:rsid w:val="005A7BE7"/>
    <w:rsid w:val="005B040B"/>
    <w:rsid w:val="005B07F8"/>
    <w:rsid w:val="005B09EB"/>
    <w:rsid w:val="005B0E1A"/>
    <w:rsid w:val="005B159F"/>
    <w:rsid w:val="005B1749"/>
    <w:rsid w:val="005B1992"/>
    <w:rsid w:val="005B1D5F"/>
    <w:rsid w:val="005B1E85"/>
    <w:rsid w:val="005B1FB7"/>
    <w:rsid w:val="005B212A"/>
    <w:rsid w:val="005B2556"/>
    <w:rsid w:val="005B28FF"/>
    <w:rsid w:val="005B2D40"/>
    <w:rsid w:val="005B364C"/>
    <w:rsid w:val="005B47B1"/>
    <w:rsid w:val="005B538F"/>
    <w:rsid w:val="005B542A"/>
    <w:rsid w:val="005B56A8"/>
    <w:rsid w:val="005B56E9"/>
    <w:rsid w:val="005B57B9"/>
    <w:rsid w:val="005B5921"/>
    <w:rsid w:val="005B5B33"/>
    <w:rsid w:val="005B5EA5"/>
    <w:rsid w:val="005B658E"/>
    <w:rsid w:val="005B6854"/>
    <w:rsid w:val="005B6B04"/>
    <w:rsid w:val="005B6B22"/>
    <w:rsid w:val="005B6E4E"/>
    <w:rsid w:val="005B716A"/>
    <w:rsid w:val="005B71E3"/>
    <w:rsid w:val="005B73A4"/>
    <w:rsid w:val="005B7B1A"/>
    <w:rsid w:val="005C0893"/>
    <w:rsid w:val="005C0DAF"/>
    <w:rsid w:val="005C14E4"/>
    <w:rsid w:val="005C1816"/>
    <w:rsid w:val="005C1ABD"/>
    <w:rsid w:val="005C1E38"/>
    <w:rsid w:val="005C1E85"/>
    <w:rsid w:val="005C22C1"/>
    <w:rsid w:val="005C26E2"/>
    <w:rsid w:val="005C28E8"/>
    <w:rsid w:val="005C2CD3"/>
    <w:rsid w:val="005C2E04"/>
    <w:rsid w:val="005C2E61"/>
    <w:rsid w:val="005C3386"/>
    <w:rsid w:val="005C3A16"/>
    <w:rsid w:val="005C3B66"/>
    <w:rsid w:val="005C3BB7"/>
    <w:rsid w:val="005C3EF5"/>
    <w:rsid w:val="005C3F9D"/>
    <w:rsid w:val="005C424B"/>
    <w:rsid w:val="005C437A"/>
    <w:rsid w:val="005C43D5"/>
    <w:rsid w:val="005C46A4"/>
    <w:rsid w:val="005C4789"/>
    <w:rsid w:val="005C4988"/>
    <w:rsid w:val="005C49EA"/>
    <w:rsid w:val="005C49F7"/>
    <w:rsid w:val="005C542F"/>
    <w:rsid w:val="005C56EB"/>
    <w:rsid w:val="005C639B"/>
    <w:rsid w:val="005C63EA"/>
    <w:rsid w:val="005C660B"/>
    <w:rsid w:val="005C66D0"/>
    <w:rsid w:val="005C6CB1"/>
    <w:rsid w:val="005D02DD"/>
    <w:rsid w:val="005D05D7"/>
    <w:rsid w:val="005D0C2E"/>
    <w:rsid w:val="005D0D40"/>
    <w:rsid w:val="005D1297"/>
    <w:rsid w:val="005D12CC"/>
    <w:rsid w:val="005D140E"/>
    <w:rsid w:val="005D15AB"/>
    <w:rsid w:val="005D1C18"/>
    <w:rsid w:val="005D21B8"/>
    <w:rsid w:val="005D2666"/>
    <w:rsid w:val="005D2700"/>
    <w:rsid w:val="005D2E74"/>
    <w:rsid w:val="005D313B"/>
    <w:rsid w:val="005D3322"/>
    <w:rsid w:val="005D35DA"/>
    <w:rsid w:val="005D3751"/>
    <w:rsid w:val="005D3A27"/>
    <w:rsid w:val="005D3BC1"/>
    <w:rsid w:val="005D3BC3"/>
    <w:rsid w:val="005D3C03"/>
    <w:rsid w:val="005D3C93"/>
    <w:rsid w:val="005D3D8C"/>
    <w:rsid w:val="005D3E04"/>
    <w:rsid w:val="005D44D5"/>
    <w:rsid w:val="005D4AE4"/>
    <w:rsid w:val="005D4B96"/>
    <w:rsid w:val="005D4C02"/>
    <w:rsid w:val="005D52F0"/>
    <w:rsid w:val="005D5588"/>
    <w:rsid w:val="005D59E8"/>
    <w:rsid w:val="005D6218"/>
    <w:rsid w:val="005D621E"/>
    <w:rsid w:val="005D6223"/>
    <w:rsid w:val="005D691E"/>
    <w:rsid w:val="005D6AE7"/>
    <w:rsid w:val="005D71A2"/>
    <w:rsid w:val="005D71D0"/>
    <w:rsid w:val="005D76CF"/>
    <w:rsid w:val="005D7BB1"/>
    <w:rsid w:val="005E016A"/>
    <w:rsid w:val="005E060C"/>
    <w:rsid w:val="005E08D2"/>
    <w:rsid w:val="005E08EA"/>
    <w:rsid w:val="005E0A7E"/>
    <w:rsid w:val="005E0A8E"/>
    <w:rsid w:val="005E0B56"/>
    <w:rsid w:val="005E0CD4"/>
    <w:rsid w:val="005E0FF0"/>
    <w:rsid w:val="005E172E"/>
    <w:rsid w:val="005E188C"/>
    <w:rsid w:val="005E1903"/>
    <w:rsid w:val="005E1A2A"/>
    <w:rsid w:val="005E1CA7"/>
    <w:rsid w:val="005E2173"/>
    <w:rsid w:val="005E2460"/>
    <w:rsid w:val="005E2AA8"/>
    <w:rsid w:val="005E304F"/>
    <w:rsid w:val="005E3188"/>
    <w:rsid w:val="005E3347"/>
    <w:rsid w:val="005E3517"/>
    <w:rsid w:val="005E3D4E"/>
    <w:rsid w:val="005E3E2D"/>
    <w:rsid w:val="005E412A"/>
    <w:rsid w:val="005E43CB"/>
    <w:rsid w:val="005E46F8"/>
    <w:rsid w:val="005E48D8"/>
    <w:rsid w:val="005E4A8C"/>
    <w:rsid w:val="005E544F"/>
    <w:rsid w:val="005E58FF"/>
    <w:rsid w:val="005E61F5"/>
    <w:rsid w:val="005E625E"/>
    <w:rsid w:val="005E63CA"/>
    <w:rsid w:val="005E69D4"/>
    <w:rsid w:val="005E72F4"/>
    <w:rsid w:val="005E77ED"/>
    <w:rsid w:val="005E78A3"/>
    <w:rsid w:val="005E78BF"/>
    <w:rsid w:val="005E7B94"/>
    <w:rsid w:val="005F0030"/>
    <w:rsid w:val="005F04B1"/>
    <w:rsid w:val="005F04BD"/>
    <w:rsid w:val="005F04E4"/>
    <w:rsid w:val="005F0649"/>
    <w:rsid w:val="005F1187"/>
    <w:rsid w:val="005F1263"/>
    <w:rsid w:val="005F1675"/>
    <w:rsid w:val="005F181B"/>
    <w:rsid w:val="005F1C89"/>
    <w:rsid w:val="005F1F01"/>
    <w:rsid w:val="005F242A"/>
    <w:rsid w:val="005F28F9"/>
    <w:rsid w:val="005F2B09"/>
    <w:rsid w:val="005F2FD2"/>
    <w:rsid w:val="005F30C1"/>
    <w:rsid w:val="005F3471"/>
    <w:rsid w:val="005F3484"/>
    <w:rsid w:val="005F37EF"/>
    <w:rsid w:val="005F38C8"/>
    <w:rsid w:val="005F3BFD"/>
    <w:rsid w:val="005F4284"/>
    <w:rsid w:val="005F455E"/>
    <w:rsid w:val="005F4660"/>
    <w:rsid w:val="005F4A5C"/>
    <w:rsid w:val="005F4C38"/>
    <w:rsid w:val="005F4F76"/>
    <w:rsid w:val="005F4FE9"/>
    <w:rsid w:val="005F545F"/>
    <w:rsid w:val="005F5B70"/>
    <w:rsid w:val="005F5D2E"/>
    <w:rsid w:val="005F5D78"/>
    <w:rsid w:val="005F61C7"/>
    <w:rsid w:val="005F6236"/>
    <w:rsid w:val="005F62F2"/>
    <w:rsid w:val="005F64AA"/>
    <w:rsid w:val="005F672A"/>
    <w:rsid w:val="005F6924"/>
    <w:rsid w:val="005F6BA2"/>
    <w:rsid w:val="005F7365"/>
    <w:rsid w:val="005F73A3"/>
    <w:rsid w:val="005F73D5"/>
    <w:rsid w:val="005F7507"/>
    <w:rsid w:val="005F7634"/>
    <w:rsid w:val="005F7760"/>
    <w:rsid w:val="005F78FC"/>
    <w:rsid w:val="005F7A9D"/>
    <w:rsid w:val="005F7FBB"/>
    <w:rsid w:val="0060001D"/>
    <w:rsid w:val="0060068E"/>
    <w:rsid w:val="006007EC"/>
    <w:rsid w:val="0060081E"/>
    <w:rsid w:val="006008A5"/>
    <w:rsid w:val="006008BD"/>
    <w:rsid w:val="00600A13"/>
    <w:rsid w:val="00600A73"/>
    <w:rsid w:val="00600E41"/>
    <w:rsid w:val="00600F0D"/>
    <w:rsid w:val="00601104"/>
    <w:rsid w:val="00601283"/>
    <w:rsid w:val="0060152F"/>
    <w:rsid w:val="006017F8"/>
    <w:rsid w:val="00601890"/>
    <w:rsid w:val="006019F4"/>
    <w:rsid w:val="00601A3F"/>
    <w:rsid w:val="00601E71"/>
    <w:rsid w:val="006026E0"/>
    <w:rsid w:val="006027C0"/>
    <w:rsid w:val="00602845"/>
    <w:rsid w:val="006034C0"/>
    <w:rsid w:val="006039AA"/>
    <w:rsid w:val="006039BA"/>
    <w:rsid w:val="006039DD"/>
    <w:rsid w:val="00603CE8"/>
    <w:rsid w:val="00603EC6"/>
    <w:rsid w:val="00603F52"/>
    <w:rsid w:val="00603FCE"/>
    <w:rsid w:val="0060450C"/>
    <w:rsid w:val="00604B4C"/>
    <w:rsid w:val="00604D12"/>
    <w:rsid w:val="00604DC2"/>
    <w:rsid w:val="006051BF"/>
    <w:rsid w:val="00605A86"/>
    <w:rsid w:val="00605ECF"/>
    <w:rsid w:val="0060640A"/>
    <w:rsid w:val="0060670F"/>
    <w:rsid w:val="006067BE"/>
    <w:rsid w:val="00606864"/>
    <w:rsid w:val="006069B4"/>
    <w:rsid w:val="00606C29"/>
    <w:rsid w:val="00606E4C"/>
    <w:rsid w:val="00606F9A"/>
    <w:rsid w:val="00606FE4"/>
    <w:rsid w:val="00607178"/>
    <w:rsid w:val="006074CE"/>
    <w:rsid w:val="006076F1"/>
    <w:rsid w:val="006077C5"/>
    <w:rsid w:val="00607885"/>
    <w:rsid w:val="0060797D"/>
    <w:rsid w:val="00607B66"/>
    <w:rsid w:val="00607C05"/>
    <w:rsid w:val="00607CF2"/>
    <w:rsid w:val="00607CFE"/>
    <w:rsid w:val="00607DAC"/>
    <w:rsid w:val="00607EBF"/>
    <w:rsid w:val="006104B2"/>
    <w:rsid w:val="006104EC"/>
    <w:rsid w:val="00610636"/>
    <w:rsid w:val="00610646"/>
    <w:rsid w:val="006107F0"/>
    <w:rsid w:val="00610FD3"/>
    <w:rsid w:val="00611193"/>
    <w:rsid w:val="006111E1"/>
    <w:rsid w:val="006114F7"/>
    <w:rsid w:val="00611523"/>
    <w:rsid w:val="00611544"/>
    <w:rsid w:val="0061169F"/>
    <w:rsid w:val="0061177E"/>
    <w:rsid w:val="00611CD7"/>
    <w:rsid w:val="00611D35"/>
    <w:rsid w:val="00611F0C"/>
    <w:rsid w:val="00611FB4"/>
    <w:rsid w:val="00612169"/>
    <w:rsid w:val="0061293F"/>
    <w:rsid w:val="00612A16"/>
    <w:rsid w:val="00612A69"/>
    <w:rsid w:val="00612B4B"/>
    <w:rsid w:val="006130F3"/>
    <w:rsid w:val="00613105"/>
    <w:rsid w:val="0061347C"/>
    <w:rsid w:val="006135E3"/>
    <w:rsid w:val="0061394B"/>
    <w:rsid w:val="00613E2F"/>
    <w:rsid w:val="00613F4D"/>
    <w:rsid w:val="006142DD"/>
    <w:rsid w:val="006155C3"/>
    <w:rsid w:val="00615D11"/>
    <w:rsid w:val="00615D6F"/>
    <w:rsid w:val="00615DA6"/>
    <w:rsid w:val="006163BB"/>
    <w:rsid w:val="00616561"/>
    <w:rsid w:val="00616A70"/>
    <w:rsid w:val="00616B0F"/>
    <w:rsid w:val="00616D97"/>
    <w:rsid w:val="00616E99"/>
    <w:rsid w:val="0061766A"/>
    <w:rsid w:val="006177D0"/>
    <w:rsid w:val="00617869"/>
    <w:rsid w:val="006178F2"/>
    <w:rsid w:val="00617A35"/>
    <w:rsid w:val="00617CFB"/>
    <w:rsid w:val="00620000"/>
    <w:rsid w:val="006203F0"/>
    <w:rsid w:val="00620B5C"/>
    <w:rsid w:val="00620E1B"/>
    <w:rsid w:val="00620F20"/>
    <w:rsid w:val="006212A9"/>
    <w:rsid w:val="00621870"/>
    <w:rsid w:val="00621D15"/>
    <w:rsid w:val="00621D3C"/>
    <w:rsid w:val="00621E6D"/>
    <w:rsid w:val="00622263"/>
    <w:rsid w:val="006222E3"/>
    <w:rsid w:val="0062242C"/>
    <w:rsid w:val="00622747"/>
    <w:rsid w:val="0062295E"/>
    <w:rsid w:val="00622A6A"/>
    <w:rsid w:val="00622C6D"/>
    <w:rsid w:val="00622CE8"/>
    <w:rsid w:val="00622F2A"/>
    <w:rsid w:val="00622F52"/>
    <w:rsid w:val="00622F6F"/>
    <w:rsid w:val="00623492"/>
    <w:rsid w:val="006239C1"/>
    <w:rsid w:val="00623A50"/>
    <w:rsid w:val="00623B58"/>
    <w:rsid w:val="00623BA8"/>
    <w:rsid w:val="00624217"/>
    <w:rsid w:val="00624774"/>
    <w:rsid w:val="0062569B"/>
    <w:rsid w:val="006258D4"/>
    <w:rsid w:val="00625F5E"/>
    <w:rsid w:val="00626681"/>
    <w:rsid w:val="0062674A"/>
    <w:rsid w:val="00626A54"/>
    <w:rsid w:val="00626FFB"/>
    <w:rsid w:val="00627729"/>
    <w:rsid w:val="0062782A"/>
    <w:rsid w:val="006278B7"/>
    <w:rsid w:val="00630287"/>
    <w:rsid w:val="00630554"/>
    <w:rsid w:val="00630A96"/>
    <w:rsid w:val="00630F52"/>
    <w:rsid w:val="0063145A"/>
    <w:rsid w:val="00631786"/>
    <w:rsid w:val="006318FD"/>
    <w:rsid w:val="00631CE7"/>
    <w:rsid w:val="00631DAD"/>
    <w:rsid w:val="006320C1"/>
    <w:rsid w:val="00632211"/>
    <w:rsid w:val="00632257"/>
    <w:rsid w:val="006324DB"/>
    <w:rsid w:val="00632F20"/>
    <w:rsid w:val="00632F36"/>
    <w:rsid w:val="006334D3"/>
    <w:rsid w:val="00633673"/>
    <w:rsid w:val="006336BF"/>
    <w:rsid w:val="0063371A"/>
    <w:rsid w:val="00633828"/>
    <w:rsid w:val="00633B02"/>
    <w:rsid w:val="00633B7A"/>
    <w:rsid w:val="0063441A"/>
    <w:rsid w:val="00634483"/>
    <w:rsid w:val="006344FA"/>
    <w:rsid w:val="00634609"/>
    <w:rsid w:val="00634886"/>
    <w:rsid w:val="00634C8C"/>
    <w:rsid w:val="00635272"/>
    <w:rsid w:val="006356DF"/>
    <w:rsid w:val="006356E3"/>
    <w:rsid w:val="00635742"/>
    <w:rsid w:val="006357C9"/>
    <w:rsid w:val="00635A49"/>
    <w:rsid w:val="00635B95"/>
    <w:rsid w:val="00635EA5"/>
    <w:rsid w:val="00636043"/>
    <w:rsid w:val="006364F7"/>
    <w:rsid w:val="006369E9"/>
    <w:rsid w:val="00636AC6"/>
    <w:rsid w:val="00636BED"/>
    <w:rsid w:val="00636F11"/>
    <w:rsid w:val="00637609"/>
    <w:rsid w:val="0063763F"/>
    <w:rsid w:val="00637BBF"/>
    <w:rsid w:val="00637DB2"/>
    <w:rsid w:val="00637E93"/>
    <w:rsid w:val="006400F7"/>
    <w:rsid w:val="00640D22"/>
    <w:rsid w:val="0064109B"/>
    <w:rsid w:val="00641114"/>
    <w:rsid w:val="00641344"/>
    <w:rsid w:val="00641511"/>
    <w:rsid w:val="00641748"/>
    <w:rsid w:val="00641751"/>
    <w:rsid w:val="0064191E"/>
    <w:rsid w:val="006419C0"/>
    <w:rsid w:val="00641C88"/>
    <w:rsid w:val="00641CB0"/>
    <w:rsid w:val="00641D52"/>
    <w:rsid w:val="00641DFE"/>
    <w:rsid w:val="00641ED0"/>
    <w:rsid w:val="00642421"/>
    <w:rsid w:val="00642811"/>
    <w:rsid w:val="00642C23"/>
    <w:rsid w:val="00642E8E"/>
    <w:rsid w:val="00643282"/>
    <w:rsid w:val="006432F9"/>
    <w:rsid w:val="0064375C"/>
    <w:rsid w:val="00643935"/>
    <w:rsid w:val="00643B8D"/>
    <w:rsid w:val="006443E1"/>
    <w:rsid w:val="006445A4"/>
    <w:rsid w:val="006445AD"/>
    <w:rsid w:val="006448F4"/>
    <w:rsid w:val="0064507E"/>
    <w:rsid w:val="006451D0"/>
    <w:rsid w:val="00646061"/>
    <w:rsid w:val="006463C3"/>
    <w:rsid w:val="00646736"/>
    <w:rsid w:val="00646B60"/>
    <w:rsid w:val="00646F2E"/>
    <w:rsid w:val="00647410"/>
    <w:rsid w:val="0064766D"/>
    <w:rsid w:val="00650308"/>
    <w:rsid w:val="006505A6"/>
    <w:rsid w:val="006506B9"/>
    <w:rsid w:val="006509CD"/>
    <w:rsid w:val="00650C5A"/>
    <w:rsid w:val="00650CDB"/>
    <w:rsid w:val="00650D04"/>
    <w:rsid w:val="00650F8A"/>
    <w:rsid w:val="00651009"/>
    <w:rsid w:val="00651159"/>
    <w:rsid w:val="00651239"/>
    <w:rsid w:val="006512D9"/>
    <w:rsid w:val="0065151A"/>
    <w:rsid w:val="006518C5"/>
    <w:rsid w:val="00651999"/>
    <w:rsid w:val="00651A4A"/>
    <w:rsid w:val="00651AFD"/>
    <w:rsid w:val="00651D5F"/>
    <w:rsid w:val="00651FE4"/>
    <w:rsid w:val="006524C0"/>
    <w:rsid w:val="00652F67"/>
    <w:rsid w:val="006531AA"/>
    <w:rsid w:val="006534A8"/>
    <w:rsid w:val="0065375F"/>
    <w:rsid w:val="00653B1B"/>
    <w:rsid w:val="00653B99"/>
    <w:rsid w:val="00653EB4"/>
    <w:rsid w:val="006542F6"/>
    <w:rsid w:val="00654620"/>
    <w:rsid w:val="00654769"/>
    <w:rsid w:val="00654913"/>
    <w:rsid w:val="0065529C"/>
    <w:rsid w:val="00655504"/>
    <w:rsid w:val="006559A0"/>
    <w:rsid w:val="00655DF1"/>
    <w:rsid w:val="00655E96"/>
    <w:rsid w:val="00656089"/>
    <w:rsid w:val="00656336"/>
    <w:rsid w:val="00656477"/>
    <w:rsid w:val="006566F5"/>
    <w:rsid w:val="006568DC"/>
    <w:rsid w:val="00656C1F"/>
    <w:rsid w:val="0065718A"/>
    <w:rsid w:val="006575A7"/>
    <w:rsid w:val="0065765E"/>
    <w:rsid w:val="006578C6"/>
    <w:rsid w:val="00657E03"/>
    <w:rsid w:val="00657E9B"/>
    <w:rsid w:val="00657F69"/>
    <w:rsid w:val="0066034F"/>
    <w:rsid w:val="00660650"/>
    <w:rsid w:val="0066072A"/>
    <w:rsid w:val="006608BC"/>
    <w:rsid w:val="00660A56"/>
    <w:rsid w:val="00660F61"/>
    <w:rsid w:val="006610EF"/>
    <w:rsid w:val="00661269"/>
    <w:rsid w:val="0066131D"/>
    <w:rsid w:val="006615FB"/>
    <w:rsid w:val="00661705"/>
    <w:rsid w:val="0066174B"/>
    <w:rsid w:val="0066194A"/>
    <w:rsid w:val="00661ADD"/>
    <w:rsid w:val="00661B19"/>
    <w:rsid w:val="006620F9"/>
    <w:rsid w:val="00662232"/>
    <w:rsid w:val="0066236C"/>
    <w:rsid w:val="00662B04"/>
    <w:rsid w:val="00662B32"/>
    <w:rsid w:val="00662CF9"/>
    <w:rsid w:val="0066320B"/>
    <w:rsid w:val="00663AF1"/>
    <w:rsid w:val="00663B20"/>
    <w:rsid w:val="00663D4E"/>
    <w:rsid w:val="00664075"/>
    <w:rsid w:val="00664FA9"/>
    <w:rsid w:val="006651A9"/>
    <w:rsid w:val="0066570D"/>
    <w:rsid w:val="006657CA"/>
    <w:rsid w:val="006658F8"/>
    <w:rsid w:val="00665B44"/>
    <w:rsid w:val="00665B70"/>
    <w:rsid w:val="00665C8E"/>
    <w:rsid w:val="00665D37"/>
    <w:rsid w:val="00665DE2"/>
    <w:rsid w:val="00665EFC"/>
    <w:rsid w:val="00666122"/>
    <w:rsid w:val="00666162"/>
    <w:rsid w:val="00666167"/>
    <w:rsid w:val="006662CC"/>
    <w:rsid w:val="006664E8"/>
    <w:rsid w:val="006666D2"/>
    <w:rsid w:val="00666B52"/>
    <w:rsid w:val="00667016"/>
    <w:rsid w:val="00667343"/>
    <w:rsid w:val="00667458"/>
    <w:rsid w:val="00667654"/>
    <w:rsid w:val="006676B1"/>
    <w:rsid w:val="00667E68"/>
    <w:rsid w:val="00667F4E"/>
    <w:rsid w:val="00670115"/>
    <w:rsid w:val="006702E4"/>
    <w:rsid w:val="00670420"/>
    <w:rsid w:val="00670D17"/>
    <w:rsid w:val="00670EBB"/>
    <w:rsid w:val="00671154"/>
    <w:rsid w:val="0067129B"/>
    <w:rsid w:val="00671371"/>
    <w:rsid w:val="0067142B"/>
    <w:rsid w:val="006720CC"/>
    <w:rsid w:val="006720D8"/>
    <w:rsid w:val="006720EA"/>
    <w:rsid w:val="00672945"/>
    <w:rsid w:val="00672CEF"/>
    <w:rsid w:val="00672F1B"/>
    <w:rsid w:val="006730D3"/>
    <w:rsid w:val="00673285"/>
    <w:rsid w:val="006736FE"/>
    <w:rsid w:val="006738E0"/>
    <w:rsid w:val="00673A65"/>
    <w:rsid w:val="00673C98"/>
    <w:rsid w:val="00673F58"/>
    <w:rsid w:val="006740CC"/>
    <w:rsid w:val="00674572"/>
    <w:rsid w:val="00674584"/>
    <w:rsid w:val="0067467B"/>
    <w:rsid w:val="0067469B"/>
    <w:rsid w:val="0067478C"/>
    <w:rsid w:val="00674898"/>
    <w:rsid w:val="00674921"/>
    <w:rsid w:val="006749B7"/>
    <w:rsid w:val="00674B94"/>
    <w:rsid w:val="00674C00"/>
    <w:rsid w:val="00674E07"/>
    <w:rsid w:val="00674F2D"/>
    <w:rsid w:val="006757AD"/>
    <w:rsid w:val="00675968"/>
    <w:rsid w:val="00675EC2"/>
    <w:rsid w:val="00675F7A"/>
    <w:rsid w:val="00676063"/>
    <w:rsid w:val="006763CF"/>
    <w:rsid w:val="006768B6"/>
    <w:rsid w:val="00676D5D"/>
    <w:rsid w:val="00677476"/>
    <w:rsid w:val="0067785A"/>
    <w:rsid w:val="00677AAE"/>
    <w:rsid w:val="00677CF9"/>
    <w:rsid w:val="006803BB"/>
    <w:rsid w:val="006804B7"/>
    <w:rsid w:val="00680DF3"/>
    <w:rsid w:val="00680E60"/>
    <w:rsid w:val="00680F3D"/>
    <w:rsid w:val="00680F4D"/>
    <w:rsid w:val="006813DB"/>
    <w:rsid w:val="006817F4"/>
    <w:rsid w:val="006819FF"/>
    <w:rsid w:val="00681C8D"/>
    <w:rsid w:val="00681EC1"/>
    <w:rsid w:val="00681F26"/>
    <w:rsid w:val="00682302"/>
    <w:rsid w:val="00682AF3"/>
    <w:rsid w:val="00682CDC"/>
    <w:rsid w:val="00682DED"/>
    <w:rsid w:val="006838F2"/>
    <w:rsid w:val="00684344"/>
    <w:rsid w:val="00684640"/>
    <w:rsid w:val="00684813"/>
    <w:rsid w:val="00684AB8"/>
    <w:rsid w:val="00684B88"/>
    <w:rsid w:val="00685376"/>
    <w:rsid w:val="006854A5"/>
    <w:rsid w:val="00685797"/>
    <w:rsid w:val="006857FD"/>
    <w:rsid w:val="00685855"/>
    <w:rsid w:val="00685CEE"/>
    <w:rsid w:val="00686058"/>
    <w:rsid w:val="0068612D"/>
    <w:rsid w:val="006861CF"/>
    <w:rsid w:val="00686324"/>
    <w:rsid w:val="00686476"/>
    <w:rsid w:val="0068693A"/>
    <w:rsid w:val="00686A0D"/>
    <w:rsid w:val="00686BD6"/>
    <w:rsid w:val="00686CD1"/>
    <w:rsid w:val="0068765F"/>
    <w:rsid w:val="0068770A"/>
    <w:rsid w:val="0068782E"/>
    <w:rsid w:val="006878B5"/>
    <w:rsid w:val="006879AC"/>
    <w:rsid w:val="00687B5E"/>
    <w:rsid w:val="0069039B"/>
    <w:rsid w:val="00690683"/>
    <w:rsid w:val="006906BA"/>
    <w:rsid w:val="00690990"/>
    <w:rsid w:val="00690A58"/>
    <w:rsid w:val="00690A83"/>
    <w:rsid w:val="00690F74"/>
    <w:rsid w:val="0069115D"/>
    <w:rsid w:val="00691348"/>
    <w:rsid w:val="00691895"/>
    <w:rsid w:val="00691F19"/>
    <w:rsid w:val="00691FAF"/>
    <w:rsid w:val="00692141"/>
    <w:rsid w:val="006922FA"/>
    <w:rsid w:val="00692433"/>
    <w:rsid w:val="00692A2E"/>
    <w:rsid w:val="00692AB2"/>
    <w:rsid w:val="00693A51"/>
    <w:rsid w:val="00693D35"/>
    <w:rsid w:val="00693F5A"/>
    <w:rsid w:val="00693FAD"/>
    <w:rsid w:val="00694073"/>
    <w:rsid w:val="0069409B"/>
    <w:rsid w:val="006944CE"/>
    <w:rsid w:val="0069452D"/>
    <w:rsid w:val="00694680"/>
    <w:rsid w:val="006947A8"/>
    <w:rsid w:val="006947E6"/>
    <w:rsid w:val="006948F7"/>
    <w:rsid w:val="00694A70"/>
    <w:rsid w:val="00694B6F"/>
    <w:rsid w:val="00694BB5"/>
    <w:rsid w:val="00694DD3"/>
    <w:rsid w:val="006955CF"/>
    <w:rsid w:val="0069560F"/>
    <w:rsid w:val="00695629"/>
    <w:rsid w:val="0069567B"/>
    <w:rsid w:val="0069577C"/>
    <w:rsid w:val="006957DC"/>
    <w:rsid w:val="00695B88"/>
    <w:rsid w:val="00695E47"/>
    <w:rsid w:val="0069612D"/>
    <w:rsid w:val="006962C8"/>
    <w:rsid w:val="006966AF"/>
    <w:rsid w:val="00696951"/>
    <w:rsid w:val="00696FA5"/>
    <w:rsid w:val="00697042"/>
    <w:rsid w:val="006973ED"/>
    <w:rsid w:val="0069763A"/>
    <w:rsid w:val="00697923"/>
    <w:rsid w:val="00697ADE"/>
    <w:rsid w:val="006A01E3"/>
    <w:rsid w:val="006A051E"/>
    <w:rsid w:val="006A0A53"/>
    <w:rsid w:val="006A0A8A"/>
    <w:rsid w:val="006A0EE1"/>
    <w:rsid w:val="006A1208"/>
    <w:rsid w:val="006A14B0"/>
    <w:rsid w:val="006A1504"/>
    <w:rsid w:val="006A19A1"/>
    <w:rsid w:val="006A1B96"/>
    <w:rsid w:val="006A1BCD"/>
    <w:rsid w:val="006A1F2D"/>
    <w:rsid w:val="006A2592"/>
    <w:rsid w:val="006A2907"/>
    <w:rsid w:val="006A2F9F"/>
    <w:rsid w:val="006A30E7"/>
    <w:rsid w:val="006A3212"/>
    <w:rsid w:val="006A3781"/>
    <w:rsid w:val="006A382D"/>
    <w:rsid w:val="006A384C"/>
    <w:rsid w:val="006A3CD2"/>
    <w:rsid w:val="006A4526"/>
    <w:rsid w:val="006A457C"/>
    <w:rsid w:val="006A48D7"/>
    <w:rsid w:val="006A4FEA"/>
    <w:rsid w:val="006A5094"/>
    <w:rsid w:val="006A5095"/>
    <w:rsid w:val="006A516A"/>
    <w:rsid w:val="006A51BD"/>
    <w:rsid w:val="006A5405"/>
    <w:rsid w:val="006A5769"/>
    <w:rsid w:val="006A5CCD"/>
    <w:rsid w:val="006A5FBF"/>
    <w:rsid w:val="006A608A"/>
    <w:rsid w:val="006A62F9"/>
    <w:rsid w:val="006A65BF"/>
    <w:rsid w:val="006A68F8"/>
    <w:rsid w:val="006A6B53"/>
    <w:rsid w:val="006A6D18"/>
    <w:rsid w:val="006A70C2"/>
    <w:rsid w:val="006A7251"/>
    <w:rsid w:val="006A7CAE"/>
    <w:rsid w:val="006A7E0C"/>
    <w:rsid w:val="006B037A"/>
    <w:rsid w:val="006B0408"/>
    <w:rsid w:val="006B0712"/>
    <w:rsid w:val="006B0AFA"/>
    <w:rsid w:val="006B0CFE"/>
    <w:rsid w:val="006B0DE2"/>
    <w:rsid w:val="006B1537"/>
    <w:rsid w:val="006B191A"/>
    <w:rsid w:val="006B1A89"/>
    <w:rsid w:val="006B1D5E"/>
    <w:rsid w:val="006B2440"/>
    <w:rsid w:val="006B286A"/>
    <w:rsid w:val="006B33EC"/>
    <w:rsid w:val="006B3437"/>
    <w:rsid w:val="006B3497"/>
    <w:rsid w:val="006B3513"/>
    <w:rsid w:val="006B3656"/>
    <w:rsid w:val="006B36B1"/>
    <w:rsid w:val="006B36BE"/>
    <w:rsid w:val="006B37D9"/>
    <w:rsid w:val="006B38E0"/>
    <w:rsid w:val="006B3A87"/>
    <w:rsid w:val="006B3BF1"/>
    <w:rsid w:val="006B3C51"/>
    <w:rsid w:val="006B4337"/>
    <w:rsid w:val="006B442D"/>
    <w:rsid w:val="006B443C"/>
    <w:rsid w:val="006B44C2"/>
    <w:rsid w:val="006B45FE"/>
    <w:rsid w:val="006B46E3"/>
    <w:rsid w:val="006B488E"/>
    <w:rsid w:val="006B4B7D"/>
    <w:rsid w:val="006B4CED"/>
    <w:rsid w:val="006B5022"/>
    <w:rsid w:val="006B50A1"/>
    <w:rsid w:val="006B511E"/>
    <w:rsid w:val="006B5193"/>
    <w:rsid w:val="006B55CB"/>
    <w:rsid w:val="006B5613"/>
    <w:rsid w:val="006B56B7"/>
    <w:rsid w:val="006B57A7"/>
    <w:rsid w:val="006B5A9D"/>
    <w:rsid w:val="006B5F5F"/>
    <w:rsid w:val="006B60A3"/>
    <w:rsid w:val="006B6285"/>
    <w:rsid w:val="006B6859"/>
    <w:rsid w:val="006B691F"/>
    <w:rsid w:val="006B6A6F"/>
    <w:rsid w:val="006B6CBE"/>
    <w:rsid w:val="006B6DD5"/>
    <w:rsid w:val="006B70E7"/>
    <w:rsid w:val="006B7380"/>
    <w:rsid w:val="006B7465"/>
    <w:rsid w:val="006B75DC"/>
    <w:rsid w:val="006B772C"/>
    <w:rsid w:val="006B7862"/>
    <w:rsid w:val="006B7AC6"/>
    <w:rsid w:val="006B7FB7"/>
    <w:rsid w:val="006B7FE3"/>
    <w:rsid w:val="006C0989"/>
    <w:rsid w:val="006C09D6"/>
    <w:rsid w:val="006C0B33"/>
    <w:rsid w:val="006C0D58"/>
    <w:rsid w:val="006C0DCB"/>
    <w:rsid w:val="006C103A"/>
    <w:rsid w:val="006C13EC"/>
    <w:rsid w:val="006C155B"/>
    <w:rsid w:val="006C1650"/>
    <w:rsid w:val="006C1654"/>
    <w:rsid w:val="006C18FF"/>
    <w:rsid w:val="006C1933"/>
    <w:rsid w:val="006C197E"/>
    <w:rsid w:val="006C20B6"/>
    <w:rsid w:val="006C245E"/>
    <w:rsid w:val="006C287F"/>
    <w:rsid w:val="006C2B6B"/>
    <w:rsid w:val="006C3467"/>
    <w:rsid w:val="006C3638"/>
    <w:rsid w:val="006C38A8"/>
    <w:rsid w:val="006C3D68"/>
    <w:rsid w:val="006C3F38"/>
    <w:rsid w:val="006C3F39"/>
    <w:rsid w:val="006C415F"/>
    <w:rsid w:val="006C4236"/>
    <w:rsid w:val="006C44B3"/>
    <w:rsid w:val="006C4547"/>
    <w:rsid w:val="006C47AB"/>
    <w:rsid w:val="006C49D7"/>
    <w:rsid w:val="006C5030"/>
    <w:rsid w:val="006C5214"/>
    <w:rsid w:val="006C55BE"/>
    <w:rsid w:val="006C56E6"/>
    <w:rsid w:val="006C5874"/>
    <w:rsid w:val="006C5DD2"/>
    <w:rsid w:val="006C5FC0"/>
    <w:rsid w:val="006C6243"/>
    <w:rsid w:val="006C6250"/>
    <w:rsid w:val="006C63B6"/>
    <w:rsid w:val="006C651F"/>
    <w:rsid w:val="006C656B"/>
    <w:rsid w:val="006C671A"/>
    <w:rsid w:val="006C6F24"/>
    <w:rsid w:val="006C7061"/>
    <w:rsid w:val="006C711C"/>
    <w:rsid w:val="006D0193"/>
    <w:rsid w:val="006D01F5"/>
    <w:rsid w:val="006D03E1"/>
    <w:rsid w:val="006D0618"/>
    <w:rsid w:val="006D0973"/>
    <w:rsid w:val="006D0F04"/>
    <w:rsid w:val="006D0FDD"/>
    <w:rsid w:val="006D1319"/>
    <w:rsid w:val="006D147C"/>
    <w:rsid w:val="006D1521"/>
    <w:rsid w:val="006D170D"/>
    <w:rsid w:val="006D1926"/>
    <w:rsid w:val="006D1AE2"/>
    <w:rsid w:val="006D1B63"/>
    <w:rsid w:val="006D1BCB"/>
    <w:rsid w:val="006D1C77"/>
    <w:rsid w:val="006D1E34"/>
    <w:rsid w:val="006D252E"/>
    <w:rsid w:val="006D25A3"/>
    <w:rsid w:val="006D2896"/>
    <w:rsid w:val="006D28B1"/>
    <w:rsid w:val="006D2FCD"/>
    <w:rsid w:val="006D306C"/>
    <w:rsid w:val="006D35BD"/>
    <w:rsid w:val="006D35DB"/>
    <w:rsid w:val="006D372D"/>
    <w:rsid w:val="006D37D2"/>
    <w:rsid w:val="006D3C31"/>
    <w:rsid w:val="006D3E0F"/>
    <w:rsid w:val="006D3E91"/>
    <w:rsid w:val="006D41D6"/>
    <w:rsid w:val="006D44A0"/>
    <w:rsid w:val="006D44AB"/>
    <w:rsid w:val="006D467A"/>
    <w:rsid w:val="006D48B9"/>
    <w:rsid w:val="006D49CD"/>
    <w:rsid w:val="006D4A88"/>
    <w:rsid w:val="006D4AA2"/>
    <w:rsid w:val="006D4CFD"/>
    <w:rsid w:val="006D4E59"/>
    <w:rsid w:val="006D4ED8"/>
    <w:rsid w:val="006D4F8F"/>
    <w:rsid w:val="006D51BE"/>
    <w:rsid w:val="006D52EA"/>
    <w:rsid w:val="006D54DB"/>
    <w:rsid w:val="006D56CD"/>
    <w:rsid w:val="006D5DAD"/>
    <w:rsid w:val="006D6380"/>
    <w:rsid w:val="006D6BF1"/>
    <w:rsid w:val="006D73DB"/>
    <w:rsid w:val="006E02E3"/>
    <w:rsid w:val="006E0CF3"/>
    <w:rsid w:val="006E0FAB"/>
    <w:rsid w:val="006E11DF"/>
    <w:rsid w:val="006E11E8"/>
    <w:rsid w:val="006E1708"/>
    <w:rsid w:val="006E1972"/>
    <w:rsid w:val="006E1A10"/>
    <w:rsid w:val="006E1B78"/>
    <w:rsid w:val="006E1CCE"/>
    <w:rsid w:val="006E1EA3"/>
    <w:rsid w:val="006E1F14"/>
    <w:rsid w:val="006E1F6B"/>
    <w:rsid w:val="006E1F89"/>
    <w:rsid w:val="006E2604"/>
    <w:rsid w:val="006E2988"/>
    <w:rsid w:val="006E2A68"/>
    <w:rsid w:val="006E2B0D"/>
    <w:rsid w:val="006E2ED6"/>
    <w:rsid w:val="006E2F4F"/>
    <w:rsid w:val="006E3598"/>
    <w:rsid w:val="006E363A"/>
    <w:rsid w:val="006E37AA"/>
    <w:rsid w:val="006E38E2"/>
    <w:rsid w:val="006E3BB1"/>
    <w:rsid w:val="006E3C97"/>
    <w:rsid w:val="006E3CBE"/>
    <w:rsid w:val="006E4115"/>
    <w:rsid w:val="006E416B"/>
    <w:rsid w:val="006E43BB"/>
    <w:rsid w:val="006E4AD4"/>
    <w:rsid w:val="006E4BFE"/>
    <w:rsid w:val="006E4D04"/>
    <w:rsid w:val="006E5195"/>
    <w:rsid w:val="006E53AF"/>
    <w:rsid w:val="006E5608"/>
    <w:rsid w:val="006E584A"/>
    <w:rsid w:val="006E5B53"/>
    <w:rsid w:val="006E5BD3"/>
    <w:rsid w:val="006E6002"/>
    <w:rsid w:val="006E619F"/>
    <w:rsid w:val="006E624D"/>
    <w:rsid w:val="006E6765"/>
    <w:rsid w:val="006E691A"/>
    <w:rsid w:val="006E6A0C"/>
    <w:rsid w:val="006E6A14"/>
    <w:rsid w:val="006E6A33"/>
    <w:rsid w:val="006E6B48"/>
    <w:rsid w:val="006E6C03"/>
    <w:rsid w:val="006E6D63"/>
    <w:rsid w:val="006E6F2C"/>
    <w:rsid w:val="006E6FF1"/>
    <w:rsid w:val="006E7180"/>
    <w:rsid w:val="006E721F"/>
    <w:rsid w:val="006E72AB"/>
    <w:rsid w:val="006E75F9"/>
    <w:rsid w:val="006E774A"/>
    <w:rsid w:val="006E7B58"/>
    <w:rsid w:val="006E7C93"/>
    <w:rsid w:val="006E7C95"/>
    <w:rsid w:val="006F02FC"/>
    <w:rsid w:val="006F04BD"/>
    <w:rsid w:val="006F1656"/>
    <w:rsid w:val="006F18B4"/>
    <w:rsid w:val="006F1DED"/>
    <w:rsid w:val="006F21A5"/>
    <w:rsid w:val="006F250E"/>
    <w:rsid w:val="006F27D9"/>
    <w:rsid w:val="006F27DA"/>
    <w:rsid w:val="006F2A01"/>
    <w:rsid w:val="006F2B3C"/>
    <w:rsid w:val="006F2B50"/>
    <w:rsid w:val="006F2D87"/>
    <w:rsid w:val="006F2ECF"/>
    <w:rsid w:val="006F3444"/>
    <w:rsid w:val="006F351E"/>
    <w:rsid w:val="006F354E"/>
    <w:rsid w:val="006F3779"/>
    <w:rsid w:val="006F3E5A"/>
    <w:rsid w:val="006F4220"/>
    <w:rsid w:val="006F433B"/>
    <w:rsid w:val="006F46E0"/>
    <w:rsid w:val="006F5054"/>
    <w:rsid w:val="006F5194"/>
    <w:rsid w:val="006F5319"/>
    <w:rsid w:val="006F556F"/>
    <w:rsid w:val="006F55F6"/>
    <w:rsid w:val="006F5B92"/>
    <w:rsid w:val="006F609D"/>
    <w:rsid w:val="006F65AD"/>
    <w:rsid w:val="006F66D8"/>
    <w:rsid w:val="006F6BD5"/>
    <w:rsid w:val="006F6D37"/>
    <w:rsid w:val="006F7012"/>
    <w:rsid w:val="006F7104"/>
    <w:rsid w:val="006F727F"/>
    <w:rsid w:val="006F74E5"/>
    <w:rsid w:val="006F7A5B"/>
    <w:rsid w:val="006F7B4C"/>
    <w:rsid w:val="006F7B71"/>
    <w:rsid w:val="00700020"/>
    <w:rsid w:val="00700040"/>
    <w:rsid w:val="00700283"/>
    <w:rsid w:val="007005ED"/>
    <w:rsid w:val="0070090A"/>
    <w:rsid w:val="00700F09"/>
    <w:rsid w:val="00701013"/>
    <w:rsid w:val="00701020"/>
    <w:rsid w:val="00701159"/>
    <w:rsid w:val="007011BA"/>
    <w:rsid w:val="007011CA"/>
    <w:rsid w:val="00701467"/>
    <w:rsid w:val="007019EA"/>
    <w:rsid w:val="00701F3E"/>
    <w:rsid w:val="007027D3"/>
    <w:rsid w:val="00702F99"/>
    <w:rsid w:val="00702FDF"/>
    <w:rsid w:val="00703455"/>
    <w:rsid w:val="007039FB"/>
    <w:rsid w:val="00703CB5"/>
    <w:rsid w:val="00704174"/>
    <w:rsid w:val="007045F2"/>
    <w:rsid w:val="00704766"/>
    <w:rsid w:val="00704849"/>
    <w:rsid w:val="00704A07"/>
    <w:rsid w:val="00704BD1"/>
    <w:rsid w:val="00704C1B"/>
    <w:rsid w:val="00704F7F"/>
    <w:rsid w:val="00704F98"/>
    <w:rsid w:val="00704FD2"/>
    <w:rsid w:val="0070517F"/>
    <w:rsid w:val="00705190"/>
    <w:rsid w:val="007052AE"/>
    <w:rsid w:val="007052FB"/>
    <w:rsid w:val="007058A5"/>
    <w:rsid w:val="00705B0A"/>
    <w:rsid w:val="00706286"/>
    <w:rsid w:val="00706656"/>
    <w:rsid w:val="00706CDC"/>
    <w:rsid w:val="00706D14"/>
    <w:rsid w:val="00706D16"/>
    <w:rsid w:val="00706DFF"/>
    <w:rsid w:val="00706FDA"/>
    <w:rsid w:val="00707575"/>
    <w:rsid w:val="00707868"/>
    <w:rsid w:val="007079B9"/>
    <w:rsid w:val="00707AAB"/>
    <w:rsid w:val="00707D68"/>
    <w:rsid w:val="007103D3"/>
    <w:rsid w:val="00710719"/>
    <w:rsid w:val="00710CCA"/>
    <w:rsid w:val="00710D14"/>
    <w:rsid w:val="0071114F"/>
    <w:rsid w:val="007113B2"/>
    <w:rsid w:val="007113CC"/>
    <w:rsid w:val="007113ED"/>
    <w:rsid w:val="007118C6"/>
    <w:rsid w:val="00711A4A"/>
    <w:rsid w:val="00711CA7"/>
    <w:rsid w:val="00711DA3"/>
    <w:rsid w:val="00712060"/>
    <w:rsid w:val="00712277"/>
    <w:rsid w:val="0071228A"/>
    <w:rsid w:val="00712433"/>
    <w:rsid w:val="00712852"/>
    <w:rsid w:val="007128BF"/>
    <w:rsid w:val="00712FEC"/>
    <w:rsid w:val="007133FD"/>
    <w:rsid w:val="007136C3"/>
    <w:rsid w:val="00714368"/>
    <w:rsid w:val="00714372"/>
    <w:rsid w:val="00714402"/>
    <w:rsid w:val="007145C1"/>
    <w:rsid w:val="00714635"/>
    <w:rsid w:val="00714715"/>
    <w:rsid w:val="007151AE"/>
    <w:rsid w:val="00715639"/>
    <w:rsid w:val="00715713"/>
    <w:rsid w:val="0071579D"/>
    <w:rsid w:val="00715904"/>
    <w:rsid w:val="00715D21"/>
    <w:rsid w:val="00715DF2"/>
    <w:rsid w:val="00715F46"/>
    <w:rsid w:val="007164A3"/>
    <w:rsid w:val="007168D3"/>
    <w:rsid w:val="00716B9E"/>
    <w:rsid w:val="007170FF"/>
    <w:rsid w:val="0071713A"/>
    <w:rsid w:val="007173B3"/>
    <w:rsid w:val="00717478"/>
    <w:rsid w:val="007174BC"/>
    <w:rsid w:val="0071751B"/>
    <w:rsid w:val="007177BF"/>
    <w:rsid w:val="00717A36"/>
    <w:rsid w:val="00717A64"/>
    <w:rsid w:val="00717AA7"/>
    <w:rsid w:val="007201CF"/>
    <w:rsid w:val="00720E9A"/>
    <w:rsid w:val="00720F52"/>
    <w:rsid w:val="007213D0"/>
    <w:rsid w:val="0072159F"/>
    <w:rsid w:val="007215B5"/>
    <w:rsid w:val="00721A02"/>
    <w:rsid w:val="00721A64"/>
    <w:rsid w:val="00721BF0"/>
    <w:rsid w:val="00721CA1"/>
    <w:rsid w:val="00722010"/>
    <w:rsid w:val="007220F7"/>
    <w:rsid w:val="0072228E"/>
    <w:rsid w:val="00722328"/>
    <w:rsid w:val="007226E6"/>
    <w:rsid w:val="00722DAE"/>
    <w:rsid w:val="0072309A"/>
    <w:rsid w:val="007234AB"/>
    <w:rsid w:val="00723BFB"/>
    <w:rsid w:val="00723C4D"/>
    <w:rsid w:val="00723D62"/>
    <w:rsid w:val="00724339"/>
    <w:rsid w:val="0072442F"/>
    <w:rsid w:val="00724623"/>
    <w:rsid w:val="0072483E"/>
    <w:rsid w:val="00724B21"/>
    <w:rsid w:val="00724D9D"/>
    <w:rsid w:val="00724E16"/>
    <w:rsid w:val="0072504A"/>
    <w:rsid w:val="0072562F"/>
    <w:rsid w:val="007256E5"/>
    <w:rsid w:val="007257E3"/>
    <w:rsid w:val="00725A9A"/>
    <w:rsid w:val="00725E20"/>
    <w:rsid w:val="007260A1"/>
    <w:rsid w:val="0072626E"/>
    <w:rsid w:val="00726441"/>
    <w:rsid w:val="00726515"/>
    <w:rsid w:val="007269FA"/>
    <w:rsid w:val="00726D20"/>
    <w:rsid w:val="00726E31"/>
    <w:rsid w:val="00726EF0"/>
    <w:rsid w:val="00727446"/>
    <w:rsid w:val="00727522"/>
    <w:rsid w:val="007276C8"/>
    <w:rsid w:val="00727F09"/>
    <w:rsid w:val="00730093"/>
    <w:rsid w:val="0073013D"/>
    <w:rsid w:val="0073064B"/>
    <w:rsid w:val="007307DF"/>
    <w:rsid w:val="007308CC"/>
    <w:rsid w:val="0073098E"/>
    <w:rsid w:val="007309ED"/>
    <w:rsid w:val="0073120B"/>
    <w:rsid w:val="00731437"/>
    <w:rsid w:val="0073144F"/>
    <w:rsid w:val="00731776"/>
    <w:rsid w:val="00731DF4"/>
    <w:rsid w:val="00731F7D"/>
    <w:rsid w:val="00732389"/>
    <w:rsid w:val="00732488"/>
    <w:rsid w:val="00732912"/>
    <w:rsid w:val="00732A8D"/>
    <w:rsid w:val="00732D9E"/>
    <w:rsid w:val="00732ECD"/>
    <w:rsid w:val="007332E1"/>
    <w:rsid w:val="00733331"/>
    <w:rsid w:val="00733365"/>
    <w:rsid w:val="007336AA"/>
    <w:rsid w:val="007336F8"/>
    <w:rsid w:val="00733893"/>
    <w:rsid w:val="007339D7"/>
    <w:rsid w:val="00734391"/>
    <w:rsid w:val="00734F1F"/>
    <w:rsid w:val="00735283"/>
    <w:rsid w:val="00735607"/>
    <w:rsid w:val="007358B2"/>
    <w:rsid w:val="007359B3"/>
    <w:rsid w:val="00735C04"/>
    <w:rsid w:val="00735D19"/>
    <w:rsid w:val="00736006"/>
    <w:rsid w:val="0073629D"/>
    <w:rsid w:val="0073663C"/>
    <w:rsid w:val="0073690B"/>
    <w:rsid w:val="00736BE5"/>
    <w:rsid w:val="00736BED"/>
    <w:rsid w:val="00736BF9"/>
    <w:rsid w:val="00737022"/>
    <w:rsid w:val="007372B2"/>
    <w:rsid w:val="00737BC7"/>
    <w:rsid w:val="00737F14"/>
    <w:rsid w:val="0074001F"/>
    <w:rsid w:val="007401CB"/>
    <w:rsid w:val="00740AE3"/>
    <w:rsid w:val="00740DBD"/>
    <w:rsid w:val="00740EC3"/>
    <w:rsid w:val="00740F8A"/>
    <w:rsid w:val="0074142B"/>
    <w:rsid w:val="0074146B"/>
    <w:rsid w:val="00741CD5"/>
    <w:rsid w:val="00741DDE"/>
    <w:rsid w:val="00741E10"/>
    <w:rsid w:val="007421C1"/>
    <w:rsid w:val="0074243B"/>
    <w:rsid w:val="0074268D"/>
    <w:rsid w:val="00742868"/>
    <w:rsid w:val="00742AFE"/>
    <w:rsid w:val="00742BF6"/>
    <w:rsid w:val="00743042"/>
    <w:rsid w:val="0074307C"/>
    <w:rsid w:val="0074325B"/>
    <w:rsid w:val="00743E8C"/>
    <w:rsid w:val="00743EFC"/>
    <w:rsid w:val="00744138"/>
    <w:rsid w:val="007447D4"/>
    <w:rsid w:val="00744A3C"/>
    <w:rsid w:val="00744C72"/>
    <w:rsid w:val="00744C85"/>
    <w:rsid w:val="007453B2"/>
    <w:rsid w:val="00745781"/>
    <w:rsid w:val="00745853"/>
    <w:rsid w:val="00745894"/>
    <w:rsid w:val="007458A1"/>
    <w:rsid w:val="0074604A"/>
    <w:rsid w:val="00746385"/>
    <w:rsid w:val="007465CD"/>
    <w:rsid w:val="00746A02"/>
    <w:rsid w:val="00746A65"/>
    <w:rsid w:val="00746EFA"/>
    <w:rsid w:val="00747052"/>
    <w:rsid w:val="00747095"/>
    <w:rsid w:val="00747173"/>
    <w:rsid w:val="00747286"/>
    <w:rsid w:val="00747296"/>
    <w:rsid w:val="007472D2"/>
    <w:rsid w:val="007474FC"/>
    <w:rsid w:val="007475B7"/>
    <w:rsid w:val="00747643"/>
    <w:rsid w:val="00747925"/>
    <w:rsid w:val="00747CB9"/>
    <w:rsid w:val="00747D8C"/>
    <w:rsid w:val="00747E21"/>
    <w:rsid w:val="00747E43"/>
    <w:rsid w:val="00750067"/>
    <w:rsid w:val="00750192"/>
    <w:rsid w:val="00750254"/>
    <w:rsid w:val="007508B8"/>
    <w:rsid w:val="00750F6A"/>
    <w:rsid w:val="00750FE3"/>
    <w:rsid w:val="00751660"/>
    <w:rsid w:val="00751956"/>
    <w:rsid w:val="00751A24"/>
    <w:rsid w:val="00751AB8"/>
    <w:rsid w:val="00751EE2"/>
    <w:rsid w:val="00751F02"/>
    <w:rsid w:val="00752700"/>
    <w:rsid w:val="00752799"/>
    <w:rsid w:val="00752804"/>
    <w:rsid w:val="00752A55"/>
    <w:rsid w:val="00752B55"/>
    <w:rsid w:val="00752B70"/>
    <w:rsid w:val="00753851"/>
    <w:rsid w:val="00753B20"/>
    <w:rsid w:val="00753CBF"/>
    <w:rsid w:val="007543DC"/>
    <w:rsid w:val="007545E0"/>
    <w:rsid w:val="00754A4C"/>
    <w:rsid w:val="00754A67"/>
    <w:rsid w:val="00754BDF"/>
    <w:rsid w:val="00754C11"/>
    <w:rsid w:val="00754D80"/>
    <w:rsid w:val="00755053"/>
    <w:rsid w:val="0075519F"/>
    <w:rsid w:val="007557A1"/>
    <w:rsid w:val="0075649A"/>
    <w:rsid w:val="00756558"/>
    <w:rsid w:val="00756864"/>
    <w:rsid w:val="00756A01"/>
    <w:rsid w:val="00756C62"/>
    <w:rsid w:val="00756E05"/>
    <w:rsid w:val="007573D4"/>
    <w:rsid w:val="007576D0"/>
    <w:rsid w:val="00757BDE"/>
    <w:rsid w:val="00757F88"/>
    <w:rsid w:val="007601A9"/>
    <w:rsid w:val="00760A4E"/>
    <w:rsid w:val="00760D0A"/>
    <w:rsid w:val="00760F2B"/>
    <w:rsid w:val="0076120E"/>
    <w:rsid w:val="00761438"/>
    <w:rsid w:val="00761648"/>
    <w:rsid w:val="0076167D"/>
    <w:rsid w:val="00761767"/>
    <w:rsid w:val="007617DF"/>
    <w:rsid w:val="00761BD3"/>
    <w:rsid w:val="00761C1E"/>
    <w:rsid w:val="00762020"/>
    <w:rsid w:val="00762184"/>
    <w:rsid w:val="007624C2"/>
    <w:rsid w:val="00762550"/>
    <w:rsid w:val="0076286D"/>
    <w:rsid w:val="0076295B"/>
    <w:rsid w:val="00762CFC"/>
    <w:rsid w:val="00763229"/>
    <w:rsid w:val="0076327E"/>
    <w:rsid w:val="0076330B"/>
    <w:rsid w:val="00763314"/>
    <w:rsid w:val="0076363A"/>
    <w:rsid w:val="0076364B"/>
    <w:rsid w:val="007636F5"/>
    <w:rsid w:val="0076370D"/>
    <w:rsid w:val="00763900"/>
    <w:rsid w:val="00763BBB"/>
    <w:rsid w:val="00763CB5"/>
    <w:rsid w:val="0076405D"/>
    <w:rsid w:val="0076418B"/>
    <w:rsid w:val="00764ADF"/>
    <w:rsid w:val="00764D97"/>
    <w:rsid w:val="007652D6"/>
    <w:rsid w:val="00765B04"/>
    <w:rsid w:val="007661B9"/>
    <w:rsid w:val="007663EC"/>
    <w:rsid w:val="00766446"/>
    <w:rsid w:val="00766D74"/>
    <w:rsid w:val="00766E5F"/>
    <w:rsid w:val="00767827"/>
    <w:rsid w:val="00767949"/>
    <w:rsid w:val="00767D48"/>
    <w:rsid w:val="007702B4"/>
    <w:rsid w:val="0077032D"/>
    <w:rsid w:val="007706BC"/>
    <w:rsid w:val="00770716"/>
    <w:rsid w:val="0077077A"/>
    <w:rsid w:val="007709A3"/>
    <w:rsid w:val="007709F0"/>
    <w:rsid w:val="00770A3B"/>
    <w:rsid w:val="00770AC6"/>
    <w:rsid w:val="00770B1A"/>
    <w:rsid w:val="00770CE0"/>
    <w:rsid w:val="00770EBB"/>
    <w:rsid w:val="00770F17"/>
    <w:rsid w:val="007710F6"/>
    <w:rsid w:val="00771301"/>
    <w:rsid w:val="00771478"/>
    <w:rsid w:val="00771584"/>
    <w:rsid w:val="007717DB"/>
    <w:rsid w:val="00771B76"/>
    <w:rsid w:val="00771D19"/>
    <w:rsid w:val="00771E33"/>
    <w:rsid w:val="00771EC0"/>
    <w:rsid w:val="00772840"/>
    <w:rsid w:val="00772E3D"/>
    <w:rsid w:val="00773397"/>
    <w:rsid w:val="007735F1"/>
    <w:rsid w:val="00773CD6"/>
    <w:rsid w:val="00773CFB"/>
    <w:rsid w:val="00773F09"/>
    <w:rsid w:val="007740DB"/>
    <w:rsid w:val="00774723"/>
    <w:rsid w:val="00774992"/>
    <w:rsid w:val="00774F01"/>
    <w:rsid w:val="007752EE"/>
    <w:rsid w:val="00775688"/>
    <w:rsid w:val="00775B3A"/>
    <w:rsid w:val="00775B4A"/>
    <w:rsid w:val="00775B80"/>
    <w:rsid w:val="007764E0"/>
    <w:rsid w:val="007766E4"/>
    <w:rsid w:val="007766FD"/>
    <w:rsid w:val="007767AC"/>
    <w:rsid w:val="0077699F"/>
    <w:rsid w:val="00776A53"/>
    <w:rsid w:val="00776C15"/>
    <w:rsid w:val="00776D33"/>
    <w:rsid w:val="00776D4B"/>
    <w:rsid w:val="00777AA8"/>
    <w:rsid w:val="00777AF9"/>
    <w:rsid w:val="00777F01"/>
    <w:rsid w:val="00777F22"/>
    <w:rsid w:val="0078053C"/>
    <w:rsid w:val="007805F8"/>
    <w:rsid w:val="007806D3"/>
    <w:rsid w:val="00780C31"/>
    <w:rsid w:val="0078100B"/>
    <w:rsid w:val="00781783"/>
    <w:rsid w:val="00781974"/>
    <w:rsid w:val="00781A2D"/>
    <w:rsid w:val="00781B08"/>
    <w:rsid w:val="00781C55"/>
    <w:rsid w:val="00782365"/>
    <w:rsid w:val="007826A4"/>
    <w:rsid w:val="00782783"/>
    <w:rsid w:val="00782A2E"/>
    <w:rsid w:val="00782C42"/>
    <w:rsid w:val="00782EF3"/>
    <w:rsid w:val="007834DB"/>
    <w:rsid w:val="007837DE"/>
    <w:rsid w:val="00783A4B"/>
    <w:rsid w:val="00783A6A"/>
    <w:rsid w:val="00783CA7"/>
    <w:rsid w:val="00784132"/>
    <w:rsid w:val="0078478A"/>
    <w:rsid w:val="00784A0F"/>
    <w:rsid w:val="00784A4E"/>
    <w:rsid w:val="00784B6A"/>
    <w:rsid w:val="00784E6F"/>
    <w:rsid w:val="0078506A"/>
    <w:rsid w:val="0078567C"/>
    <w:rsid w:val="007856BC"/>
    <w:rsid w:val="007858A1"/>
    <w:rsid w:val="0078590E"/>
    <w:rsid w:val="00785AAE"/>
    <w:rsid w:val="00785F2D"/>
    <w:rsid w:val="00785F63"/>
    <w:rsid w:val="0078659A"/>
    <w:rsid w:val="00786810"/>
    <w:rsid w:val="007868D1"/>
    <w:rsid w:val="00786D70"/>
    <w:rsid w:val="00786EAE"/>
    <w:rsid w:val="00787141"/>
    <w:rsid w:val="00787561"/>
    <w:rsid w:val="007878CF"/>
    <w:rsid w:val="00787B8A"/>
    <w:rsid w:val="00787BEB"/>
    <w:rsid w:val="00787E09"/>
    <w:rsid w:val="00790518"/>
    <w:rsid w:val="0079054B"/>
    <w:rsid w:val="00790573"/>
    <w:rsid w:val="007906A8"/>
    <w:rsid w:val="007907CC"/>
    <w:rsid w:val="007908AC"/>
    <w:rsid w:val="007909A5"/>
    <w:rsid w:val="00790A24"/>
    <w:rsid w:val="00790A8A"/>
    <w:rsid w:val="00791AA5"/>
    <w:rsid w:val="00791B5F"/>
    <w:rsid w:val="00791FA0"/>
    <w:rsid w:val="007921AF"/>
    <w:rsid w:val="007921BA"/>
    <w:rsid w:val="00792358"/>
    <w:rsid w:val="007925C8"/>
    <w:rsid w:val="00792B70"/>
    <w:rsid w:val="00792D28"/>
    <w:rsid w:val="00792D65"/>
    <w:rsid w:val="00792EE2"/>
    <w:rsid w:val="00793657"/>
    <w:rsid w:val="00793A36"/>
    <w:rsid w:val="00793CE9"/>
    <w:rsid w:val="00793DAC"/>
    <w:rsid w:val="007945B4"/>
    <w:rsid w:val="007945DA"/>
    <w:rsid w:val="007946AC"/>
    <w:rsid w:val="0079481F"/>
    <w:rsid w:val="00794880"/>
    <w:rsid w:val="007948EE"/>
    <w:rsid w:val="00794B0B"/>
    <w:rsid w:val="00794D12"/>
    <w:rsid w:val="00794EA5"/>
    <w:rsid w:val="00794ECD"/>
    <w:rsid w:val="007950E2"/>
    <w:rsid w:val="0079542D"/>
    <w:rsid w:val="00795556"/>
    <w:rsid w:val="0079588C"/>
    <w:rsid w:val="00795A82"/>
    <w:rsid w:val="00795A8A"/>
    <w:rsid w:val="00795D26"/>
    <w:rsid w:val="007960BA"/>
    <w:rsid w:val="00796867"/>
    <w:rsid w:val="00796BDA"/>
    <w:rsid w:val="00796FB4"/>
    <w:rsid w:val="007971AF"/>
    <w:rsid w:val="007972BD"/>
    <w:rsid w:val="0079799E"/>
    <w:rsid w:val="00797A62"/>
    <w:rsid w:val="00797CE1"/>
    <w:rsid w:val="00797DBF"/>
    <w:rsid w:val="00797E66"/>
    <w:rsid w:val="007A00BB"/>
    <w:rsid w:val="007A018D"/>
    <w:rsid w:val="007A030E"/>
    <w:rsid w:val="007A0391"/>
    <w:rsid w:val="007A0464"/>
    <w:rsid w:val="007A0767"/>
    <w:rsid w:val="007A0E07"/>
    <w:rsid w:val="007A147F"/>
    <w:rsid w:val="007A17DE"/>
    <w:rsid w:val="007A1BAA"/>
    <w:rsid w:val="007A1C19"/>
    <w:rsid w:val="007A1C5F"/>
    <w:rsid w:val="007A2527"/>
    <w:rsid w:val="007A2757"/>
    <w:rsid w:val="007A2A65"/>
    <w:rsid w:val="007A2D8F"/>
    <w:rsid w:val="007A3600"/>
    <w:rsid w:val="007A3740"/>
    <w:rsid w:val="007A3BA7"/>
    <w:rsid w:val="007A3DFE"/>
    <w:rsid w:val="007A41FA"/>
    <w:rsid w:val="007A44CE"/>
    <w:rsid w:val="007A4888"/>
    <w:rsid w:val="007A5009"/>
    <w:rsid w:val="007A505F"/>
    <w:rsid w:val="007A53EC"/>
    <w:rsid w:val="007A5E90"/>
    <w:rsid w:val="007A5EB0"/>
    <w:rsid w:val="007A5F58"/>
    <w:rsid w:val="007A60D4"/>
    <w:rsid w:val="007A64DC"/>
    <w:rsid w:val="007A65AA"/>
    <w:rsid w:val="007A6DA8"/>
    <w:rsid w:val="007A6E62"/>
    <w:rsid w:val="007A7139"/>
    <w:rsid w:val="007A76EF"/>
    <w:rsid w:val="007A78DE"/>
    <w:rsid w:val="007A790E"/>
    <w:rsid w:val="007A7944"/>
    <w:rsid w:val="007A7AE8"/>
    <w:rsid w:val="007A7E39"/>
    <w:rsid w:val="007A7E72"/>
    <w:rsid w:val="007B026E"/>
    <w:rsid w:val="007B0A4E"/>
    <w:rsid w:val="007B0A99"/>
    <w:rsid w:val="007B0DC0"/>
    <w:rsid w:val="007B0DE6"/>
    <w:rsid w:val="007B1032"/>
    <w:rsid w:val="007B1285"/>
    <w:rsid w:val="007B153E"/>
    <w:rsid w:val="007B19CD"/>
    <w:rsid w:val="007B1EFA"/>
    <w:rsid w:val="007B2172"/>
    <w:rsid w:val="007B284A"/>
    <w:rsid w:val="007B288C"/>
    <w:rsid w:val="007B29A6"/>
    <w:rsid w:val="007B31A6"/>
    <w:rsid w:val="007B3554"/>
    <w:rsid w:val="007B3710"/>
    <w:rsid w:val="007B3766"/>
    <w:rsid w:val="007B3AF1"/>
    <w:rsid w:val="007B4229"/>
    <w:rsid w:val="007B424D"/>
    <w:rsid w:val="007B435B"/>
    <w:rsid w:val="007B49E2"/>
    <w:rsid w:val="007B4E32"/>
    <w:rsid w:val="007B50BF"/>
    <w:rsid w:val="007B5104"/>
    <w:rsid w:val="007B51D7"/>
    <w:rsid w:val="007B5A6E"/>
    <w:rsid w:val="007B5DA9"/>
    <w:rsid w:val="007B6391"/>
    <w:rsid w:val="007B63AA"/>
    <w:rsid w:val="007B63DB"/>
    <w:rsid w:val="007B6906"/>
    <w:rsid w:val="007B6990"/>
    <w:rsid w:val="007B6CCE"/>
    <w:rsid w:val="007B6D21"/>
    <w:rsid w:val="007B6F0F"/>
    <w:rsid w:val="007B708B"/>
    <w:rsid w:val="007B71B3"/>
    <w:rsid w:val="007B720C"/>
    <w:rsid w:val="007B724E"/>
    <w:rsid w:val="007B75C1"/>
    <w:rsid w:val="007B787E"/>
    <w:rsid w:val="007B7933"/>
    <w:rsid w:val="007B7F4B"/>
    <w:rsid w:val="007BF0F8"/>
    <w:rsid w:val="007C024A"/>
    <w:rsid w:val="007C03F8"/>
    <w:rsid w:val="007C05A7"/>
    <w:rsid w:val="007C05E1"/>
    <w:rsid w:val="007C06C8"/>
    <w:rsid w:val="007C0A42"/>
    <w:rsid w:val="007C110B"/>
    <w:rsid w:val="007C136F"/>
    <w:rsid w:val="007C13ED"/>
    <w:rsid w:val="007C1434"/>
    <w:rsid w:val="007C15B0"/>
    <w:rsid w:val="007C164B"/>
    <w:rsid w:val="007C1951"/>
    <w:rsid w:val="007C1A89"/>
    <w:rsid w:val="007C1C66"/>
    <w:rsid w:val="007C22E7"/>
    <w:rsid w:val="007C269B"/>
    <w:rsid w:val="007C276D"/>
    <w:rsid w:val="007C27E1"/>
    <w:rsid w:val="007C29AF"/>
    <w:rsid w:val="007C2B48"/>
    <w:rsid w:val="007C2F20"/>
    <w:rsid w:val="007C2F4C"/>
    <w:rsid w:val="007C2F9D"/>
    <w:rsid w:val="007C36D3"/>
    <w:rsid w:val="007C36EB"/>
    <w:rsid w:val="007C3E48"/>
    <w:rsid w:val="007C40DC"/>
    <w:rsid w:val="007C42C1"/>
    <w:rsid w:val="007C431A"/>
    <w:rsid w:val="007C4334"/>
    <w:rsid w:val="007C4A69"/>
    <w:rsid w:val="007C552E"/>
    <w:rsid w:val="007C5646"/>
    <w:rsid w:val="007C5B0D"/>
    <w:rsid w:val="007C5D20"/>
    <w:rsid w:val="007C618B"/>
    <w:rsid w:val="007C6355"/>
    <w:rsid w:val="007C65C1"/>
    <w:rsid w:val="007C6AB9"/>
    <w:rsid w:val="007C6BBA"/>
    <w:rsid w:val="007C6D10"/>
    <w:rsid w:val="007C7079"/>
    <w:rsid w:val="007C7752"/>
    <w:rsid w:val="007C7CD0"/>
    <w:rsid w:val="007C7F12"/>
    <w:rsid w:val="007D03EF"/>
    <w:rsid w:val="007D056F"/>
    <w:rsid w:val="007D06E3"/>
    <w:rsid w:val="007D0738"/>
    <w:rsid w:val="007D0924"/>
    <w:rsid w:val="007D0DA1"/>
    <w:rsid w:val="007D11C2"/>
    <w:rsid w:val="007D12BE"/>
    <w:rsid w:val="007D17F2"/>
    <w:rsid w:val="007D1A12"/>
    <w:rsid w:val="007D1E59"/>
    <w:rsid w:val="007D1E71"/>
    <w:rsid w:val="007D23DD"/>
    <w:rsid w:val="007D24B4"/>
    <w:rsid w:val="007D251E"/>
    <w:rsid w:val="007D296C"/>
    <w:rsid w:val="007D2BA3"/>
    <w:rsid w:val="007D2F10"/>
    <w:rsid w:val="007D2F6B"/>
    <w:rsid w:val="007D30E1"/>
    <w:rsid w:val="007D3123"/>
    <w:rsid w:val="007D3152"/>
    <w:rsid w:val="007D3215"/>
    <w:rsid w:val="007D3270"/>
    <w:rsid w:val="007D34B4"/>
    <w:rsid w:val="007D35DE"/>
    <w:rsid w:val="007D3A50"/>
    <w:rsid w:val="007D3BD0"/>
    <w:rsid w:val="007D3EF1"/>
    <w:rsid w:val="007D3F4C"/>
    <w:rsid w:val="007D4106"/>
    <w:rsid w:val="007D4115"/>
    <w:rsid w:val="007D47CF"/>
    <w:rsid w:val="007D497F"/>
    <w:rsid w:val="007D4C49"/>
    <w:rsid w:val="007D50D8"/>
    <w:rsid w:val="007D51AA"/>
    <w:rsid w:val="007D51EF"/>
    <w:rsid w:val="007D5653"/>
    <w:rsid w:val="007D571B"/>
    <w:rsid w:val="007D5843"/>
    <w:rsid w:val="007D59C9"/>
    <w:rsid w:val="007D59F2"/>
    <w:rsid w:val="007D5AA8"/>
    <w:rsid w:val="007D5FA6"/>
    <w:rsid w:val="007D60A0"/>
    <w:rsid w:val="007D61C7"/>
    <w:rsid w:val="007D68B7"/>
    <w:rsid w:val="007D6B92"/>
    <w:rsid w:val="007D6B93"/>
    <w:rsid w:val="007D6C01"/>
    <w:rsid w:val="007D70EA"/>
    <w:rsid w:val="007D72EB"/>
    <w:rsid w:val="007D75AE"/>
    <w:rsid w:val="007D768E"/>
    <w:rsid w:val="007D76DB"/>
    <w:rsid w:val="007D7BC2"/>
    <w:rsid w:val="007D7F78"/>
    <w:rsid w:val="007D7FFC"/>
    <w:rsid w:val="007E02FB"/>
    <w:rsid w:val="007E030D"/>
    <w:rsid w:val="007E0870"/>
    <w:rsid w:val="007E14FE"/>
    <w:rsid w:val="007E16E5"/>
    <w:rsid w:val="007E196C"/>
    <w:rsid w:val="007E1D14"/>
    <w:rsid w:val="007E2878"/>
    <w:rsid w:val="007E30ED"/>
    <w:rsid w:val="007E3226"/>
    <w:rsid w:val="007E33A0"/>
    <w:rsid w:val="007E377A"/>
    <w:rsid w:val="007E399B"/>
    <w:rsid w:val="007E3D89"/>
    <w:rsid w:val="007E3DBD"/>
    <w:rsid w:val="007E3EB7"/>
    <w:rsid w:val="007E43D2"/>
    <w:rsid w:val="007E47BE"/>
    <w:rsid w:val="007E4B1B"/>
    <w:rsid w:val="007E4BE8"/>
    <w:rsid w:val="007E5062"/>
    <w:rsid w:val="007E50B0"/>
    <w:rsid w:val="007E5243"/>
    <w:rsid w:val="007E5C38"/>
    <w:rsid w:val="007E5C89"/>
    <w:rsid w:val="007E5DC2"/>
    <w:rsid w:val="007E5DD3"/>
    <w:rsid w:val="007E62BF"/>
    <w:rsid w:val="007E7443"/>
    <w:rsid w:val="007E7673"/>
    <w:rsid w:val="007E7936"/>
    <w:rsid w:val="007E7A05"/>
    <w:rsid w:val="007E7C3C"/>
    <w:rsid w:val="007E7D63"/>
    <w:rsid w:val="007E7E9E"/>
    <w:rsid w:val="007F0606"/>
    <w:rsid w:val="007F0809"/>
    <w:rsid w:val="007F0B9E"/>
    <w:rsid w:val="007F0D21"/>
    <w:rsid w:val="007F0F54"/>
    <w:rsid w:val="007F1526"/>
    <w:rsid w:val="007F17D1"/>
    <w:rsid w:val="007F1A74"/>
    <w:rsid w:val="007F1C50"/>
    <w:rsid w:val="007F1DE6"/>
    <w:rsid w:val="007F2042"/>
    <w:rsid w:val="007F20DB"/>
    <w:rsid w:val="007F2211"/>
    <w:rsid w:val="007F22D0"/>
    <w:rsid w:val="007F25F1"/>
    <w:rsid w:val="007F2736"/>
    <w:rsid w:val="007F2AD9"/>
    <w:rsid w:val="007F2BAE"/>
    <w:rsid w:val="007F333B"/>
    <w:rsid w:val="007F3565"/>
    <w:rsid w:val="007F360E"/>
    <w:rsid w:val="007F3CDA"/>
    <w:rsid w:val="007F3DA0"/>
    <w:rsid w:val="007F3EEC"/>
    <w:rsid w:val="007F4B53"/>
    <w:rsid w:val="007F4BB3"/>
    <w:rsid w:val="007F57D4"/>
    <w:rsid w:val="007F5886"/>
    <w:rsid w:val="007F5A22"/>
    <w:rsid w:val="007F5AB0"/>
    <w:rsid w:val="007F5C0F"/>
    <w:rsid w:val="007F5CC0"/>
    <w:rsid w:val="007F62CF"/>
    <w:rsid w:val="007F6354"/>
    <w:rsid w:val="007F642D"/>
    <w:rsid w:val="007F657B"/>
    <w:rsid w:val="007F65C0"/>
    <w:rsid w:val="007F6614"/>
    <w:rsid w:val="007F663B"/>
    <w:rsid w:val="007F6B14"/>
    <w:rsid w:val="007F6C3F"/>
    <w:rsid w:val="007F6E9A"/>
    <w:rsid w:val="007F71C6"/>
    <w:rsid w:val="007F72B5"/>
    <w:rsid w:val="007F7709"/>
    <w:rsid w:val="008006C6"/>
    <w:rsid w:val="008008C3"/>
    <w:rsid w:val="00800971"/>
    <w:rsid w:val="00801064"/>
    <w:rsid w:val="008013FF"/>
    <w:rsid w:val="0080185D"/>
    <w:rsid w:val="0080197F"/>
    <w:rsid w:val="00801AEB"/>
    <w:rsid w:val="00801D6C"/>
    <w:rsid w:val="00801D97"/>
    <w:rsid w:val="00801DBE"/>
    <w:rsid w:val="008030EE"/>
    <w:rsid w:val="008033E2"/>
    <w:rsid w:val="00803466"/>
    <w:rsid w:val="008035D8"/>
    <w:rsid w:val="00803778"/>
    <w:rsid w:val="00803C46"/>
    <w:rsid w:val="00803C87"/>
    <w:rsid w:val="00803DFA"/>
    <w:rsid w:val="00804209"/>
    <w:rsid w:val="00804525"/>
    <w:rsid w:val="00804767"/>
    <w:rsid w:val="00804B41"/>
    <w:rsid w:val="0080509B"/>
    <w:rsid w:val="008059E0"/>
    <w:rsid w:val="00805BCE"/>
    <w:rsid w:val="00806098"/>
    <w:rsid w:val="008066E9"/>
    <w:rsid w:val="00806807"/>
    <w:rsid w:val="0080682D"/>
    <w:rsid w:val="0080702E"/>
    <w:rsid w:val="008071D4"/>
    <w:rsid w:val="00807324"/>
    <w:rsid w:val="0080741E"/>
    <w:rsid w:val="00807445"/>
    <w:rsid w:val="008075DA"/>
    <w:rsid w:val="008078A9"/>
    <w:rsid w:val="0081044C"/>
    <w:rsid w:val="00811005"/>
    <w:rsid w:val="0081113C"/>
    <w:rsid w:val="00811165"/>
    <w:rsid w:val="008118BE"/>
    <w:rsid w:val="00811DF0"/>
    <w:rsid w:val="00811EF1"/>
    <w:rsid w:val="008120A4"/>
    <w:rsid w:val="00812376"/>
    <w:rsid w:val="0081256C"/>
    <w:rsid w:val="00812727"/>
    <w:rsid w:val="00812883"/>
    <w:rsid w:val="00812C53"/>
    <w:rsid w:val="0081324A"/>
    <w:rsid w:val="00813507"/>
    <w:rsid w:val="008135C4"/>
    <w:rsid w:val="0081391A"/>
    <w:rsid w:val="00813AB6"/>
    <w:rsid w:val="00814187"/>
    <w:rsid w:val="008145A3"/>
    <w:rsid w:val="008145DD"/>
    <w:rsid w:val="008147A4"/>
    <w:rsid w:val="00814DCD"/>
    <w:rsid w:val="00814DED"/>
    <w:rsid w:val="0081501D"/>
    <w:rsid w:val="00815725"/>
    <w:rsid w:val="008157CE"/>
    <w:rsid w:val="00816037"/>
    <w:rsid w:val="00816A14"/>
    <w:rsid w:val="00816D67"/>
    <w:rsid w:val="0081723A"/>
    <w:rsid w:val="0081738F"/>
    <w:rsid w:val="00817641"/>
    <w:rsid w:val="008177C6"/>
    <w:rsid w:val="00817B01"/>
    <w:rsid w:val="00817F19"/>
    <w:rsid w:val="0082007F"/>
    <w:rsid w:val="008200C8"/>
    <w:rsid w:val="008203BA"/>
    <w:rsid w:val="008205DF"/>
    <w:rsid w:val="008208DA"/>
    <w:rsid w:val="008208F9"/>
    <w:rsid w:val="00820B05"/>
    <w:rsid w:val="00820C6A"/>
    <w:rsid w:val="00821223"/>
    <w:rsid w:val="00821498"/>
    <w:rsid w:val="008214E7"/>
    <w:rsid w:val="00821612"/>
    <w:rsid w:val="008218FB"/>
    <w:rsid w:val="008219E4"/>
    <w:rsid w:val="00821D86"/>
    <w:rsid w:val="0082203A"/>
    <w:rsid w:val="008223B8"/>
    <w:rsid w:val="0082240F"/>
    <w:rsid w:val="008228D9"/>
    <w:rsid w:val="00822A20"/>
    <w:rsid w:val="00822EDF"/>
    <w:rsid w:val="008230EE"/>
    <w:rsid w:val="00823223"/>
    <w:rsid w:val="008233EB"/>
    <w:rsid w:val="00823696"/>
    <w:rsid w:val="00823CED"/>
    <w:rsid w:val="00823D50"/>
    <w:rsid w:val="00823F02"/>
    <w:rsid w:val="00823FB3"/>
    <w:rsid w:val="00823FDF"/>
    <w:rsid w:val="0082447F"/>
    <w:rsid w:val="008245BB"/>
    <w:rsid w:val="00824915"/>
    <w:rsid w:val="00824A9D"/>
    <w:rsid w:val="00824C66"/>
    <w:rsid w:val="00824E8E"/>
    <w:rsid w:val="008250A6"/>
    <w:rsid w:val="0082512D"/>
    <w:rsid w:val="008251A7"/>
    <w:rsid w:val="00825266"/>
    <w:rsid w:val="00825501"/>
    <w:rsid w:val="008258B5"/>
    <w:rsid w:val="00825901"/>
    <w:rsid w:val="00825A18"/>
    <w:rsid w:val="00825B34"/>
    <w:rsid w:val="00825C03"/>
    <w:rsid w:val="008261C9"/>
    <w:rsid w:val="00826491"/>
    <w:rsid w:val="00826583"/>
    <w:rsid w:val="00826798"/>
    <w:rsid w:val="00826843"/>
    <w:rsid w:val="00826F76"/>
    <w:rsid w:val="008273BC"/>
    <w:rsid w:val="00827750"/>
    <w:rsid w:val="008278CB"/>
    <w:rsid w:val="00827E49"/>
    <w:rsid w:val="00830026"/>
    <w:rsid w:val="008300A5"/>
    <w:rsid w:val="008307FE"/>
    <w:rsid w:val="00830808"/>
    <w:rsid w:val="00830BE4"/>
    <w:rsid w:val="00830DCF"/>
    <w:rsid w:val="00830F0B"/>
    <w:rsid w:val="00831220"/>
    <w:rsid w:val="008313B0"/>
    <w:rsid w:val="0083163B"/>
    <w:rsid w:val="0083197C"/>
    <w:rsid w:val="00831C65"/>
    <w:rsid w:val="0083203F"/>
    <w:rsid w:val="0083211A"/>
    <w:rsid w:val="00832850"/>
    <w:rsid w:val="0083359F"/>
    <w:rsid w:val="0083392D"/>
    <w:rsid w:val="008339AE"/>
    <w:rsid w:val="00834167"/>
    <w:rsid w:val="008346EA"/>
    <w:rsid w:val="00834D10"/>
    <w:rsid w:val="00834D1B"/>
    <w:rsid w:val="008352A6"/>
    <w:rsid w:val="008353F8"/>
    <w:rsid w:val="00835B79"/>
    <w:rsid w:val="00835C6A"/>
    <w:rsid w:val="00836297"/>
    <w:rsid w:val="0083640E"/>
    <w:rsid w:val="00836AD5"/>
    <w:rsid w:val="00836BF0"/>
    <w:rsid w:val="00837070"/>
    <w:rsid w:val="008371B9"/>
    <w:rsid w:val="0083723C"/>
    <w:rsid w:val="00837490"/>
    <w:rsid w:val="008374E1"/>
    <w:rsid w:val="0083791B"/>
    <w:rsid w:val="00837B88"/>
    <w:rsid w:val="00837F6A"/>
    <w:rsid w:val="00840180"/>
    <w:rsid w:val="00840261"/>
    <w:rsid w:val="008402B2"/>
    <w:rsid w:val="008408FB"/>
    <w:rsid w:val="00840ACB"/>
    <w:rsid w:val="00840BAF"/>
    <w:rsid w:val="00840D63"/>
    <w:rsid w:val="00840ED1"/>
    <w:rsid w:val="00840F2D"/>
    <w:rsid w:val="00840F7F"/>
    <w:rsid w:val="008411CF"/>
    <w:rsid w:val="00841472"/>
    <w:rsid w:val="008420CB"/>
    <w:rsid w:val="00842882"/>
    <w:rsid w:val="008429A7"/>
    <w:rsid w:val="00842C03"/>
    <w:rsid w:val="00842D68"/>
    <w:rsid w:val="0084366D"/>
    <w:rsid w:val="008436D0"/>
    <w:rsid w:val="00843B2D"/>
    <w:rsid w:val="00843DAC"/>
    <w:rsid w:val="00844010"/>
    <w:rsid w:val="0084413A"/>
    <w:rsid w:val="008442C3"/>
    <w:rsid w:val="008444F8"/>
    <w:rsid w:val="008445B5"/>
    <w:rsid w:val="00844777"/>
    <w:rsid w:val="00844AB7"/>
    <w:rsid w:val="00844BB9"/>
    <w:rsid w:val="00844DE2"/>
    <w:rsid w:val="008457A7"/>
    <w:rsid w:val="00845B97"/>
    <w:rsid w:val="00845E41"/>
    <w:rsid w:val="008462C6"/>
    <w:rsid w:val="00846400"/>
    <w:rsid w:val="00846BA2"/>
    <w:rsid w:val="00846FD9"/>
    <w:rsid w:val="008473E4"/>
    <w:rsid w:val="00847471"/>
    <w:rsid w:val="008475F3"/>
    <w:rsid w:val="00847D89"/>
    <w:rsid w:val="00847ED0"/>
    <w:rsid w:val="008504D7"/>
    <w:rsid w:val="008505D7"/>
    <w:rsid w:val="00850CA8"/>
    <w:rsid w:val="00850DC1"/>
    <w:rsid w:val="00851292"/>
    <w:rsid w:val="00851301"/>
    <w:rsid w:val="0085145C"/>
    <w:rsid w:val="00851485"/>
    <w:rsid w:val="0085172E"/>
    <w:rsid w:val="00851A46"/>
    <w:rsid w:val="00851DD9"/>
    <w:rsid w:val="00851E55"/>
    <w:rsid w:val="00851E5D"/>
    <w:rsid w:val="0085240C"/>
    <w:rsid w:val="0085280F"/>
    <w:rsid w:val="00852B29"/>
    <w:rsid w:val="00852D2C"/>
    <w:rsid w:val="00852D52"/>
    <w:rsid w:val="00852F2D"/>
    <w:rsid w:val="00853064"/>
    <w:rsid w:val="008532A5"/>
    <w:rsid w:val="00853500"/>
    <w:rsid w:val="00853546"/>
    <w:rsid w:val="008539CA"/>
    <w:rsid w:val="00853AD6"/>
    <w:rsid w:val="0085416D"/>
    <w:rsid w:val="00854182"/>
    <w:rsid w:val="008544B8"/>
    <w:rsid w:val="00855196"/>
    <w:rsid w:val="00855477"/>
    <w:rsid w:val="008554DA"/>
    <w:rsid w:val="0085572D"/>
    <w:rsid w:val="00855749"/>
    <w:rsid w:val="00855A22"/>
    <w:rsid w:val="00855D22"/>
    <w:rsid w:val="00855E9B"/>
    <w:rsid w:val="00855F77"/>
    <w:rsid w:val="0085671A"/>
    <w:rsid w:val="00856AD6"/>
    <w:rsid w:val="00856C4E"/>
    <w:rsid w:val="00856F2D"/>
    <w:rsid w:val="008573E8"/>
    <w:rsid w:val="00857698"/>
    <w:rsid w:val="008576DB"/>
    <w:rsid w:val="008577D3"/>
    <w:rsid w:val="00857CCD"/>
    <w:rsid w:val="00857DFB"/>
    <w:rsid w:val="00857EE4"/>
    <w:rsid w:val="0086013B"/>
    <w:rsid w:val="008601EE"/>
    <w:rsid w:val="008605A4"/>
    <w:rsid w:val="0086086E"/>
    <w:rsid w:val="00860AEC"/>
    <w:rsid w:val="00860FAE"/>
    <w:rsid w:val="0086102C"/>
    <w:rsid w:val="008611DC"/>
    <w:rsid w:val="00861650"/>
    <w:rsid w:val="0086179F"/>
    <w:rsid w:val="008619F8"/>
    <w:rsid w:val="00861ABD"/>
    <w:rsid w:val="00861AD4"/>
    <w:rsid w:val="00861D43"/>
    <w:rsid w:val="00861FF4"/>
    <w:rsid w:val="00862443"/>
    <w:rsid w:val="008624B2"/>
    <w:rsid w:val="008625C9"/>
    <w:rsid w:val="00862D31"/>
    <w:rsid w:val="00862EEB"/>
    <w:rsid w:val="00863560"/>
    <w:rsid w:val="00863A3A"/>
    <w:rsid w:val="00863FDD"/>
    <w:rsid w:val="0086454C"/>
    <w:rsid w:val="00864810"/>
    <w:rsid w:val="00864874"/>
    <w:rsid w:val="00864900"/>
    <w:rsid w:val="0086499C"/>
    <w:rsid w:val="00864D16"/>
    <w:rsid w:val="00864FBB"/>
    <w:rsid w:val="00865653"/>
    <w:rsid w:val="008656D2"/>
    <w:rsid w:val="00865A39"/>
    <w:rsid w:val="00865BF6"/>
    <w:rsid w:val="00865C94"/>
    <w:rsid w:val="00865E5C"/>
    <w:rsid w:val="00865F2A"/>
    <w:rsid w:val="00865F43"/>
    <w:rsid w:val="008660DA"/>
    <w:rsid w:val="0086623A"/>
    <w:rsid w:val="008666F9"/>
    <w:rsid w:val="0086677D"/>
    <w:rsid w:val="0086689C"/>
    <w:rsid w:val="00866B13"/>
    <w:rsid w:val="00866B66"/>
    <w:rsid w:val="00866C81"/>
    <w:rsid w:val="008676EE"/>
    <w:rsid w:val="00867C88"/>
    <w:rsid w:val="00867D73"/>
    <w:rsid w:val="008707CD"/>
    <w:rsid w:val="008709AD"/>
    <w:rsid w:val="00870A00"/>
    <w:rsid w:val="00870B41"/>
    <w:rsid w:val="00870DFA"/>
    <w:rsid w:val="00870E47"/>
    <w:rsid w:val="00871059"/>
    <w:rsid w:val="008712DB"/>
    <w:rsid w:val="008713F5"/>
    <w:rsid w:val="00871460"/>
    <w:rsid w:val="0087158D"/>
    <w:rsid w:val="008717E0"/>
    <w:rsid w:val="008719A5"/>
    <w:rsid w:val="00871DBB"/>
    <w:rsid w:val="0087212A"/>
    <w:rsid w:val="00872555"/>
    <w:rsid w:val="0087262B"/>
    <w:rsid w:val="00872AF6"/>
    <w:rsid w:val="00872C37"/>
    <w:rsid w:val="00872E98"/>
    <w:rsid w:val="00873389"/>
    <w:rsid w:val="00873796"/>
    <w:rsid w:val="00873815"/>
    <w:rsid w:val="0087382A"/>
    <w:rsid w:val="00873C37"/>
    <w:rsid w:val="00873F08"/>
    <w:rsid w:val="0087411A"/>
    <w:rsid w:val="00874AA3"/>
    <w:rsid w:val="00874ACC"/>
    <w:rsid w:val="00874B79"/>
    <w:rsid w:val="008751C6"/>
    <w:rsid w:val="008754F3"/>
    <w:rsid w:val="00875986"/>
    <w:rsid w:val="00875A7D"/>
    <w:rsid w:val="00875E56"/>
    <w:rsid w:val="00875FDF"/>
    <w:rsid w:val="0087616C"/>
    <w:rsid w:val="0087632D"/>
    <w:rsid w:val="008773F5"/>
    <w:rsid w:val="0087751E"/>
    <w:rsid w:val="00877ACB"/>
    <w:rsid w:val="008800C4"/>
    <w:rsid w:val="008802BE"/>
    <w:rsid w:val="00880549"/>
    <w:rsid w:val="0088098A"/>
    <w:rsid w:val="00880E76"/>
    <w:rsid w:val="00881687"/>
    <w:rsid w:val="008816C9"/>
    <w:rsid w:val="0088170E"/>
    <w:rsid w:val="00881922"/>
    <w:rsid w:val="00881C95"/>
    <w:rsid w:val="008820EE"/>
    <w:rsid w:val="00882153"/>
    <w:rsid w:val="0088219D"/>
    <w:rsid w:val="00882585"/>
    <w:rsid w:val="0088300B"/>
    <w:rsid w:val="00883217"/>
    <w:rsid w:val="008833D2"/>
    <w:rsid w:val="00883558"/>
    <w:rsid w:val="0088374E"/>
    <w:rsid w:val="008839DA"/>
    <w:rsid w:val="00884280"/>
    <w:rsid w:val="0088440E"/>
    <w:rsid w:val="00884799"/>
    <w:rsid w:val="00884ADE"/>
    <w:rsid w:val="00884BF5"/>
    <w:rsid w:val="00884C97"/>
    <w:rsid w:val="00885038"/>
    <w:rsid w:val="00885051"/>
    <w:rsid w:val="0088510C"/>
    <w:rsid w:val="00885586"/>
    <w:rsid w:val="008855D0"/>
    <w:rsid w:val="008857B7"/>
    <w:rsid w:val="008859D8"/>
    <w:rsid w:val="00885B3E"/>
    <w:rsid w:val="00885E50"/>
    <w:rsid w:val="0088626B"/>
    <w:rsid w:val="008863F9"/>
    <w:rsid w:val="00886434"/>
    <w:rsid w:val="00886E48"/>
    <w:rsid w:val="00887329"/>
    <w:rsid w:val="00887CBF"/>
    <w:rsid w:val="008901A6"/>
    <w:rsid w:val="00890263"/>
    <w:rsid w:val="00890439"/>
    <w:rsid w:val="00890612"/>
    <w:rsid w:val="00890655"/>
    <w:rsid w:val="00890C7A"/>
    <w:rsid w:val="00890D69"/>
    <w:rsid w:val="00890DC4"/>
    <w:rsid w:val="00890FA3"/>
    <w:rsid w:val="00890FD5"/>
    <w:rsid w:val="008916FF"/>
    <w:rsid w:val="00891758"/>
    <w:rsid w:val="008918BF"/>
    <w:rsid w:val="008920B4"/>
    <w:rsid w:val="00892128"/>
    <w:rsid w:val="00892812"/>
    <w:rsid w:val="00893470"/>
    <w:rsid w:val="008934EC"/>
    <w:rsid w:val="0089359D"/>
    <w:rsid w:val="00893B50"/>
    <w:rsid w:val="00893C93"/>
    <w:rsid w:val="00893E06"/>
    <w:rsid w:val="00893EC2"/>
    <w:rsid w:val="008943D2"/>
    <w:rsid w:val="00894670"/>
    <w:rsid w:val="0089473A"/>
    <w:rsid w:val="0089488D"/>
    <w:rsid w:val="00894B36"/>
    <w:rsid w:val="00894B58"/>
    <w:rsid w:val="00894DB9"/>
    <w:rsid w:val="00894E61"/>
    <w:rsid w:val="0089568B"/>
    <w:rsid w:val="008956E9"/>
    <w:rsid w:val="00895AF9"/>
    <w:rsid w:val="00895D15"/>
    <w:rsid w:val="0089608D"/>
    <w:rsid w:val="008960D1"/>
    <w:rsid w:val="008961EF"/>
    <w:rsid w:val="00896406"/>
    <w:rsid w:val="0089691D"/>
    <w:rsid w:val="00896A82"/>
    <w:rsid w:val="00896B0E"/>
    <w:rsid w:val="0089703D"/>
    <w:rsid w:val="00897519"/>
    <w:rsid w:val="0089760C"/>
    <w:rsid w:val="00897621"/>
    <w:rsid w:val="008976DC"/>
    <w:rsid w:val="00897AA4"/>
    <w:rsid w:val="00897F34"/>
    <w:rsid w:val="008A0166"/>
    <w:rsid w:val="008A0187"/>
    <w:rsid w:val="008A03D7"/>
    <w:rsid w:val="008A04EC"/>
    <w:rsid w:val="008A0940"/>
    <w:rsid w:val="008A0F6E"/>
    <w:rsid w:val="008A10FC"/>
    <w:rsid w:val="008A11FA"/>
    <w:rsid w:val="008A1232"/>
    <w:rsid w:val="008A153E"/>
    <w:rsid w:val="008A1EDC"/>
    <w:rsid w:val="008A24BA"/>
    <w:rsid w:val="008A25BD"/>
    <w:rsid w:val="008A25C0"/>
    <w:rsid w:val="008A298A"/>
    <w:rsid w:val="008A2D24"/>
    <w:rsid w:val="008A4212"/>
    <w:rsid w:val="008A493E"/>
    <w:rsid w:val="008A496D"/>
    <w:rsid w:val="008A4AC1"/>
    <w:rsid w:val="008A4B37"/>
    <w:rsid w:val="008A4B49"/>
    <w:rsid w:val="008A5124"/>
    <w:rsid w:val="008A5943"/>
    <w:rsid w:val="008A6399"/>
    <w:rsid w:val="008A645C"/>
    <w:rsid w:val="008A67A7"/>
    <w:rsid w:val="008A68AA"/>
    <w:rsid w:val="008A6CF2"/>
    <w:rsid w:val="008A6DD8"/>
    <w:rsid w:val="008A7210"/>
    <w:rsid w:val="008A7252"/>
    <w:rsid w:val="008A736C"/>
    <w:rsid w:val="008A76EF"/>
    <w:rsid w:val="008A7CEA"/>
    <w:rsid w:val="008A7CEC"/>
    <w:rsid w:val="008A7EC1"/>
    <w:rsid w:val="008A7F88"/>
    <w:rsid w:val="008B0055"/>
    <w:rsid w:val="008B04CC"/>
    <w:rsid w:val="008B0627"/>
    <w:rsid w:val="008B06F6"/>
    <w:rsid w:val="008B0837"/>
    <w:rsid w:val="008B0B84"/>
    <w:rsid w:val="008B0CF1"/>
    <w:rsid w:val="008B10A3"/>
    <w:rsid w:val="008B1247"/>
    <w:rsid w:val="008B12C4"/>
    <w:rsid w:val="008B1412"/>
    <w:rsid w:val="008B1846"/>
    <w:rsid w:val="008B18E0"/>
    <w:rsid w:val="008B19FC"/>
    <w:rsid w:val="008B1A36"/>
    <w:rsid w:val="008B1E4A"/>
    <w:rsid w:val="008B1E4F"/>
    <w:rsid w:val="008B1F1B"/>
    <w:rsid w:val="008B1F7B"/>
    <w:rsid w:val="008B2145"/>
    <w:rsid w:val="008B237F"/>
    <w:rsid w:val="008B2939"/>
    <w:rsid w:val="008B2D57"/>
    <w:rsid w:val="008B2F35"/>
    <w:rsid w:val="008B3180"/>
    <w:rsid w:val="008B34BA"/>
    <w:rsid w:val="008B34DD"/>
    <w:rsid w:val="008B3646"/>
    <w:rsid w:val="008B37B4"/>
    <w:rsid w:val="008B3812"/>
    <w:rsid w:val="008B3A09"/>
    <w:rsid w:val="008B3B1D"/>
    <w:rsid w:val="008B3F5C"/>
    <w:rsid w:val="008B44B0"/>
    <w:rsid w:val="008B4508"/>
    <w:rsid w:val="008B4C37"/>
    <w:rsid w:val="008B4D5D"/>
    <w:rsid w:val="008B5897"/>
    <w:rsid w:val="008B5A88"/>
    <w:rsid w:val="008B5F9D"/>
    <w:rsid w:val="008B6155"/>
    <w:rsid w:val="008B6374"/>
    <w:rsid w:val="008B66B4"/>
    <w:rsid w:val="008B6C3B"/>
    <w:rsid w:val="008B6D4F"/>
    <w:rsid w:val="008B6E77"/>
    <w:rsid w:val="008B6EC2"/>
    <w:rsid w:val="008B7130"/>
    <w:rsid w:val="008B7ECC"/>
    <w:rsid w:val="008C015F"/>
    <w:rsid w:val="008C04BE"/>
    <w:rsid w:val="008C0606"/>
    <w:rsid w:val="008C0BA5"/>
    <w:rsid w:val="008C0CCB"/>
    <w:rsid w:val="008C0DE3"/>
    <w:rsid w:val="008C0ED3"/>
    <w:rsid w:val="008C1007"/>
    <w:rsid w:val="008C11EB"/>
    <w:rsid w:val="008C152B"/>
    <w:rsid w:val="008C1572"/>
    <w:rsid w:val="008C1AAA"/>
    <w:rsid w:val="008C1C9B"/>
    <w:rsid w:val="008C2216"/>
    <w:rsid w:val="008C2659"/>
    <w:rsid w:val="008C27E8"/>
    <w:rsid w:val="008C28EE"/>
    <w:rsid w:val="008C291C"/>
    <w:rsid w:val="008C29DE"/>
    <w:rsid w:val="008C2A3B"/>
    <w:rsid w:val="008C3BF7"/>
    <w:rsid w:val="008C3CF9"/>
    <w:rsid w:val="008C3EDA"/>
    <w:rsid w:val="008C428E"/>
    <w:rsid w:val="008C47AC"/>
    <w:rsid w:val="008C47C4"/>
    <w:rsid w:val="008C4AEE"/>
    <w:rsid w:val="008C4D94"/>
    <w:rsid w:val="008C4EDA"/>
    <w:rsid w:val="008C51DA"/>
    <w:rsid w:val="008C524C"/>
    <w:rsid w:val="008C52F2"/>
    <w:rsid w:val="008C568B"/>
    <w:rsid w:val="008C5AF5"/>
    <w:rsid w:val="008C64DC"/>
    <w:rsid w:val="008C696C"/>
    <w:rsid w:val="008C6A5C"/>
    <w:rsid w:val="008C6C61"/>
    <w:rsid w:val="008C7627"/>
    <w:rsid w:val="008C7B18"/>
    <w:rsid w:val="008C7D8D"/>
    <w:rsid w:val="008D0650"/>
    <w:rsid w:val="008D06E2"/>
    <w:rsid w:val="008D073F"/>
    <w:rsid w:val="008D07D2"/>
    <w:rsid w:val="008D09C2"/>
    <w:rsid w:val="008D0BFF"/>
    <w:rsid w:val="008D0C52"/>
    <w:rsid w:val="008D0EA9"/>
    <w:rsid w:val="008D0F84"/>
    <w:rsid w:val="008D110D"/>
    <w:rsid w:val="008D1136"/>
    <w:rsid w:val="008D118E"/>
    <w:rsid w:val="008D12D3"/>
    <w:rsid w:val="008D16A4"/>
    <w:rsid w:val="008D1E11"/>
    <w:rsid w:val="008D1E56"/>
    <w:rsid w:val="008D1FCB"/>
    <w:rsid w:val="008D21FB"/>
    <w:rsid w:val="008D278A"/>
    <w:rsid w:val="008D2838"/>
    <w:rsid w:val="008D2A4A"/>
    <w:rsid w:val="008D2A7D"/>
    <w:rsid w:val="008D2B75"/>
    <w:rsid w:val="008D310C"/>
    <w:rsid w:val="008D31A7"/>
    <w:rsid w:val="008D3A09"/>
    <w:rsid w:val="008D3E5E"/>
    <w:rsid w:val="008D4038"/>
    <w:rsid w:val="008D4045"/>
    <w:rsid w:val="008D43E6"/>
    <w:rsid w:val="008D53CB"/>
    <w:rsid w:val="008D5604"/>
    <w:rsid w:val="008D5739"/>
    <w:rsid w:val="008D5A38"/>
    <w:rsid w:val="008D5CEA"/>
    <w:rsid w:val="008D6485"/>
    <w:rsid w:val="008D6CEE"/>
    <w:rsid w:val="008D6E89"/>
    <w:rsid w:val="008D7108"/>
    <w:rsid w:val="008D7714"/>
    <w:rsid w:val="008D781C"/>
    <w:rsid w:val="008D7AFA"/>
    <w:rsid w:val="008D7DA9"/>
    <w:rsid w:val="008E0065"/>
    <w:rsid w:val="008E0515"/>
    <w:rsid w:val="008E056E"/>
    <w:rsid w:val="008E05C4"/>
    <w:rsid w:val="008E06B6"/>
    <w:rsid w:val="008E0AAD"/>
    <w:rsid w:val="008E0BFB"/>
    <w:rsid w:val="008E0C94"/>
    <w:rsid w:val="008E0E58"/>
    <w:rsid w:val="008E0FA5"/>
    <w:rsid w:val="008E136C"/>
    <w:rsid w:val="008E141E"/>
    <w:rsid w:val="008E1714"/>
    <w:rsid w:val="008E183F"/>
    <w:rsid w:val="008E189C"/>
    <w:rsid w:val="008E1A05"/>
    <w:rsid w:val="008E1CD7"/>
    <w:rsid w:val="008E1D27"/>
    <w:rsid w:val="008E2712"/>
    <w:rsid w:val="008E276A"/>
    <w:rsid w:val="008E2796"/>
    <w:rsid w:val="008E2AE8"/>
    <w:rsid w:val="008E2D1C"/>
    <w:rsid w:val="008E2F43"/>
    <w:rsid w:val="008E3701"/>
    <w:rsid w:val="008E3903"/>
    <w:rsid w:val="008E3B34"/>
    <w:rsid w:val="008E3B77"/>
    <w:rsid w:val="008E3D3F"/>
    <w:rsid w:val="008E3E17"/>
    <w:rsid w:val="008E3F88"/>
    <w:rsid w:val="008E3FDF"/>
    <w:rsid w:val="008E43C6"/>
    <w:rsid w:val="008E47CE"/>
    <w:rsid w:val="008E4978"/>
    <w:rsid w:val="008E4B5F"/>
    <w:rsid w:val="008E4BD1"/>
    <w:rsid w:val="008E4C45"/>
    <w:rsid w:val="008E4F0D"/>
    <w:rsid w:val="008E4F32"/>
    <w:rsid w:val="008E4F7C"/>
    <w:rsid w:val="008E513B"/>
    <w:rsid w:val="008E53A6"/>
    <w:rsid w:val="008E54C2"/>
    <w:rsid w:val="008E5B72"/>
    <w:rsid w:val="008E5D49"/>
    <w:rsid w:val="008E624D"/>
    <w:rsid w:val="008E6298"/>
    <w:rsid w:val="008E6505"/>
    <w:rsid w:val="008E65B0"/>
    <w:rsid w:val="008E6956"/>
    <w:rsid w:val="008E6B3D"/>
    <w:rsid w:val="008E6DB5"/>
    <w:rsid w:val="008E726C"/>
    <w:rsid w:val="008E736B"/>
    <w:rsid w:val="008E74A4"/>
    <w:rsid w:val="008E75A8"/>
    <w:rsid w:val="008E78BE"/>
    <w:rsid w:val="008E7B51"/>
    <w:rsid w:val="008E7E66"/>
    <w:rsid w:val="008F0250"/>
    <w:rsid w:val="008F02F2"/>
    <w:rsid w:val="008F0845"/>
    <w:rsid w:val="008F0A4A"/>
    <w:rsid w:val="008F0A64"/>
    <w:rsid w:val="008F0DF9"/>
    <w:rsid w:val="008F1421"/>
    <w:rsid w:val="008F1B21"/>
    <w:rsid w:val="008F1BD6"/>
    <w:rsid w:val="008F1C76"/>
    <w:rsid w:val="008F2377"/>
    <w:rsid w:val="008F24BD"/>
    <w:rsid w:val="008F26AE"/>
    <w:rsid w:val="008F292D"/>
    <w:rsid w:val="008F2A4C"/>
    <w:rsid w:val="008F2B26"/>
    <w:rsid w:val="008F2E35"/>
    <w:rsid w:val="008F2EA9"/>
    <w:rsid w:val="008F2FB5"/>
    <w:rsid w:val="008F2FF0"/>
    <w:rsid w:val="008F3251"/>
    <w:rsid w:val="008F3397"/>
    <w:rsid w:val="008F387E"/>
    <w:rsid w:val="008F3A37"/>
    <w:rsid w:val="008F3B0E"/>
    <w:rsid w:val="008F3C8D"/>
    <w:rsid w:val="008F3D41"/>
    <w:rsid w:val="008F3D86"/>
    <w:rsid w:val="008F40F6"/>
    <w:rsid w:val="008F421D"/>
    <w:rsid w:val="008F43C7"/>
    <w:rsid w:val="008F47EB"/>
    <w:rsid w:val="008F546D"/>
    <w:rsid w:val="008F5724"/>
    <w:rsid w:val="008F5D39"/>
    <w:rsid w:val="008F5E63"/>
    <w:rsid w:val="008F6168"/>
    <w:rsid w:val="008F6317"/>
    <w:rsid w:val="008F66DA"/>
    <w:rsid w:val="008F7003"/>
    <w:rsid w:val="008F72B2"/>
    <w:rsid w:val="008F7A39"/>
    <w:rsid w:val="008F7BF2"/>
    <w:rsid w:val="00900233"/>
    <w:rsid w:val="009004C0"/>
    <w:rsid w:val="00900B52"/>
    <w:rsid w:val="00900BE6"/>
    <w:rsid w:val="00900C0C"/>
    <w:rsid w:val="00900D57"/>
    <w:rsid w:val="00900F88"/>
    <w:rsid w:val="0090126D"/>
    <w:rsid w:val="00901489"/>
    <w:rsid w:val="0090189E"/>
    <w:rsid w:val="009024F2"/>
    <w:rsid w:val="00902C41"/>
    <w:rsid w:val="00902D2A"/>
    <w:rsid w:val="0090315A"/>
    <w:rsid w:val="00903421"/>
    <w:rsid w:val="0090364D"/>
    <w:rsid w:val="00903883"/>
    <w:rsid w:val="0090464D"/>
    <w:rsid w:val="00904AF0"/>
    <w:rsid w:val="00904FBE"/>
    <w:rsid w:val="009058D7"/>
    <w:rsid w:val="00905BF6"/>
    <w:rsid w:val="00905EC4"/>
    <w:rsid w:val="009065AC"/>
    <w:rsid w:val="009065F8"/>
    <w:rsid w:val="009069F0"/>
    <w:rsid w:val="00906A08"/>
    <w:rsid w:val="00906B58"/>
    <w:rsid w:val="00906BDF"/>
    <w:rsid w:val="00906D38"/>
    <w:rsid w:val="009075A0"/>
    <w:rsid w:val="009078EE"/>
    <w:rsid w:val="00907A3A"/>
    <w:rsid w:val="00907F21"/>
    <w:rsid w:val="009105BF"/>
    <w:rsid w:val="0091073A"/>
    <w:rsid w:val="00910879"/>
    <w:rsid w:val="00910B1C"/>
    <w:rsid w:val="00911183"/>
    <w:rsid w:val="0091135B"/>
    <w:rsid w:val="0091181D"/>
    <w:rsid w:val="00911E3E"/>
    <w:rsid w:val="00911EAF"/>
    <w:rsid w:val="00912521"/>
    <w:rsid w:val="00912579"/>
    <w:rsid w:val="00912811"/>
    <w:rsid w:val="00912E7B"/>
    <w:rsid w:val="00912EA2"/>
    <w:rsid w:val="009134D7"/>
    <w:rsid w:val="009138A1"/>
    <w:rsid w:val="00913FD3"/>
    <w:rsid w:val="009145C1"/>
    <w:rsid w:val="009146BD"/>
    <w:rsid w:val="0091473D"/>
    <w:rsid w:val="00914AA0"/>
    <w:rsid w:val="00914C1F"/>
    <w:rsid w:val="00914F1D"/>
    <w:rsid w:val="00915149"/>
    <w:rsid w:val="0091536A"/>
    <w:rsid w:val="009156A0"/>
    <w:rsid w:val="00915822"/>
    <w:rsid w:val="00915A98"/>
    <w:rsid w:val="00915B3E"/>
    <w:rsid w:val="00915BD5"/>
    <w:rsid w:val="009166C2"/>
    <w:rsid w:val="009166CF"/>
    <w:rsid w:val="009167DD"/>
    <w:rsid w:val="00916864"/>
    <w:rsid w:val="00916B98"/>
    <w:rsid w:val="009172E0"/>
    <w:rsid w:val="00917890"/>
    <w:rsid w:val="00917A06"/>
    <w:rsid w:val="00917BC7"/>
    <w:rsid w:val="00917FC4"/>
    <w:rsid w:val="00920029"/>
    <w:rsid w:val="00920045"/>
    <w:rsid w:val="00920056"/>
    <w:rsid w:val="009205A1"/>
    <w:rsid w:val="00920928"/>
    <w:rsid w:val="0092092F"/>
    <w:rsid w:val="00920ECD"/>
    <w:rsid w:val="00921708"/>
    <w:rsid w:val="00921846"/>
    <w:rsid w:val="0092266C"/>
    <w:rsid w:val="00922A0F"/>
    <w:rsid w:val="00922BC8"/>
    <w:rsid w:val="009232A6"/>
    <w:rsid w:val="0092344C"/>
    <w:rsid w:val="00923608"/>
    <w:rsid w:val="00923EA6"/>
    <w:rsid w:val="00923F4E"/>
    <w:rsid w:val="0092410A"/>
    <w:rsid w:val="00924C08"/>
    <w:rsid w:val="00924CB4"/>
    <w:rsid w:val="00924E75"/>
    <w:rsid w:val="00924FE3"/>
    <w:rsid w:val="0092562A"/>
    <w:rsid w:val="009256B4"/>
    <w:rsid w:val="0092582A"/>
    <w:rsid w:val="00925982"/>
    <w:rsid w:val="009259A6"/>
    <w:rsid w:val="00925BCF"/>
    <w:rsid w:val="00925C53"/>
    <w:rsid w:val="00925F68"/>
    <w:rsid w:val="0092610B"/>
    <w:rsid w:val="009268FC"/>
    <w:rsid w:val="0092696A"/>
    <w:rsid w:val="00926B41"/>
    <w:rsid w:val="00926BB5"/>
    <w:rsid w:val="00927397"/>
    <w:rsid w:val="009279B5"/>
    <w:rsid w:val="00927ACA"/>
    <w:rsid w:val="009300C5"/>
    <w:rsid w:val="00930368"/>
    <w:rsid w:val="0093040E"/>
    <w:rsid w:val="0093099A"/>
    <w:rsid w:val="009309AD"/>
    <w:rsid w:val="00930E09"/>
    <w:rsid w:val="009310BE"/>
    <w:rsid w:val="00931227"/>
    <w:rsid w:val="009314CD"/>
    <w:rsid w:val="0093170E"/>
    <w:rsid w:val="0093185F"/>
    <w:rsid w:val="00931BC1"/>
    <w:rsid w:val="00931DEF"/>
    <w:rsid w:val="0093247D"/>
    <w:rsid w:val="00932645"/>
    <w:rsid w:val="009326E7"/>
    <w:rsid w:val="0093292E"/>
    <w:rsid w:val="00932CC7"/>
    <w:rsid w:val="00932CD7"/>
    <w:rsid w:val="009330FA"/>
    <w:rsid w:val="0093313E"/>
    <w:rsid w:val="0093315B"/>
    <w:rsid w:val="0093326F"/>
    <w:rsid w:val="00933737"/>
    <w:rsid w:val="00933745"/>
    <w:rsid w:val="009337AC"/>
    <w:rsid w:val="00933967"/>
    <w:rsid w:val="00933B9E"/>
    <w:rsid w:val="00933FF7"/>
    <w:rsid w:val="009341F4"/>
    <w:rsid w:val="00934885"/>
    <w:rsid w:val="00934A63"/>
    <w:rsid w:val="00934C71"/>
    <w:rsid w:val="00934DAA"/>
    <w:rsid w:val="00935285"/>
    <w:rsid w:val="009355C0"/>
    <w:rsid w:val="0093576A"/>
    <w:rsid w:val="00935B50"/>
    <w:rsid w:val="00936053"/>
    <w:rsid w:val="009365D4"/>
    <w:rsid w:val="009366A7"/>
    <w:rsid w:val="00936C9E"/>
    <w:rsid w:val="0093701F"/>
    <w:rsid w:val="009372C2"/>
    <w:rsid w:val="009372EC"/>
    <w:rsid w:val="009377A2"/>
    <w:rsid w:val="00937926"/>
    <w:rsid w:val="00937B72"/>
    <w:rsid w:val="00937CFC"/>
    <w:rsid w:val="00937DD6"/>
    <w:rsid w:val="00937F03"/>
    <w:rsid w:val="009400CE"/>
    <w:rsid w:val="00940261"/>
    <w:rsid w:val="00940A90"/>
    <w:rsid w:val="00940AA8"/>
    <w:rsid w:val="00940B1D"/>
    <w:rsid w:val="00940DA2"/>
    <w:rsid w:val="0094106E"/>
    <w:rsid w:val="00941413"/>
    <w:rsid w:val="00941544"/>
    <w:rsid w:val="009415FA"/>
    <w:rsid w:val="009417A7"/>
    <w:rsid w:val="0094195B"/>
    <w:rsid w:val="00941E66"/>
    <w:rsid w:val="00941F1A"/>
    <w:rsid w:val="00942462"/>
    <w:rsid w:val="0094257F"/>
    <w:rsid w:val="009425EE"/>
    <w:rsid w:val="009427F0"/>
    <w:rsid w:val="00942C46"/>
    <w:rsid w:val="00942D6B"/>
    <w:rsid w:val="00942FD0"/>
    <w:rsid w:val="009435EC"/>
    <w:rsid w:val="00943D1A"/>
    <w:rsid w:val="00943ED4"/>
    <w:rsid w:val="00944220"/>
    <w:rsid w:val="00944265"/>
    <w:rsid w:val="00944746"/>
    <w:rsid w:val="00944DEA"/>
    <w:rsid w:val="00944F39"/>
    <w:rsid w:val="009452F9"/>
    <w:rsid w:val="0094550E"/>
    <w:rsid w:val="00945C4A"/>
    <w:rsid w:val="00945F61"/>
    <w:rsid w:val="00946277"/>
    <w:rsid w:val="0094658C"/>
    <w:rsid w:val="00946694"/>
    <w:rsid w:val="009466E7"/>
    <w:rsid w:val="009467E3"/>
    <w:rsid w:val="00946DEF"/>
    <w:rsid w:val="00947034"/>
    <w:rsid w:val="00947154"/>
    <w:rsid w:val="00947326"/>
    <w:rsid w:val="009474D1"/>
    <w:rsid w:val="009475B2"/>
    <w:rsid w:val="00947707"/>
    <w:rsid w:val="00947D36"/>
    <w:rsid w:val="00947D37"/>
    <w:rsid w:val="00947DC2"/>
    <w:rsid w:val="00950034"/>
    <w:rsid w:val="009504E2"/>
    <w:rsid w:val="009504EA"/>
    <w:rsid w:val="00950729"/>
    <w:rsid w:val="00951124"/>
    <w:rsid w:val="009516CE"/>
    <w:rsid w:val="009517D7"/>
    <w:rsid w:val="00951B22"/>
    <w:rsid w:val="00951BE8"/>
    <w:rsid w:val="00951C04"/>
    <w:rsid w:val="00951C06"/>
    <w:rsid w:val="00952061"/>
    <w:rsid w:val="0095222E"/>
    <w:rsid w:val="00952665"/>
    <w:rsid w:val="009528AC"/>
    <w:rsid w:val="00952E11"/>
    <w:rsid w:val="00952E24"/>
    <w:rsid w:val="00952E69"/>
    <w:rsid w:val="00952EF3"/>
    <w:rsid w:val="00952F3F"/>
    <w:rsid w:val="00952FC1"/>
    <w:rsid w:val="00952FF2"/>
    <w:rsid w:val="009531BE"/>
    <w:rsid w:val="00953333"/>
    <w:rsid w:val="00953C0A"/>
    <w:rsid w:val="00954163"/>
    <w:rsid w:val="00954951"/>
    <w:rsid w:val="00954994"/>
    <w:rsid w:val="00954DC4"/>
    <w:rsid w:val="009551A8"/>
    <w:rsid w:val="0095531D"/>
    <w:rsid w:val="0095565F"/>
    <w:rsid w:val="00955676"/>
    <w:rsid w:val="009557BA"/>
    <w:rsid w:val="009560F9"/>
    <w:rsid w:val="00956273"/>
    <w:rsid w:val="00956430"/>
    <w:rsid w:val="00956D18"/>
    <w:rsid w:val="00956FF7"/>
    <w:rsid w:val="00957679"/>
    <w:rsid w:val="00957746"/>
    <w:rsid w:val="0095777D"/>
    <w:rsid w:val="009578AF"/>
    <w:rsid w:val="00957D95"/>
    <w:rsid w:val="00957FD7"/>
    <w:rsid w:val="00960021"/>
    <w:rsid w:val="00960266"/>
    <w:rsid w:val="00960473"/>
    <w:rsid w:val="00960486"/>
    <w:rsid w:val="00960488"/>
    <w:rsid w:val="00960687"/>
    <w:rsid w:val="00960773"/>
    <w:rsid w:val="00960A54"/>
    <w:rsid w:val="00960B08"/>
    <w:rsid w:val="00960EE8"/>
    <w:rsid w:val="009612B6"/>
    <w:rsid w:val="009617FB"/>
    <w:rsid w:val="00961A70"/>
    <w:rsid w:val="009621E6"/>
    <w:rsid w:val="00962394"/>
    <w:rsid w:val="00962439"/>
    <w:rsid w:val="00962E85"/>
    <w:rsid w:val="00963237"/>
    <w:rsid w:val="00963309"/>
    <w:rsid w:val="009633BB"/>
    <w:rsid w:val="009634F0"/>
    <w:rsid w:val="00963A83"/>
    <w:rsid w:val="009647AF"/>
    <w:rsid w:val="00964840"/>
    <w:rsid w:val="0096488D"/>
    <w:rsid w:val="009649A5"/>
    <w:rsid w:val="00964BBF"/>
    <w:rsid w:val="00964E76"/>
    <w:rsid w:val="00964F57"/>
    <w:rsid w:val="009653F7"/>
    <w:rsid w:val="00965A5D"/>
    <w:rsid w:val="00965A70"/>
    <w:rsid w:val="00966008"/>
    <w:rsid w:val="009664F4"/>
    <w:rsid w:val="009665F7"/>
    <w:rsid w:val="009667D3"/>
    <w:rsid w:val="00966DE4"/>
    <w:rsid w:val="00966E86"/>
    <w:rsid w:val="00967069"/>
    <w:rsid w:val="0096736E"/>
    <w:rsid w:val="009701FC"/>
    <w:rsid w:val="00970331"/>
    <w:rsid w:val="00970390"/>
    <w:rsid w:val="00970E8D"/>
    <w:rsid w:val="00970F41"/>
    <w:rsid w:val="00971624"/>
    <w:rsid w:val="009719DA"/>
    <w:rsid w:val="0097213C"/>
    <w:rsid w:val="0097248E"/>
    <w:rsid w:val="00972537"/>
    <w:rsid w:val="00972965"/>
    <w:rsid w:val="009734B7"/>
    <w:rsid w:val="009735FF"/>
    <w:rsid w:val="00973659"/>
    <w:rsid w:val="0097369A"/>
    <w:rsid w:val="00973701"/>
    <w:rsid w:val="00973EB7"/>
    <w:rsid w:val="009749F0"/>
    <w:rsid w:val="00974B09"/>
    <w:rsid w:val="009760A9"/>
    <w:rsid w:val="009763EE"/>
    <w:rsid w:val="0097651A"/>
    <w:rsid w:val="00976EBE"/>
    <w:rsid w:val="00977003"/>
    <w:rsid w:val="0097709C"/>
    <w:rsid w:val="00977293"/>
    <w:rsid w:val="009773C9"/>
    <w:rsid w:val="00977591"/>
    <w:rsid w:val="009775F5"/>
    <w:rsid w:val="009776D7"/>
    <w:rsid w:val="00977AB7"/>
    <w:rsid w:val="00977B76"/>
    <w:rsid w:val="00977D3C"/>
    <w:rsid w:val="0098022E"/>
    <w:rsid w:val="00980284"/>
    <w:rsid w:val="009803DE"/>
    <w:rsid w:val="00980559"/>
    <w:rsid w:val="00980632"/>
    <w:rsid w:val="009807EC"/>
    <w:rsid w:val="0098123B"/>
    <w:rsid w:val="009813EB"/>
    <w:rsid w:val="0098175A"/>
    <w:rsid w:val="00981C0F"/>
    <w:rsid w:val="009826B1"/>
    <w:rsid w:val="00982785"/>
    <w:rsid w:val="00982F4F"/>
    <w:rsid w:val="009831AA"/>
    <w:rsid w:val="009832DC"/>
    <w:rsid w:val="00983400"/>
    <w:rsid w:val="009838A7"/>
    <w:rsid w:val="00983BA9"/>
    <w:rsid w:val="0098404C"/>
    <w:rsid w:val="009840C0"/>
    <w:rsid w:val="00984118"/>
    <w:rsid w:val="00984322"/>
    <w:rsid w:val="009848DE"/>
    <w:rsid w:val="009849E3"/>
    <w:rsid w:val="00984B1B"/>
    <w:rsid w:val="00984CF1"/>
    <w:rsid w:val="00984F99"/>
    <w:rsid w:val="009851B1"/>
    <w:rsid w:val="0098537C"/>
    <w:rsid w:val="009854AD"/>
    <w:rsid w:val="009857DD"/>
    <w:rsid w:val="00985889"/>
    <w:rsid w:val="00985A75"/>
    <w:rsid w:val="00985B69"/>
    <w:rsid w:val="00985D85"/>
    <w:rsid w:val="00985E36"/>
    <w:rsid w:val="009866D4"/>
    <w:rsid w:val="00986BD9"/>
    <w:rsid w:val="009873D2"/>
    <w:rsid w:val="00987412"/>
    <w:rsid w:val="00987539"/>
    <w:rsid w:val="00987583"/>
    <w:rsid w:val="00987DB9"/>
    <w:rsid w:val="00990105"/>
    <w:rsid w:val="0099019D"/>
    <w:rsid w:val="009902C0"/>
    <w:rsid w:val="0099056D"/>
    <w:rsid w:val="009907D4"/>
    <w:rsid w:val="00990AAF"/>
    <w:rsid w:val="00990B69"/>
    <w:rsid w:val="00990C3D"/>
    <w:rsid w:val="00990EE2"/>
    <w:rsid w:val="00990F13"/>
    <w:rsid w:val="00991124"/>
    <w:rsid w:val="009919C9"/>
    <w:rsid w:val="00991AF9"/>
    <w:rsid w:val="00991C36"/>
    <w:rsid w:val="00991D70"/>
    <w:rsid w:val="00991DDB"/>
    <w:rsid w:val="0099207F"/>
    <w:rsid w:val="009927BA"/>
    <w:rsid w:val="00992E8C"/>
    <w:rsid w:val="00992F1F"/>
    <w:rsid w:val="009932F0"/>
    <w:rsid w:val="009933D1"/>
    <w:rsid w:val="0099361D"/>
    <w:rsid w:val="009938E8"/>
    <w:rsid w:val="0099390B"/>
    <w:rsid w:val="00993BCF"/>
    <w:rsid w:val="00993EF6"/>
    <w:rsid w:val="00993F89"/>
    <w:rsid w:val="00993FCA"/>
    <w:rsid w:val="0099409A"/>
    <w:rsid w:val="00994201"/>
    <w:rsid w:val="009942E8"/>
    <w:rsid w:val="0099437F"/>
    <w:rsid w:val="0099445D"/>
    <w:rsid w:val="00994623"/>
    <w:rsid w:val="00994806"/>
    <w:rsid w:val="0099483D"/>
    <w:rsid w:val="00994BE2"/>
    <w:rsid w:val="00995274"/>
    <w:rsid w:val="00995929"/>
    <w:rsid w:val="00995E64"/>
    <w:rsid w:val="00995F5B"/>
    <w:rsid w:val="00995F5D"/>
    <w:rsid w:val="00996004"/>
    <w:rsid w:val="009966C3"/>
    <w:rsid w:val="009969B0"/>
    <w:rsid w:val="00996A46"/>
    <w:rsid w:val="00997315"/>
    <w:rsid w:val="00997430"/>
    <w:rsid w:val="0099747D"/>
    <w:rsid w:val="009974D3"/>
    <w:rsid w:val="0099756E"/>
    <w:rsid w:val="009975A1"/>
    <w:rsid w:val="009975BE"/>
    <w:rsid w:val="009977FD"/>
    <w:rsid w:val="00997A12"/>
    <w:rsid w:val="009A00F2"/>
    <w:rsid w:val="009A0172"/>
    <w:rsid w:val="009A02E8"/>
    <w:rsid w:val="009A0469"/>
    <w:rsid w:val="009A047A"/>
    <w:rsid w:val="009A057E"/>
    <w:rsid w:val="009A065A"/>
    <w:rsid w:val="009A095B"/>
    <w:rsid w:val="009A0A3F"/>
    <w:rsid w:val="009A0E59"/>
    <w:rsid w:val="009A1444"/>
    <w:rsid w:val="009A1553"/>
    <w:rsid w:val="009A1B4A"/>
    <w:rsid w:val="009A1B69"/>
    <w:rsid w:val="009A1D3E"/>
    <w:rsid w:val="009A2151"/>
    <w:rsid w:val="009A23C6"/>
    <w:rsid w:val="009A271D"/>
    <w:rsid w:val="009A2923"/>
    <w:rsid w:val="009A2C7E"/>
    <w:rsid w:val="009A32C0"/>
    <w:rsid w:val="009A3C42"/>
    <w:rsid w:val="009A410C"/>
    <w:rsid w:val="009A4141"/>
    <w:rsid w:val="009A4175"/>
    <w:rsid w:val="009A44E9"/>
    <w:rsid w:val="009A4954"/>
    <w:rsid w:val="009A4BC8"/>
    <w:rsid w:val="009A5630"/>
    <w:rsid w:val="009A577B"/>
    <w:rsid w:val="009A5A0E"/>
    <w:rsid w:val="009A5EA1"/>
    <w:rsid w:val="009A6192"/>
    <w:rsid w:val="009A62B8"/>
    <w:rsid w:val="009A6502"/>
    <w:rsid w:val="009A661A"/>
    <w:rsid w:val="009A7007"/>
    <w:rsid w:val="009A718E"/>
    <w:rsid w:val="009A72FB"/>
    <w:rsid w:val="009A7701"/>
    <w:rsid w:val="009A78D4"/>
    <w:rsid w:val="009A7C1B"/>
    <w:rsid w:val="009A7CD0"/>
    <w:rsid w:val="009B079C"/>
    <w:rsid w:val="009B0D31"/>
    <w:rsid w:val="009B0EC7"/>
    <w:rsid w:val="009B0FBD"/>
    <w:rsid w:val="009B1183"/>
    <w:rsid w:val="009B1379"/>
    <w:rsid w:val="009B1478"/>
    <w:rsid w:val="009B15D8"/>
    <w:rsid w:val="009B16E4"/>
    <w:rsid w:val="009B18E7"/>
    <w:rsid w:val="009B1AEC"/>
    <w:rsid w:val="009B1BA7"/>
    <w:rsid w:val="009B223B"/>
    <w:rsid w:val="009B244F"/>
    <w:rsid w:val="009B2608"/>
    <w:rsid w:val="009B27B1"/>
    <w:rsid w:val="009B2A04"/>
    <w:rsid w:val="009B2C41"/>
    <w:rsid w:val="009B318F"/>
    <w:rsid w:val="009B3429"/>
    <w:rsid w:val="009B3A3A"/>
    <w:rsid w:val="009B3A56"/>
    <w:rsid w:val="009B3B6E"/>
    <w:rsid w:val="009B3C9F"/>
    <w:rsid w:val="009B3D56"/>
    <w:rsid w:val="009B3DD2"/>
    <w:rsid w:val="009B44EF"/>
    <w:rsid w:val="009B462D"/>
    <w:rsid w:val="009B47E6"/>
    <w:rsid w:val="009B48AA"/>
    <w:rsid w:val="009B4FC2"/>
    <w:rsid w:val="009B51C4"/>
    <w:rsid w:val="009B5226"/>
    <w:rsid w:val="009B5474"/>
    <w:rsid w:val="009B54B2"/>
    <w:rsid w:val="009B5703"/>
    <w:rsid w:val="009B577D"/>
    <w:rsid w:val="009B5BBF"/>
    <w:rsid w:val="009B5CC3"/>
    <w:rsid w:val="009B5FA3"/>
    <w:rsid w:val="009B60CC"/>
    <w:rsid w:val="009B62F0"/>
    <w:rsid w:val="009B6723"/>
    <w:rsid w:val="009B681E"/>
    <w:rsid w:val="009B6B53"/>
    <w:rsid w:val="009B6DB9"/>
    <w:rsid w:val="009B6E3D"/>
    <w:rsid w:val="009B7069"/>
    <w:rsid w:val="009B7DBB"/>
    <w:rsid w:val="009C001C"/>
    <w:rsid w:val="009C043A"/>
    <w:rsid w:val="009C058E"/>
    <w:rsid w:val="009C08C6"/>
    <w:rsid w:val="009C0BA1"/>
    <w:rsid w:val="009C0C21"/>
    <w:rsid w:val="009C0D74"/>
    <w:rsid w:val="009C0E19"/>
    <w:rsid w:val="009C10FD"/>
    <w:rsid w:val="009C118A"/>
    <w:rsid w:val="009C1305"/>
    <w:rsid w:val="009C1353"/>
    <w:rsid w:val="009C1501"/>
    <w:rsid w:val="009C1E13"/>
    <w:rsid w:val="009C207D"/>
    <w:rsid w:val="009C22F8"/>
    <w:rsid w:val="009C2352"/>
    <w:rsid w:val="009C2390"/>
    <w:rsid w:val="009C27D3"/>
    <w:rsid w:val="009C31C9"/>
    <w:rsid w:val="009C32AE"/>
    <w:rsid w:val="009C3484"/>
    <w:rsid w:val="009C362D"/>
    <w:rsid w:val="009C3A08"/>
    <w:rsid w:val="009C3AE6"/>
    <w:rsid w:val="009C3FD7"/>
    <w:rsid w:val="009C450E"/>
    <w:rsid w:val="009C45E4"/>
    <w:rsid w:val="009C4681"/>
    <w:rsid w:val="009C4A03"/>
    <w:rsid w:val="009C4DB7"/>
    <w:rsid w:val="009C4FFE"/>
    <w:rsid w:val="009C5158"/>
    <w:rsid w:val="009C5234"/>
    <w:rsid w:val="009C580C"/>
    <w:rsid w:val="009C58D1"/>
    <w:rsid w:val="009C5E4D"/>
    <w:rsid w:val="009C62E7"/>
    <w:rsid w:val="009C6635"/>
    <w:rsid w:val="009C6A19"/>
    <w:rsid w:val="009C76BC"/>
    <w:rsid w:val="009D01DD"/>
    <w:rsid w:val="009D02E6"/>
    <w:rsid w:val="009D051E"/>
    <w:rsid w:val="009D087C"/>
    <w:rsid w:val="009D0CDC"/>
    <w:rsid w:val="009D0FDC"/>
    <w:rsid w:val="009D1221"/>
    <w:rsid w:val="009D1627"/>
    <w:rsid w:val="009D17D4"/>
    <w:rsid w:val="009D1ABB"/>
    <w:rsid w:val="009D1C1B"/>
    <w:rsid w:val="009D1CE0"/>
    <w:rsid w:val="009D246B"/>
    <w:rsid w:val="009D260B"/>
    <w:rsid w:val="009D270C"/>
    <w:rsid w:val="009D27EE"/>
    <w:rsid w:val="009D289B"/>
    <w:rsid w:val="009D2C06"/>
    <w:rsid w:val="009D2E80"/>
    <w:rsid w:val="009D316D"/>
    <w:rsid w:val="009D355F"/>
    <w:rsid w:val="009D3701"/>
    <w:rsid w:val="009D37FF"/>
    <w:rsid w:val="009D3C23"/>
    <w:rsid w:val="009D4052"/>
    <w:rsid w:val="009D467D"/>
    <w:rsid w:val="009D46A2"/>
    <w:rsid w:val="009D46A6"/>
    <w:rsid w:val="009D4706"/>
    <w:rsid w:val="009D48D6"/>
    <w:rsid w:val="009D4C05"/>
    <w:rsid w:val="009D4D25"/>
    <w:rsid w:val="009D4E71"/>
    <w:rsid w:val="009D4F77"/>
    <w:rsid w:val="009D51D5"/>
    <w:rsid w:val="009D5366"/>
    <w:rsid w:val="009D5429"/>
    <w:rsid w:val="009D56E8"/>
    <w:rsid w:val="009D6437"/>
    <w:rsid w:val="009D67BD"/>
    <w:rsid w:val="009D6931"/>
    <w:rsid w:val="009D69D0"/>
    <w:rsid w:val="009D71B0"/>
    <w:rsid w:val="009D7324"/>
    <w:rsid w:val="009D75DC"/>
    <w:rsid w:val="009D7972"/>
    <w:rsid w:val="009D79D6"/>
    <w:rsid w:val="009D7B81"/>
    <w:rsid w:val="009D7F85"/>
    <w:rsid w:val="009E013E"/>
    <w:rsid w:val="009E033E"/>
    <w:rsid w:val="009E0460"/>
    <w:rsid w:val="009E0531"/>
    <w:rsid w:val="009E0991"/>
    <w:rsid w:val="009E0ABE"/>
    <w:rsid w:val="009E0BC2"/>
    <w:rsid w:val="009E0CA4"/>
    <w:rsid w:val="009E0E65"/>
    <w:rsid w:val="009E13AB"/>
    <w:rsid w:val="009E1601"/>
    <w:rsid w:val="009E1675"/>
    <w:rsid w:val="009E168F"/>
    <w:rsid w:val="009E1889"/>
    <w:rsid w:val="009E1AD0"/>
    <w:rsid w:val="009E1F75"/>
    <w:rsid w:val="009E2010"/>
    <w:rsid w:val="009E2299"/>
    <w:rsid w:val="009E25D8"/>
    <w:rsid w:val="009E2677"/>
    <w:rsid w:val="009E2EA2"/>
    <w:rsid w:val="009E2F92"/>
    <w:rsid w:val="009E3249"/>
    <w:rsid w:val="009E340D"/>
    <w:rsid w:val="009E3650"/>
    <w:rsid w:val="009E3675"/>
    <w:rsid w:val="009E373B"/>
    <w:rsid w:val="009E379C"/>
    <w:rsid w:val="009E3CEF"/>
    <w:rsid w:val="009E3D4E"/>
    <w:rsid w:val="009E3FEC"/>
    <w:rsid w:val="009E401F"/>
    <w:rsid w:val="009E4419"/>
    <w:rsid w:val="009E46D8"/>
    <w:rsid w:val="009E4838"/>
    <w:rsid w:val="009E4C3B"/>
    <w:rsid w:val="009E5165"/>
    <w:rsid w:val="009E51E9"/>
    <w:rsid w:val="009E53D2"/>
    <w:rsid w:val="009E547D"/>
    <w:rsid w:val="009E5597"/>
    <w:rsid w:val="009E57F5"/>
    <w:rsid w:val="009E6310"/>
    <w:rsid w:val="009E64FB"/>
    <w:rsid w:val="009E6B22"/>
    <w:rsid w:val="009E6B44"/>
    <w:rsid w:val="009E6E7B"/>
    <w:rsid w:val="009E6EC5"/>
    <w:rsid w:val="009E6F06"/>
    <w:rsid w:val="009E7348"/>
    <w:rsid w:val="009E7480"/>
    <w:rsid w:val="009E7800"/>
    <w:rsid w:val="009E7BFB"/>
    <w:rsid w:val="009F0025"/>
    <w:rsid w:val="009F0658"/>
    <w:rsid w:val="009F06A9"/>
    <w:rsid w:val="009F0A8D"/>
    <w:rsid w:val="009F0C86"/>
    <w:rsid w:val="009F1145"/>
    <w:rsid w:val="009F1641"/>
    <w:rsid w:val="009F1D8A"/>
    <w:rsid w:val="009F1EBB"/>
    <w:rsid w:val="009F200E"/>
    <w:rsid w:val="009F2356"/>
    <w:rsid w:val="009F24E4"/>
    <w:rsid w:val="009F28C7"/>
    <w:rsid w:val="009F2909"/>
    <w:rsid w:val="009F2B79"/>
    <w:rsid w:val="009F2C5C"/>
    <w:rsid w:val="009F2EFC"/>
    <w:rsid w:val="009F3366"/>
    <w:rsid w:val="009F357E"/>
    <w:rsid w:val="009F3899"/>
    <w:rsid w:val="009F39BE"/>
    <w:rsid w:val="009F3F35"/>
    <w:rsid w:val="009F4EFA"/>
    <w:rsid w:val="009F56B2"/>
    <w:rsid w:val="009F57E0"/>
    <w:rsid w:val="009F5893"/>
    <w:rsid w:val="009F5C79"/>
    <w:rsid w:val="009F6118"/>
    <w:rsid w:val="009F624B"/>
    <w:rsid w:val="009F671A"/>
    <w:rsid w:val="009F6AD5"/>
    <w:rsid w:val="009F6B0E"/>
    <w:rsid w:val="009F705E"/>
    <w:rsid w:val="009F70A9"/>
    <w:rsid w:val="009F7249"/>
    <w:rsid w:val="009F77E6"/>
    <w:rsid w:val="009F7843"/>
    <w:rsid w:val="009F7C14"/>
    <w:rsid w:val="009F7F58"/>
    <w:rsid w:val="00A00431"/>
    <w:rsid w:val="00A004B6"/>
    <w:rsid w:val="00A00AA6"/>
    <w:rsid w:val="00A00D8D"/>
    <w:rsid w:val="00A00F74"/>
    <w:rsid w:val="00A01009"/>
    <w:rsid w:val="00A010AB"/>
    <w:rsid w:val="00A0111F"/>
    <w:rsid w:val="00A014E2"/>
    <w:rsid w:val="00A01546"/>
    <w:rsid w:val="00A01593"/>
    <w:rsid w:val="00A015FE"/>
    <w:rsid w:val="00A01730"/>
    <w:rsid w:val="00A02180"/>
    <w:rsid w:val="00A022D5"/>
    <w:rsid w:val="00A025C3"/>
    <w:rsid w:val="00A0262C"/>
    <w:rsid w:val="00A02CCF"/>
    <w:rsid w:val="00A032F9"/>
    <w:rsid w:val="00A033DB"/>
    <w:rsid w:val="00A0352B"/>
    <w:rsid w:val="00A037E2"/>
    <w:rsid w:val="00A040D9"/>
    <w:rsid w:val="00A042B0"/>
    <w:rsid w:val="00A04682"/>
    <w:rsid w:val="00A048BA"/>
    <w:rsid w:val="00A049A7"/>
    <w:rsid w:val="00A049AB"/>
    <w:rsid w:val="00A04B35"/>
    <w:rsid w:val="00A04CEF"/>
    <w:rsid w:val="00A04E2B"/>
    <w:rsid w:val="00A04F4A"/>
    <w:rsid w:val="00A04F7B"/>
    <w:rsid w:val="00A05270"/>
    <w:rsid w:val="00A053C9"/>
    <w:rsid w:val="00A0544C"/>
    <w:rsid w:val="00A057CA"/>
    <w:rsid w:val="00A05B0B"/>
    <w:rsid w:val="00A05C23"/>
    <w:rsid w:val="00A05DA9"/>
    <w:rsid w:val="00A05DD5"/>
    <w:rsid w:val="00A05FDC"/>
    <w:rsid w:val="00A0600D"/>
    <w:rsid w:val="00A06631"/>
    <w:rsid w:val="00A06817"/>
    <w:rsid w:val="00A068D9"/>
    <w:rsid w:val="00A06DBE"/>
    <w:rsid w:val="00A07059"/>
    <w:rsid w:val="00A0751D"/>
    <w:rsid w:val="00A076ED"/>
    <w:rsid w:val="00A079FD"/>
    <w:rsid w:val="00A07B98"/>
    <w:rsid w:val="00A07BE4"/>
    <w:rsid w:val="00A1067E"/>
    <w:rsid w:val="00A10C43"/>
    <w:rsid w:val="00A10E1A"/>
    <w:rsid w:val="00A110ED"/>
    <w:rsid w:val="00A111DF"/>
    <w:rsid w:val="00A1138E"/>
    <w:rsid w:val="00A117EF"/>
    <w:rsid w:val="00A11B64"/>
    <w:rsid w:val="00A120B8"/>
    <w:rsid w:val="00A12895"/>
    <w:rsid w:val="00A12B6E"/>
    <w:rsid w:val="00A12FB8"/>
    <w:rsid w:val="00A13852"/>
    <w:rsid w:val="00A1391C"/>
    <w:rsid w:val="00A1398C"/>
    <w:rsid w:val="00A13A74"/>
    <w:rsid w:val="00A13BA1"/>
    <w:rsid w:val="00A146C2"/>
    <w:rsid w:val="00A14733"/>
    <w:rsid w:val="00A147CA"/>
    <w:rsid w:val="00A147FE"/>
    <w:rsid w:val="00A1498F"/>
    <w:rsid w:val="00A14C0D"/>
    <w:rsid w:val="00A156CD"/>
    <w:rsid w:val="00A158EC"/>
    <w:rsid w:val="00A15A88"/>
    <w:rsid w:val="00A15B9F"/>
    <w:rsid w:val="00A15EFC"/>
    <w:rsid w:val="00A16054"/>
    <w:rsid w:val="00A16361"/>
    <w:rsid w:val="00A16F51"/>
    <w:rsid w:val="00A1720F"/>
    <w:rsid w:val="00A1763B"/>
    <w:rsid w:val="00A176B6"/>
    <w:rsid w:val="00A20266"/>
    <w:rsid w:val="00A202CA"/>
    <w:rsid w:val="00A20879"/>
    <w:rsid w:val="00A20C41"/>
    <w:rsid w:val="00A20D7A"/>
    <w:rsid w:val="00A2129C"/>
    <w:rsid w:val="00A21B92"/>
    <w:rsid w:val="00A21C3C"/>
    <w:rsid w:val="00A21E58"/>
    <w:rsid w:val="00A2248D"/>
    <w:rsid w:val="00A224B6"/>
    <w:rsid w:val="00A22AE2"/>
    <w:rsid w:val="00A22B67"/>
    <w:rsid w:val="00A22C2E"/>
    <w:rsid w:val="00A22D3C"/>
    <w:rsid w:val="00A23648"/>
    <w:rsid w:val="00A23A5B"/>
    <w:rsid w:val="00A2464A"/>
    <w:rsid w:val="00A2489A"/>
    <w:rsid w:val="00A24BC1"/>
    <w:rsid w:val="00A24C5F"/>
    <w:rsid w:val="00A24F51"/>
    <w:rsid w:val="00A2533B"/>
    <w:rsid w:val="00A2568B"/>
    <w:rsid w:val="00A257F9"/>
    <w:rsid w:val="00A2587F"/>
    <w:rsid w:val="00A25E4B"/>
    <w:rsid w:val="00A2691D"/>
    <w:rsid w:val="00A26DD4"/>
    <w:rsid w:val="00A272A7"/>
    <w:rsid w:val="00A273E8"/>
    <w:rsid w:val="00A27466"/>
    <w:rsid w:val="00A274E7"/>
    <w:rsid w:val="00A302A6"/>
    <w:rsid w:val="00A303B9"/>
    <w:rsid w:val="00A3078C"/>
    <w:rsid w:val="00A30C5B"/>
    <w:rsid w:val="00A312D2"/>
    <w:rsid w:val="00A314D8"/>
    <w:rsid w:val="00A31807"/>
    <w:rsid w:val="00A31879"/>
    <w:rsid w:val="00A31F64"/>
    <w:rsid w:val="00A32119"/>
    <w:rsid w:val="00A323DF"/>
    <w:rsid w:val="00A32A34"/>
    <w:rsid w:val="00A32ACA"/>
    <w:rsid w:val="00A32AD8"/>
    <w:rsid w:val="00A32C09"/>
    <w:rsid w:val="00A3350E"/>
    <w:rsid w:val="00A33520"/>
    <w:rsid w:val="00A338AD"/>
    <w:rsid w:val="00A33B79"/>
    <w:rsid w:val="00A33C5B"/>
    <w:rsid w:val="00A33CE1"/>
    <w:rsid w:val="00A33D3E"/>
    <w:rsid w:val="00A33ECF"/>
    <w:rsid w:val="00A34081"/>
    <w:rsid w:val="00A347DB"/>
    <w:rsid w:val="00A34A87"/>
    <w:rsid w:val="00A35298"/>
    <w:rsid w:val="00A35392"/>
    <w:rsid w:val="00A35817"/>
    <w:rsid w:val="00A35BBA"/>
    <w:rsid w:val="00A35CCA"/>
    <w:rsid w:val="00A35D0A"/>
    <w:rsid w:val="00A3606E"/>
    <w:rsid w:val="00A36C05"/>
    <w:rsid w:val="00A36EC9"/>
    <w:rsid w:val="00A36FE9"/>
    <w:rsid w:val="00A37472"/>
    <w:rsid w:val="00A375B8"/>
    <w:rsid w:val="00A375FB"/>
    <w:rsid w:val="00A37925"/>
    <w:rsid w:val="00A37B98"/>
    <w:rsid w:val="00A37D15"/>
    <w:rsid w:val="00A37E39"/>
    <w:rsid w:val="00A37F22"/>
    <w:rsid w:val="00A40594"/>
    <w:rsid w:val="00A415E3"/>
    <w:rsid w:val="00A41752"/>
    <w:rsid w:val="00A41ECC"/>
    <w:rsid w:val="00A422BD"/>
    <w:rsid w:val="00A423C4"/>
    <w:rsid w:val="00A423DA"/>
    <w:rsid w:val="00A42481"/>
    <w:rsid w:val="00A42504"/>
    <w:rsid w:val="00A42651"/>
    <w:rsid w:val="00A426C7"/>
    <w:rsid w:val="00A429E7"/>
    <w:rsid w:val="00A42A78"/>
    <w:rsid w:val="00A42AAF"/>
    <w:rsid w:val="00A42B29"/>
    <w:rsid w:val="00A4306E"/>
    <w:rsid w:val="00A43259"/>
    <w:rsid w:val="00A43A4F"/>
    <w:rsid w:val="00A440E3"/>
    <w:rsid w:val="00A44132"/>
    <w:rsid w:val="00A45054"/>
    <w:rsid w:val="00A450E9"/>
    <w:rsid w:val="00A451A2"/>
    <w:rsid w:val="00A45310"/>
    <w:rsid w:val="00A45571"/>
    <w:rsid w:val="00A45719"/>
    <w:rsid w:val="00A45803"/>
    <w:rsid w:val="00A46307"/>
    <w:rsid w:val="00A4670D"/>
    <w:rsid w:val="00A46977"/>
    <w:rsid w:val="00A46A71"/>
    <w:rsid w:val="00A46ADD"/>
    <w:rsid w:val="00A46BD3"/>
    <w:rsid w:val="00A46F6D"/>
    <w:rsid w:val="00A46F81"/>
    <w:rsid w:val="00A476E4"/>
    <w:rsid w:val="00A479BC"/>
    <w:rsid w:val="00A47B34"/>
    <w:rsid w:val="00A47CED"/>
    <w:rsid w:val="00A50282"/>
    <w:rsid w:val="00A507CE"/>
    <w:rsid w:val="00A508F8"/>
    <w:rsid w:val="00A50B8E"/>
    <w:rsid w:val="00A50E40"/>
    <w:rsid w:val="00A510F0"/>
    <w:rsid w:val="00A51172"/>
    <w:rsid w:val="00A5177C"/>
    <w:rsid w:val="00A51808"/>
    <w:rsid w:val="00A51A13"/>
    <w:rsid w:val="00A51E0F"/>
    <w:rsid w:val="00A51E51"/>
    <w:rsid w:val="00A51F19"/>
    <w:rsid w:val="00A524E7"/>
    <w:rsid w:val="00A52CDA"/>
    <w:rsid w:val="00A52DBD"/>
    <w:rsid w:val="00A53372"/>
    <w:rsid w:val="00A5353F"/>
    <w:rsid w:val="00A535D6"/>
    <w:rsid w:val="00A5376B"/>
    <w:rsid w:val="00A5378B"/>
    <w:rsid w:val="00A53818"/>
    <w:rsid w:val="00A53A2A"/>
    <w:rsid w:val="00A542FC"/>
    <w:rsid w:val="00A5458F"/>
    <w:rsid w:val="00A547B3"/>
    <w:rsid w:val="00A54D64"/>
    <w:rsid w:val="00A54E31"/>
    <w:rsid w:val="00A55205"/>
    <w:rsid w:val="00A55543"/>
    <w:rsid w:val="00A556D8"/>
    <w:rsid w:val="00A5575A"/>
    <w:rsid w:val="00A55765"/>
    <w:rsid w:val="00A56174"/>
    <w:rsid w:val="00A5684F"/>
    <w:rsid w:val="00A568BD"/>
    <w:rsid w:val="00A57955"/>
    <w:rsid w:val="00A579CA"/>
    <w:rsid w:val="00A57CF2"/>
    <w:rsid w:val="00A60A3D"/>
    <w:rsid w:val="00A60BE2"/>
    <w:rsid w:val="00A60CE5"/>
    <w:rsid w:val="00A61151"/>
    <w:rsid w:val="00A6147C"/>
    <w:rsid w:val="00A614B0"/>
    <w:rsid w:val="00A61A2B"/>
    <w:rsid w:val="00A61FEF"/>
    <w:rsid w:val="00A6200F"/>
    <w:rsid w:val="00A62012"/>
    <w:rsid w:val="00A62335"/>
    <w:rsid w:val="00A623CA"/>
    <w:rsid w:val="00A6277B"/>
    <w:rsid w:val="00A62983"/>
    <w:rsid w:val="00A62989"/>
    <w:rsid w:val="00A62B9A"/>
    <w:rsid w:val="00A62D71"/>
    <w:rsid w:val="00A6307F"/>
    <w:rsid w:val="00A63094"/>
    <w:rsid w:val="00A63225"/>
    <w:rsid w:val="00A6324E"/>
    <w:rsid w:val="00A6371A"/>
    <w:rsid w:val="00A63BFD"/>
    <w:rsid w:val="00A63D6D"/>
    <w:rsid w:val="00A641D6"/>
    <w:rsid w:val="00A64556"/>
    <w:rsid w:val="00A645E8"/>
    <w:rsid w:val="00A648A0"/>
    <w:rsid w:val="00A648C7"/>
    <w:rsid w:val="00A64A28"/>
    <w:rsid w:val="00A6517D"/>
    <w:rsid w:val="00A65B8F"/>
    <w:rsid w:val="00A65DC5"/>
    <w:rsid w:val="00A65EF9"/>
    <w:rsid w:val="00A65F18"/>
    <w:rsid w:val="00A6624D"/>
    <w:rsid w:val="00A663F1"/>
    <w:rsid w:val="00A66404"/>
    <w:rsid w:val="00A6646E"/>
    <w:rsid w:val="00A6695F"/>
    <w:rsid w:val="00A66DEF"/>
    <w:rsid w:val="00A66F4D"/>
    <w:rsid w:val="00A6707E"/>
    <w:rsid w:val="00A67724"/>
    <w:rsid w:val="00A677D1"/>
    <w:rsid w:val="00A67A2C"/>
    <w:rsid w:val="00A67BDE"/>
    <w:rsid w:val="00A67DCC"/>
    <w:rsid w:val="00A70076"/>
    <w:rsid w:val="00A70166"/>
    <w:rsid w:val="00A70D62"/>
    <w:rsid w:val="00A71249"/>
    <w:rsid w:val="00A71756"/>
    <w:rsid w:val="00A71D1D"/>
    <w:rsid w:val="00A72039"/>
    <w:rsid w:val="00A72C9B"/>
    <w:rsid w:val="00A72CF2"/>
    <w:rsid w:val="00A72D4C"/>
    <w:rsid w:val="00A72E5B"/>
    <w:rsid w:val="00A72E8E"/>
    <w:rsid w:val="00A72F04"/>
    <w:rsid w:val="00A73392"/>
    <w:rsid w:val="00A73435"/>
    <w:rsid w:val="00A735E6"/>
    <w:rsid w:val="00A73715"/>
    <w:rsid w:val="00A73A30"/>
    <w:rsid w:val="00A73AA4"/>
    <w:rsid w:val="00A73B37"/>
    <w:rsid w:val="00A73CD8"/>
    <w:rsid w:val="00A73DB5"/>
    <w:rsid w:val="00A73EC3"/>
    <w:rsid w:val="00A7414A"/>
    <w:rsid w:val="00A741EC"/>
    <w:rsid w:val="00A74ACD"/>
    <w:rsid w:val="00A74BFD"/>
    <w:rsid w:val="00A74F85"/>
    <w:rsid w:val="00A74F97"/>
    <w:rsid w:val="00A75187"/>
    <w:rsid w:val="00A756D3"/>
    <w:rsid w:val="00A75AF6"/>
    <w:rsid w:val="00A7650D"/>
    <w:rsid w:val="00A76776"/>
    <w:rsid w:val="00A769E9"/>
    <w:rsid w:val="00A76AB5"/>
    <w:rsid w:val="00A76CEC"/>
    <w:rsid w:val="00A76F5F"/>
    <w:rsid w:val="00A77788"/>
    <w:rsid w:val="00A77A01"/>
    <w:rsid w:val="00A77E34"/>
    <w:rsid w:val="00A802F6"/>
    <w:rsid w:val="00A8054C"/>
    <w:rsid w:val="00A809F7"/>
    <w:rsid w:val="00A813D0"/>
    <w:rsid w:val="00A814E9"/>
    <w:rsid w:val="00A817E4"/>
    <w:rsid w:val="00A81A99"/>
    <w:rsid w:val="00A81BB7"/>
    <w:rsid w:val="00A81DBD"/>
    <w:rsid w:val="00A81EC5"/>
    <w:rsid w:val="00A81F09"/>
    <w:rsid w:val="00A82316"/>
    <w:rsid w:val="00A824A7"/>
    <w:rsid w:val="00A82787"/>
    <w:rsid w:val="00A82DC0"/>
    <w:rsid w:val="00A83069"/>
    <w:rsid w:val="00A83148"/>
    <w:rsid w:val="00A8318E"/>
    <w:rsid w:val="00A8325E"/>
    <w:rsid w:val="00A8326B"/>
    <w:rsid w:val="00A833FF"/>
    <w:rsid w:val="00A8377B"/>
    <w:rsid w:val="00A838C3"/>
    <w:rsid w:val="00A839BE"/>
    <w:rsid w:val="00A83BA2"/>
    <w:rsid w:val="00A83BF8"/>
    <w:rsid w:val="00A83DDB"/>
    <w:rsid w:val="00A83DF9"/>
    <w:rsid w:val="00A83FAB"/>
    <w:rsid w:val="00A841D6"/>
    <w:rsid w:val="00A845A2"/>
    <w:rsid w:val="00A846F6"/>
    <w:rsid w:val="00A84859"/>
    <w:rsid w:val="00A849AE"/>
    <w:rsid w:val="00A84B1B"/>
    <w:rsid w:val="00A84B22"/>
    <w:rsid w:val="00A84B61"/>
    <w:rsid w:val="00A84E7F"/>
    <w:rsid w:val="00A8516F"/>
    <w:rsid w:val="00A85619"/>
    <w:rsid w:val="00A85F7C"/>
    <w:rsid w:val="00A8615F"/>
    <w:rsid w:val="00A861EE"/>
    <w:rsid w:val="00A86211"/>
    <w:rsid w:val="00A8626F"/>
    <w:rsid w:val="00A86288"/>
    <w:rsid w:val="00A86369"/>
    <w:rsid w:val="00A8699D"/>
    <w:rsid w:val="00A869A6"/>
    <w:rsid w:val="00A86D5D"/>
    <w:rsid w:val="00A86E59"/>
    <w:rsid w:val="00A8719E"/>
    <w:rsid w:val="00A874AB"/>
    <w:rsid w:val="00A8791A"/>
    <w:rsid w:val="00A87C9D"/>
    <w:rsid w:val="00A87D35"/>
    <w:rsid w:val="00A87FB4"/>
    <w:rsid w:val="00A88C5B"/>
    <w:rsid w:val="00A9031D"/>
    <w:rsid w:val="00A906FE"/>
    <w:rsid w:val="00A90982"/>
    <w:rsid w:val="00A90CF7"/>
    <w:rsid w:val="00A90F80"/>
    <w:rsid w:val="00A910F1"/>
    <w:rsid w:val="00A91763"/>
    <w:rsid w:val="00A9189B"/>
    <w:rsid w:val="00A91CEB"/>
    <w:rsid w:val="00A91EF9"/>
    <w:rsid w:val="00A91F0B"/>
    <w:rsid w:val="00A92586"/>
    <w:rsid w:val="00A9376C"/>
    <w:rsid w:val="00A93ABB"/>
    <w:rsid w:val="00A93DD7"/>
    <w:rsid w:val="00A93ED8"/>
    <w:rsid w:val="00A940B8"/>
    <w:rsid w:val="00A9425D"/>
    <w:rsid w:val="00A94631"/>
    <w:rsid w:val="00A948BB"/>
    <w:rsid w:val="00A94A6D"/>
    <w:rsid w:val="00A94C5D"/>
    <w:rsid w:val="00A951DF"/>
    <w:rsid w:val="00A95398"/>
    <w:rsid w:val="00A958A0"/>
    <w:rsid w:val="00A95E39"/>
    <w:rsid w:val="00A95EF5"/>
    <w:rsid w:val="00A96632"/>
    <w:rsid w:val="00A9670D"/>
    <w:rsid w:val="00A967D4"/>
    <w:rsid w:val="00A96EB9"/>
    <w:rsid w:val="00A97340"/>
    <w:rsid w:val="00A97491"/>
    <w:rsid w:val="00A9775A"/>
    <w:rsid w:val="00AA02F9"/>
    <w:rsid w:val="00AA0C85"/>
    <w:rsid w:val="00AA0D87"/>
    <w:rsid w:val="00AA0E63"/>
    <w:rsid w:val="00AA1002"/>
    <w:rsid w:val="00AA1795"/>
    <w:rsid w:val="00AA17FC"/>
    <w:rsid w:val="00AA18D4"/>
    <w:rsid w:val="00AA1AE6"/>
    <w:rsid w:val="00AA1D1A"/>
    <w:rsid w:val="00AA2000"/>
    <w:rsid w:val="00AA265D"/>
    <w:rsid w:val="00AA2906"/>
    <w:rsid w:val="00AA2A7A"/>
    <w:rsid w:val="00AA2EA4"/>
    <w:rsid w:val="00AA3026"/>
    <w:rsid w:val="00AA318A"/>
    <w:rsid w:val="00AA371A"/>
    <w:rsid w:val="00AA3B47"/>
    <w:rsid w:val="00AA3F07"/>
    <w:rsid w:val="00AA4014"/>
    <w:rsid w:val="00AA40AD"/>
    <w:rsid w:val="00AA411B"/>
    <w:rsid w:val="00AA4210"/>
    <w:rsid w:val="00AA44E6"/>
    <w:rsid w:val="00AA48D4"/>
    <w:rsid w:val="00AA491F"/>
    <w:rsid w:val="00AA4D61"/>
    <w:rsid w:val="00AA54E2"/>
    <w:rsid w:val="00AA559A"/>
    <w:rsid w:val="00AA582B"/>
    <w:rsid w:val="00AA5BA7"/>
    <w:rsid w:val="00AA64F9"/>
    <w:rsid w:val="00AA6640"/>
    <w:rsid w:val="00AA7054"/>
    <w:rsid w:val="00AA73A4"/>
    <w:rsid w:val="00AA7846"/>
    <w:rsid w:val="00AA7976"/>
    <w:rsid w:val="00AA7A11"/>
    <w:rsid w:val="00AA7A69"/>
    <w:rsid w:val="00AA7BA2"/>
    <w:rsid w:val="00AA7CDC"/>
    <w:rsid w:val="00AA7F28"/>
    <w:rsid w:val="00AB01E0"/>
    <w:rsid w:val="00AB0254"/>
    <w:rsid w:val="00AB048F"/>
    <w:rsid w:val="00AB0F99"/>
    <w:rsid w:val="00AB1302"/>
    <w:rsid w:val="00AB1C99"/>
    <w:rsid w:val="00AB20F2"/>
    <w:rsid w:val="00AB239C"/>
    <w:rsid w:val="00AB275F"/>
    <w:rsid w:val="00AB32B0"/>
    <w:rsid w:val="00AB33AE"/>
    <w:rsid w:val="00AB36A1"/>
    <w:rsid w:val="00AB386B"/>
    <w:rsid w:val="00AB38CF"/>
    <w:rsid w:val="00AB3D21"/>
    <w:rsid w:val="00AB3D46"/>
    <w:rsid w:val="00AB3FF1"/>
    <w:rsid w:val="00AB417F"/>
    <w:rsid w:val="00AB41AB"/>
    <w:rsid w:val="00AB438B"/>
    <w:rsid w:val="00AB4411"/>
    <w:rsid w:val="00AB4830"/>
    <w:rsid w:val="00AB496F"/>
    <w:rsid w:val="00AB4BA3"/>
    <w:rsid w:val="00AB4E30"/>
    <w:rsid w:val="00AB4EC0"/>
    <w:rsid w:val="00AB587B"/>
    <w:rsid w:val="00AB5ABC"/>
    <w:rsid w:val="00AB5C01"/>
    <w:rsid w:val="00AB5D2D"/>
    <w:rsid w:val="00AB6234"/>
    <w:rsid w:val="00AB6514"/>
    <w:rsid w:val="00AB6CFA"/>
    <w:rsid w:val="00AB6FF9"/>
    <w:rsid w:val="00AB716D"/>
    <w:rsid w:val="00AB764D"/>
    <w:rsid w:val="00AB7A7E"/>
    <w:rsid w:val="00AB7C11"/>
    <w:rsid w:val="00AB7F3D"/>
    <w:rsid w:val="00AB7FD1"/>
    <w:rsid w:val="00AC001C"/>
    <w:rsid w:val="00AC058D"/>
    <w:rsid w:val="00AC07D9"/>
    <w:rsid w:val="00AC0B44"/>
    <w:rsid w:val="00AC0BB6"/>
    <w:rsid w:val="00AC117F"/>
    <w:rsid w:val="00AC1FFC"/>
    <w:rsid w:val="00AC249B"/>
    <w:rsid w:val="00AC2633"/>
    <w:rsid w:val="00AC277F"/>
    <w:rsid w:val="00AC2917"/>
    <w:rsid w:val="00AC298B"/>
    <w:rsid w:val="00AC2A4E"/>
    <w:rsid w:val="00AC2C62"/>
    <w:rsid w:val="00AC2E12"/>
    <w:rsid w:val="00AC3350"/>
    <w:rsid w:val="00AC385F"/>
    <w:rsid w:val="00AC394F"/>
    <w:rsid w:val="00AC3B9D"/>
    <w:rsid w:val="00AC3BBB"/>
    <w:rsid w:val="00AC40A1"/>
    <w:rsid w:val="00AC4245"/>
    <w:rsid w:val="00AC449E"/>
    <w:rsid w:val="00AC459D"/>
    <w:rsid w:val="00AC466A"/>
    <w:rsid w:val="00AC4740"/>
    <w:rsid w:val="00AC48D8"/>
    <w:rsid w:val="00AC4D6B"/>
    <w:rsid w:val="00AC5935"/>
    <w:rsid w:val="00AC5F3F"/>
    <w:rsid w:val="00AC5F92"/>
    <w:rsid w:val="00AC6489"/>
    <w:rsid w:val="00AC6A9B"/>
    <w:rsid w:val="00AC6B85"/>
    <w:rsid w:val="00AC6CB0"/>
    <w:rsid w:val="00AC6DDF"/>
    <w:rsid w:val="00AC70E2"/>
    <w:rsid w:val="00AC71CA"/>
    <w:rsid w:val="00AC7467"/>
    <w:rsid w:val="00AD099A"/>
    <w:rsid w:val="00AD09AB"/>
    <w:rsid w:val="00AD0AE5"/>
    <w:rsid w:val="00AD0BF2"/>
    <w:rsid w:val="00AD0D11"/>
    <w:rsid w:val="00AD1A27"/>
    <w:rsid w:val="00AD1AC6"/>
    <w:rsid w:val="00AD1B5F"/>
    <w:rsid w:val="00AD1CA9"/>
    <w:rsid w:val="00AD1CF5"/>
    <w:rsid w:val="00AD1E7E"/>
    <w:rsid w:val="00AD2483"/>
    <w:rsid w:val="00AD275F"/>
    <w:rsid w:val="00AD283A"/>
    <w:rsid w:val="00AD28F7"/>
    <w:rsid w:val="00AD2C25"/>
    <w:rsid w:val="00AD2E53"/>
    <w:rsid w:val="00AD3168"/>
    <w:rsid w:val="00AD3E50"/>
    <w:rsid w:val="00AD4021"/>
    <w:rsid w:val="00AD42A5"/>
    <w:rsid w:val="00AD4503"/>
    <w:rsid w:val="00AD468E"/>
    <w:rsid w:val="00AD4843"/>
    <w:rsid w:val="00AD4B3F"/>
    <w:rsid w:val="00AD4D72"/>
    <w:rsid w:val="00AD520B"/>
    <w:rsid w:val="00AD5238"/>
    <w:rsid w:val="00AD52DE"/>
    <w:rsid w:val="00AD5316"/>
    <w:rsid w:val="00AD546B"/>
    <w:rsid w:val="00AD5798"/>
    <w:rsid w:val="00AD57A8"/>
    <w:rsid w:val="00AD59D1"/>
    <w:rsid w:val="00AD5DA4"/>
    <w:rsid w:val="00AD617B"/>
    <w:rsid w:val="00AD643C"/>
    <w:rsid w:val="00AD65CB"/>
    <w:rsid w:val="00AD6695"/>
    <w:rsid w:val="00AD68F9"/>
    <w:rsid w:val="00AD69E1"/>
    <w:rsid w:val="00AD7935"/>
    <w:rsid w:val="00AD794C"/>
    <w:rsid w:val="00AD7BFF"/>
    <w:rsid w:val="00AE0052"/>
    <w:rsid w:val="00AE02EF"/>
    <w:rsid w:val="00AE04DC"/>
    <w:rsid w:val="00AE09BF"/>
    <w:rsid w:val="00AE0EA3"/>
    <w:rsid w:val="00AE1158"/>
    <w:rsid w:val="00AE11FA"/>
    <w:rsid w:val="00AE1642"/>
    <w:rsid w:val="00AE1838"/>
    <w:rsid w:val="00AE1B03"/>
    <w:rsid w:val="00AE21E5"/>
    <w:rsid w:val="00AE22C7"/>
    <w:rsid w:val="00AE25F9"/>
    <w:rsid w:val="00AE2857"/>
    <w:rsid w:val="00AE2B81"/>
    <w:rsid w:val="00AE2C5F"/>
    <w:rsid w:val="00AE427D"/>
    <w:rsid w:val="00AE4305"/>
    <w:rsid w:val="00AE43A4"/>
    <w:rsid w:val="00AE4638"/>
    <w:rsid w:val="00AE46D2"/>
    <w:rsid w:val="00AE47D2"/>
    <w:rsid w:val="00AE4A68"/>
    <w:rsid w:val="00AE4ABE"/>
    <w:rsid w:val="00AE4D23"/>
    <w:rsid w:val="00AE4E1D"/>
    <w:rsid w:val="00AE53CB"/>
    <w:rsid w:val="00AE551C"/>
    <w:rsid w:val="00AE5749"/>
    <w:rsid w:val="00AE58A2"/>
    <w:rsid w:val="00AE5B8B"/>
    <w:rsid w:val="00AE5D71"/>
    <w:rsid w:val="00AE5F63"/>
    <w:rsid w:val="00AE5F8F"/>
    <w:rsid w:val="00AE60A1"/>
    <w:rsid w:val="00AE60C2"/>
    <w:rsid w:val="00AE63BE"/>
    <w:rsid w:val="00AE6682"/>
    <w:rsid w:val="00AE6706"/>
    <w:rsid w:val="00AE6834"/>
    <w:rsid w:val="00AE6A22"/>
    <w:rsid w:val="00AE6A5B"/>
    <w:rsid w:val="00AE6AA3"/>
    <w:rsid w:val="00AE6CFD"/>
    <w:rsid w:val="00AE6FD4"/>
    <w:rsid w:val="00AE708C"/>
    <w:rsid w:val="00AE752E"/>
    <w:rsid w:val="00AE754A"/>
    <w:rsid w:val="00AE7A92"/>
    <w:rsid w:val="00AE7AC6"/>
    <w:rsid w:val="00AE7D49"/>
    <w:rsid w:val="00AE7FCE"/>
    <w:rsid w:val="00AF01FE"/>
    <w:rsid w:val="00AF0236"/>
    <w:rsid w:val="00AF03FE"/>
    <w:rsid w:val="00AF0888"/>
    <w:rsid w:val="00AF0EEF"/>
    <w:rsid w:val="00AF0F45"/>
    <w:rsid w:val="00AF0F9C"/>
    <w:rsid w:val="00AF1064"/>
    <w:rsid w:val="00AF1084"/>
    <w:rsid w:val="00AF154C"/>
    <w:rsid w:val="00AF1887"/>
    <w:rsid w:val="00AF1AD1"/>
    <w:rsid w:val="00AF1E3A"/>
    <w:rsid w:val="00AF1F43"/>
    <w:rsid w:val="00AF235B"/>
    <w:rsid w:val="00AF2729"/>
    <w:rsid w:val="00AF28CA"/>
    <w:rsid w:val="00AF294B"/>
    <w:rsid w:val="00AF2997"/>
    <w:rsid w:val="00AF2BDD"/>
    <w:rsid w:val="00AF2D47"/>
    <w:rsid w:val="00AF344A"/>
    <w:rsid w:val="00AF35E2"/>
    <w:rsid w:val="00AF382A"/>
    <w:rsid w:val="00AF3A52"/>
    <w:rsid w:val="00AF3ED6"/>
    <w:rsid w:val="00AF48A1"/>
    <w:rsid w:val="00AF4C61"/>
    <w:rsid w:val="00AF5110"/>
    <w:rsid w:val="00AF5442"/>
    <w:rsid w:val="00AF5DD8"/>
    <w:rsid w:val="00AF5F5E"/>
    <w:rsid w:val="00AF621E"/>
    <w:rsid w:val="00AF63E2"/>
    <w:rsid w:val="00AF64D5"/>
    <w:rsid w:val="00AF665D"/>
    <w:rsid w:val="00AF69A7"/>
    <w:rsid w:val="00AF7687"/>
    <w:rsid w:val="00AF7778"/>
    <w:rsid w:val="00AF7D27"/>
    <w:rsid w:val="00B0004D"/>
    <w:rsid w:val="00B0008C"/>
    <w:rsid w:val="00B0032A"/>
    <w:rsid w:val="00B00330"/>
    <w:rsid w:val="00B00884"/>
    <w:rsid w:val="00B00AFE"/>
    <w:rsid w:val="00B00BAC"/>
    <w:rsid w:val="00B00F1E"/>
    <w:rsid w:val="00B01060"/>
    <w:rsid w:val="00B0138D"/>
    <w:rsid w:val="00B015B9"/>
    <w:rsid w:val="00B01604"/>
    <w:rsid w:val="00B016B6"/>
    <w:rsid w:val="00B01BA9"/>
    <w:rsid w:val="00B01C00"/>
    <w:rsid w:val="00B01D36"/>
    <w:rsid w:val="00B01D66"/>
    <w:rsid w:val="00B0201E"/>
    <w:rsid w:val="00B027CE"/>
    <w:rsid w:val="00B02BB1"/>
    <w:rsid w:val="00B02BD7"/>
    <w:rsid w:val="00B02C27"/>
    <w:rsid w:val="00B02D5C"/>
    <w:rsid w:val="00B02EA9"/>
    <w:rsid w:val="00B02F06"/>
    <w:rsid w:val="00B02FF1"/>
    <w:rsid w:val="00B0317A"/>
    <w:rsid w:val="00B03736"/>
    <w:rsid w:val="00B03AF7"/>
    <w:rsid w:val="00B03E7C"/>
    <w:rsid w:val="00B04342"/>
    <w:rsid w:val="00B043A6"/>
    <w:rsid w:val="00B04502"/>
    <w:rsid w:val="00B04647"/>
    <w:rsid w:val="00B0483A"/>
    <w:rsid w:val="00B049AF"/>
    <w:rsid w:val="00B04EF4"/>
    <w:rsid w:val="00B0558B"/>
    <w:rsid w:val="00B056CF"/>
    <w:rsid w:val="00B05879"/>
    <w:rsid w:val="00B0663D"/>
    <w:rsid w:val="00B068E0"/>
    <w:rsid w:val="00B06B1D"/>
    <w:rsid w:val="00B06B2C"/>
    <w:rsid w:val="00B07034"/>
    <w:rsid w:val="00B07218"/>
    <w:rsid w:val="00B07309"/>
    <w:rsid w:val="00B0751D"/>
    <w:rsid w:val="00B07EC8"/>
    <w:rsid w:val="00B101F7"/>
    <w:rsid w:val="00B1074C"/>
    <w:rsid w:val="00B10BFA"/>
    <w:rsid w:val="00B110F2"/>
    <w:rsid w:val="00B1130B"/>
    <w:rsid w:val="00B115F5"/>
    <w:rsid w:val="00B11874"/>
    <w:rsid w:val="00B118DB"/>
    <w:rsid w:val="00B119D0"/>
    <w:rsid w:val="00B119D7"/>
    <w:rsid w:val="00B11B6F"/>
    <w:rsid w:val="00B11FDD"/>
    <w:rsid w:val="00B12692"/>
    <w:rsid w:val="00B12B89"/>
    <w:rsid w:val="00B131D1"/>
    <w:rsid w:val="00B13C64"/>
    <w:rsid w:val="00B13F44"/>
    <w:rsid w:val="00B140CA"/>
    <w:rsid w:val="00B1423C"/>
    <w:rsid w:val="00B145C7"/>
    <w:rsid w:val="00B147FD"/>
    <w:rsid w:val="00B149D2"/>
    <w:rsid w:val="00B149DA"/>
    <w:rsid w:val="00B14A9F"/>
    <w:rsid w:val="00B15604"/>
    <w:rsid w:val="00B15630"/>
    <w:rsid w:val="00B1567B"/>
    <w:rsid w:val="00B15919"/>
    <w:rsid w:val="00B15931"/>
    <w:rsid w:val="00B15B69"/>
    <w:rsid w:val="00B15C15"/>
    <w:rsid w:val="00B15FD5"/>
    <w:rsid w:val="00B1691C"/>
    <w:rsid w:val="00B16AEE"/>
    <w:rsid w:val="00B16D88"/>
    <w:rsid w:val="00B16E6E"/>
    <w:rsid w:val="00B16E85"/>
    <w:rsid w:val="00B170D7"/>
    <w:rsid w:val="00B1712D"/>
    <w:rsid w:val="00B1738A"/>
    <w:rsid w:val="00B1744A"/>
    <w:rsid w:val="00B17977"/>
    <w:rsid w:val="00B179BF"/>
    <w:rsid w:val="00B17A6E"/>
    <w:rsid w:val="00B17B30"/>
    <w:rsid w:val="00B17B88"/>
    <w:rsid w:val="00B17E68"/>
    <w:rsid w:val="00B17ED4"/>
    <w:rsid w:val="00B20020"/>
    <w:rsid w:val="00B202A1"/>
    <w:rsid w:val="00B202C6"/>
    <w:rsid w:val="00B205A8"/>
    <w:rsid w:val="00B20837"/>
    <w:rsid w:val="00B20A32"/>
    <w:rsid w:val="00B20A9E"/>
    <w:rsid w:val="00B213F2"/>
    <w:rsid w:val="00B2153F"/>
    <w:rsid w:val="00B21567"/>
    <w:rsid w:val="00B21576"/>
    <w:rsid w:val="00B21801"/>
    <w:rsid w:val="00B2198E"/>
    <w:rsid w:val="00B219B9"/>
    <w:rsid w:val="00B21AEE"/>
    <w:rsid w:val="00B21E5E"/>
    <w:rsid w:val="00B21E66"/>
    <w:rsid w:val="00B21F39"/>
    <w:rsid w:val="00B22B7A"/>
    <w:rsid w:val="00B22C56"/>
    <w:rsid w:val="00B22C99"/>
    <w:rsid w:val="00B22CF5"/>
    <w:rsid w:val="00B2307F"/>
    <w:rsid w:val="00B23907"/>
    <w:rsid w:val="00B2409C"/>
    <w:rsid w:val="00B246A8"/>
    <w:rsid w:val="00B24AD0"/>
    <w:rsid w:val="00B24EEF"/>
    <w:rsid w:val="00B252F7"/>
    <w:rsid w:val="00B25387"/>
    <w:rsid w:val="00B25684"/>
    <w:rsid w:val="00B25883"/>
    <w:rsid w:val="00B25A6A"/>
    <w:rsid w:val="00B25E56"/>
    <w:rsid w:val="00B261CC"/>
    <w:rsid w:val="00B26540"/>
    <w:rsid w:val="00B2660E"/>
    <w:rsid w:val="00B26AFE"/>
    <w:rsid w:val="00B26D3A"/>
    <w:rsid w:val="00B2704D"/>
    <w:rsid w:val="00B273A2"/>
    <w:rsid w:val="00B27546"/>
    <w:rsid w:val="00B27579"/>
    <w:rsid w:val="00B27701"/>
    <w:rsid w:val="00B27B16"/>
    <w:rsid w:val="00B30014"/>
    <w:rsid w:val="00B303CD"/>
    <w:rsid w:val="00B30B56"/>
    <w:rsid w:val="00B30D46"/>
    <w:rsid w:val="00B3169C"/>
    <w:rsid w:val="00B316A1"/>
    <w:rsid w:val="00B318B7"/>
    <w:rsid w:val="00B31E8E"/>
    <w:rsid w:val="00B31F6D"/>
    <w:rsid w:val="00B322D2"/>
    <w:rsid w:val="00B32458"/>
    <w:rsid w:val="00B32624"/>
    <w:rsid w:val="00B32886"/>
    <w:rsid w:val="00B32D60"/>
    <w:rsid w:val="00B32FDE"/>
    <w:rsid w:val="00B33233"/>
    <w:rsid w:val="00B337BE"/>
    <w:rsid w:val="00B337D3"/>
    <w:rsid w:val="00B339DC"/>
    <w:rsid w:val="00B33A86"/>
    <w:rsid w:val="00B33AD5"/>
    <w:rsid w:val="00B33B62"/>
    <w:rsid w:val="00B33B65"/>
    <w:rsid w:val="00B341BD"/>
    <w:rsid w:val="00B34327"/>
    <w:rsid w:val="00B34BBF"/>
    <w:rsid w:val="00B34C67"/>
    <w:rsid w:val="00B34DD2"/>
    <w:rsid w:val="00B34F72"/>
    <w:rsid w:val="00B34FE0"/>
    <w:rsid w:val="00B35B06"/>
    <w:rsid w:val="00B35DC2"/>
    <w:rsid w:val="00B35DFE"/>
    <w:rsid w:val="00B36220"/>
    <w:rsid w:val="00B36586"/>
    <w:rsid w:val="00B365E9"/>
    <w:rsid w:val="00B36772"/>
    <w:rsid w:val="00B36899"/>
    <w:rsid w:val="00B36966"/>
    <w:rsid w:val="00B36A35"/>
    <w:rsid w:val="00B37056"/>
    <w:rsid w:val="00B37969"/>
    <w:rsid w:val="00B37A91"/>
    <w:rsid w:val="00B40111"/>
    <w:rsid w:val="00B4046A"/>
    <w:rsid w:val="00B406D1"/>
    <w:rsid w:val="00B40860"/>
    <w:rsid w:val="00B40AFE"/>
    <w:rsid w:val="00B40CE3"/>
    <w:rsid w:val="00B4106B"/>
    <w:rsid w:val="00B41071"/>
    <w:rsid w:val="00B41323"/>
    <w:rsid w:val="00B415B0"/>
    <w:rsid w:val="00B417B9"/>
    <w:rsid w:val="00B419DB"/>
    <w:rsid w:val="00B41E67"/>
    <w:rsid w:val="00B42040"/>
    <w:rsid w:val="00B421BB"/>
    <w:rsid w:val="00B424A8"/>
    <w:rsid w:val="00B42561"/>
    <w:rsid w:val="00B4269D"/>
    <w:rsid w:val="00B4280D"/>
    <w:rsid w:val="00B429E6"/>
    <w:rsid w:val="00B42BC9"/>
    <w:rsid w:val="00B4327C"/>
    <w:rsid w:val="00B432E1"/>
    <w:rsid w:val="00B43659"/>
    <w:rsid w:val="00B43ABD"/>
    <w:rsid w:val="00B43DCB"/>
    <w:rsid w:val="00B440A5"/>
    <w:rsid w:val="00B44AAD"/>
    <w:rsid w:val="00B44AF1"/>
    <w:rsid w:val="00B44D97"/>
    <w:rsid w:val="00B45B76"/>
    <w:rsid w:val="00B46020"/>
    <w:rsid w:val="00B46483"/>
    <w:rsid w:val="00B464E5"/>
    <w:rsid w:val="00B46BFD"/>
    <w:rsid w:val="00B46EF3"/>
    <w:rsid w:val="00B4714D"/>
    <w:rsid w:val="00B4745A"/>
    <w:rsid w:val="00B47508"/>
    <w:rsid w:val="00B47A83"/>
    <w:rsid w:val="00B47BA2"/>
    <w:rsid w:val="00B47D6F"/>
    <w:rsid w:val="00B500F6"/>
    <w:rsid w:val="00B502C3"/>
    <w:rsid w:val="00B5040D"/>
    <w:rsid w:val="00B50654"/>
    <w:rsid w:val="00B508CD"/>
    <w:rsid w:val="00B50941"/>
    <w:rsid w:val="00B50A8F"/>
    <w:rsid w:val="00B50B42"/>
    <w:rsid w:val="00B50BCD"/>
    <w:rsid w:val="00B51236"/>
    <w:rsid w:val="00B51789"/>
    <w:rsid w:val="00B518D4"/>
    <w:rsid w:val="00B51DB1"/>
    <w:rsid w:val="00B51E7B"/>
    <w:rsid w:val="00B51EFA"/>
    <w:rsid w:val="00B520FF"/>
    <w:rsid w:val="00B52A44"/>
    <w:rsid w:val="00B52C50"/>
    <w:rsid w:val="00B531EB"/>
    <w:rsid w:val="00B5335F"/>
    <w:rsid w:val="00B53574"/>
    <w:rsid w:val="00B536D0"/>
    <w:rsid w:val="00B539F3"/>
    <w:rsid w:val="00B53C8E"/>
    <w:rsid w:val="00B53D29"/>
    <w:rsid w:val="00B54320"/>
    <w:rsid w:val="00B543A9"/>
    <w:rsid w:val="00B54A23"/>
    <w:rsid w:val="00B54BA4"/>
    <w:rsid w:val="00B54DEE"/>
    <w:rsid w:val="00B54E43"/>
    <w:rsid w:val="00B54FAB"/>
    <w:rsid w:val="00B553D9"/>
    <w:rsid w:val="00B555DD"/>
    <w:rsid w:val="00B5578E"/>
    <w:rsid w:val="00B5597E"/>
    <w:rsid w:val="00B55F79"/>
    <w:rsid w:val="00B56037"/>
    <w:rsid w:val="00B56A58"/>
    <w:rsid w:val="00B56D89"/>
    <w:rsid w:val="00B56EFD"/>
    <w:rsid w:val="00B57104"/>
    <w:rsid w:val="00B5725D"/>
    <w:rsid w:val="00B5728A"/>
    <w:rsid w:val="00B576E8"/>
    <w:rsid w:val="00B57711"/>
    <w:rsid w:val="00B57763"/>
    <w:rsid w:val="00B57880"/>
    <w:rsid w:val="00B57985"/>
    <w:rsid w:val="00B57A0C"/>
    <w:rsid w:val="00B57ACE"/>
    <w:rsid w:val="00B57B6E"/>
    <w:rsid w:val="00B60235"/>
    <w:rsid w:val="00B602A9"/>
    <w:rsid w:val="00B606A0"/>
    <w:rsid w:val="00B606E0"/>
    <w:rsid w:val="00B6094E"/>
    <w:rsid w:val="00B60C9E"/>
    <w:rsid w:val="00B60D6C"/>
    <w:rsid w:val="00B60E79"/>
    <w:rsid w:val="00B612D2"/>
    <w:rsid w:val="00B6147C"/>
    <w:rsid w:val="00B61619"/>
    <w:rsid w:val="00B616CD"/>
    <w:rsid w:val="00B617FF"/>
    <w:rsid w:val="00B61DD5"/>
    <w:rsid w:val="00B620F0"/>
    <w:rsid w:val="00B621BE"/>
    <w:rsid w:val="00B623A8"/>
    <w:rsid w:val="00B628AA"/>
    <w:rsid w:val="00B629DC"/>
    <w:rsid w:val="00B62B01"/>
    <w:rsid w:val="00B630C0"/>
    <w:rsid w:val="00B63533"/>
    <w:rsid w:val="00B636AE"/>
    <w:rsid w:val="00B638E5"/>
    <w:rsid w:val="00B63C05"/>
    <w:rsid w:val="00B63D8F"/>
    <w:rsid w:val="00B63EF2"/>
    <w:rsid w:val="00B63F5E"/>
    <w:rsid w:val="00B64477"/>
    <w:rsid w:val="00B6464C"/>
    <w:rsid w:val="00B6466E"/>
    <w:rsid w:val="00B647AF"/>
    <w:rsid w:val="00B647D9"/>
    <w:rsid w:val="00B64B0B"/>
    <w:rsid w:val="00B64F42"/>
    <w:rsid w:val="00B65026"/>
    <w:rsid w:val="00B651D5"/>
    <w:rsid w:val="00B652EE"/>
    <w:rsid w:val="00B655D6"/>
    <w:rsid w:val="00B65B86"/>
    <w:rsid w:val="00B65B8A"/>
    <w:rsid w:val="00B65F2D"/>
    <w:rsid w:val="00B66144"/>
    <w:rsid w:val="00B664A7"/>
    <w:rsid w:val="00B66B79"/>
    <w:rsid w:val="00B66B9E"/>
    <w:rsid w:val="00B66FF4"/>
    <w:rsid w:val="00B6768B"/>
    <w:rsid w:val="00B6778A"/>
    <w:rsid w:val="00B679A2"/>
    <w:rsid w:val="00B7034D"/>
    <w:rsid w:val="00B705EC"/>
    <w:rsid w:val="00B70854"/>
    <w:rsid w:val="00B70B77"/>
    <w:rsid w:val="00B70C13"/>
    <w:rsid w:val="00B70CBF"/>
    <w:rsid w:val="00B70F81"/>
    <w:rsid w:val="00B71057"/>
    <w:rsid w:val="00B713CB"/>
    <w:rsid w:val="00B7179C"/>
    <w:rsid w:val="00B717D8"/>
    <w:rsid w:val="00B71861"/>
    <w:rsid w:val="00B71976"/>
    <w:rsid w:val="00B71C16"/>
    <w:rsid w:val="00B7215D"/>
    <w:rsid w:val="00B72882"/>
    <w:rsid w:val="00B72FCA"/>
    <w:rsid w:val="00B73295"/>
    <w:rsid w:val="00B732D2"/>
    <w:rsid w:val="00B7337D"/>
    <w:rsid w:val="00B7347A"/>
    <w:rsid w:val="00B73860"/>
    <w:rsid w:val="00B73E3D"/>
    <w:rsid w:val="00B73EB7"/>
    <w:rsid w:val="00B746F1"/>
    <w:rsid w:val="00B747CF"/>
    <w:rsid w:val="00B74941"/>
    <w:rsid w:val="00B74959"/>
    <w:rsid w:val="00B74FD9"/>
    <w:rsid w:val="00B75152"/>
    <w:rsid w:val="00B7527A"/>
    <w:rsid w:val="00B7543E"/>
    <w:rsid w:val="00B754B1"/>
    <w:rsid w:val="00B75890"/>
    <w:rsid w:val="00B7599B"/>
    <w:rsid w:val="00B75E00"/>
    <w:rsid w:val="00B75E3B"/>
    <w:rsid w:val="00B769D8"/>
    <w:rsid w:val="00B76BE2"/>
    <w:rsid w:val="00B76BEE"/>
    <w:rsid w:val="00B77182"/>
    <w:rsid w:val="00B7721F"/>
    <w:rsid w:val="00B77E7C"/>
    <w:rsid w:val="00B803CA"/>
    <w:rsid w:val="00B80988"/>
    <w:rsid w:val="00B80DAD"/>
    <w:rsid w:val="00B80DEC"/>
    <w:rsid w:val="00B81367"/>
    <w:rsid w:val="00B819DB"/>
    <w:rsid w:val="00B81BF2"/>
    <w:rsid w:val="00B81F26"/>
    <w:rsid w:val="00B824C1"/>
    <w:rsid w:val="00B824E4"/>
    <w:rsid w:val="00B82616"/>
    <w:rsid w:val="00B82629"/>
    <w:rsid w:val="00B8265D"/>
    <w:rsid w:val="00B82823"/>
    <w:rsid w:val="00B82A97"/>
    <w:rsid w:val="00B82DC2"/>
    <w:rsid w:val="00B83020"/>
    <w:rsid w:val="00B834BB"/>
    <w:rsid w:val="00B836C8"/>
    <w:rsid w:val="00B83744"/>
    <w:rsid w:val="00B83F00"/>
    <w:rsid w:val="00B84272"/>
    <w:rsid w:val="00B84282"/>
    <w:rsid w:val="00B84726"/>
    <w:rsid w:val="00B84800"/>
    <w:rsid w:val="00B84D29"/>
    <w:rsid w:val="00B84F09"/>
    <w:rsid w:val="00B84FDB"/>
    <w:rsid w:val="00B8512B"/>
    <w:rsid w:val="00B856E1"/>
    <w:rsid w:val="00B85706"/>
    <w:rsid w:val="00B85707"/>
    <w:rsid w:val="00B857A9"/>
    <w:rsid w:val="00B85A2D"/>
    <w:rsid w:val="00B85A44"/>
    <w:rsid w:val="00B85B75"/>
    <w:rsid w:val="00B85F57"/>
    <w:rsid w:val="00B860C8"/>
    <w:rsid w:val="00B86176"/>
    <w:rsid w:val="00B86389"/>
    <w:rsid w:val="00B865BB"/>
    <w:rsid w:val="00B866B6"/>
    <w:rsid w:val="00B87077"/>
    <w:rsid w:val="00B874F7"/>
    <w:rsid w:val="00B87A21"/>
    <w:rsid w:val="00B87AC6"/>
    <w:rsid w:val="00B87E1B"/>
    <w:rsid w:val="00B906D3"/>
    <w:rsid w:val="00B90862"/>
    <w:rsid w:val="00B90C7D"/>
    <w:rsid w:val="00B90DD1"/>
    <w:rsid w:val="00B90E71"/>
    <w:rsid w:val="00B91311"/>
    <w:rsid w:val="00B91623"/>
    <w:rsid w:val="00B9173B"/>
    <w:rsid w:val="00B92157"/>
    <w:rsid w:val="00B9237D"/>
    <w:rsid w:val="00B923C2"/>
    <w:rsid w:val="00B92A32"/>
    <w:rsid w:val="00B92E44"/>
    <w:rsid w:val="00B92E5F"/>
    <w:rsid w:val="00B93130"/>
    <w:rsid w:val="00B9364D"/>
    <w:rsid w:val="00B93653"/>
    <w:rsid w:val="00B936B4"/>
    <w:rsid w:val="00B938F8"/>
    <w:rsid w:val="00B93ADF"/>
    <w:rsid w:val="00B93BCD"/>
    <w:rsid w:val="00B93C13"/>
    <w:rsid w:val="00B93DAB"/>
    <w:rsid w:val="00B93DE3"/>
    <w:rsid w:val="00B94298"/>
    <w:rsid w:val="00B94822"/>
    <w:rsid w:val="00B949E8"/>
    <w:rsid w:val="00B94C9D"/>
    <w:rsid w:val="00B94EF3"/>
    <w:rsid w:val="00B95349"/>
    <w:rsid w:val="00B9577E"/>
    <w:rsid w:val="00B9613F"/>
    <w:rsid w:val="00B96362"/>
    <w:rsid w:val="00B96851"/>
    <w:rsid w:val="00B96973"/>
    <w:rsid w:val="00B969CD"/>
    <w:rsid w:val="00B96A61"/>
    <w:rsid w:val="00B9727A"/>
    <w:rsid w:val="00B9740E"/>
    <w:rsid w:val="00BA070E"/>
    <w:rsid w:val="00BA0D08"/>
    <w:rsid w:val="00BA10EC"/>
    <w:rsid w:val="00BA1296"/>
    <w:rsid w:val="00BA1355"/>
    <w:rsid w:val="00BA14CB"/>
    <w:rsid w:val="00BA1563"/>
    <w:rsid w:val="00BA2073"/>
    <w:rsid w:val="00BA2314"/>
    <w:rsid w:val="00BA23F8"/>
    <w:rsid w:val="00BA2766"/>
    <w:rsid w:val="00BA2C8A"/>
    <w:rsid w:val="00BA2FFA"/>
    <w:rsid w:val="00BA327E"/>
    <w:rsid w:val="00BA396F"/>
    <w:rsid w:val="00BA40D4"/>
    <w:rsid w:val="00BA412C"/>
    <w:rsid w:val="00BA417C"/>
    <w:rsid w:val="00BA46C9"/>
    <w:rsid w:val="00BA4817"/>
    <w:rsid w:val="00BA4E57"/>
    <w:rsid w:val="00BA4ED5"/>
    <w:rsid w:val="00BA5785"/>
    <w:rsid w:val="00BA5833"/>
    <w:rsid w:val="00BA6525"/>
    <w:rsid w:val="00BA6662"/>
    <w:rsid w:val="00BA66EA"/>
    <w:rsid w:val="00BA6CF1"/>
    <w:rsid w:val="00BA7074"/>
    <w:rsid w:val="00BA70B3"/>
    <w:rsid w:val="00BA7528"/>
    <w:rsid w:val="00BA777A"/>
    <w:rsid w:val="00BA7C90"/>
    <w:rsid w:val="00BA7FF7"/>
    <w:rsid w:val="00BB0225"/>
    <w:rsid w:val="00BB0847"/>
    <w:rsid w:val="00BB10A8"/>
    <w:rsid w:val="00BB1294"/>
    <w:rsid w:val="00BB12EC"/>
    <w:rsid w:val="00BB1B3A"/>
    <w:rsid w:val="00BB1B92"/>
    <w:rsid w:val="00BB20AC"/>
    <w:rsid w:val="00BB241E"/>
    <w:rsid w:val="00BB2567"/>
    <w:rsid w:val="00BB2658"/>
    <w:rsid w:val="00BB2B03"/>
    <w:rsid w:val="00BB2B28"/>
    <w:rsid w:val="00BB3296"/>
    <w:rsid w:val="00BB3462"/>
    <w:rsid w:val="00BB36A4"/>
    <w:rsid w:val="00BB38CA"/>
    <w:rsid w:val="00BB3C99"/>
    <w:rsid w:val="00BB3C9C"/>
    <w:rsid w:val="00BB3ECB"/>
    <w:rsid w:val="00BB42E0"/>
    <w:rsid w:val="00BB47AD"/>
    <w:rsid w:val="00BB4EC9"/>
    <w:rsid w:val="00BB5129"/>
    <w:rsid w:val="00BB5182"/>
    <w:rsid w:val="00BB51B9"/>
    <w:rsid w:val="00BB523B"/>
    <w:rsid w:val="00BB556C"/>
    <w:rsid w:val="00BB59A5"/>
    <w:rsid w:val="00BB5C82"/>
    <w:rsid w:val="00BB5D49"/>
    <w:rsid w:val="00BB6456"/>
    <w:rsid w:val="00BB690F"/>
    <w:rsid w:val="00BB6F0B"/>
    <w:rsid w:val="00BB720B"/>
    <w:rsid w:val="00BB7282"/>
    <w:rsid w:val="00BB7306"/>
    <w:rsid w:val="00BB75D1"/>
    <w:rsid w:val="00BB78B1"/>
    <w:rsid w:val="00BC04CE"/>
    <w:rsid w:val="00BC06D9"/>
    <w:rsid w:val="00BC078F"/>
    <w:rsid w:val="00BC08F4"/>
    <w:rsid w:val="00BC090A"/>
    <w:rsid w:val="00BC092F"/>
    <w:rsid w:val="00BC0977"/>
    <w:rsid w:val="00BC0B78"/>
    <w:rsid w:val="00BC10DC"/>
    <w:rsid w:val="00BC148D"/>
    <w:rsid w:val="00BC1595"/>
    <w:rsid w:val="00BC1B43"/>
    <w:rsid w:val="00BC1B66"/>
    <w:rsid w:val="00BC1F16"/>
    <w:rsid w:val="00BC2442"/>
    <w:rsid w:val="00BC26E3"/>
    <w:rsid w:val="00BC2751"/>
    <w:rsid w:val="00BC276F"/>
    <w:rsid w:val="00BC3459"/>
    <w:rsid w:val="00BC3466"/>
    <w:rsid w:val="00BC3737"/>
    <w:rsid w:val="00BC3834"/>
    <w:rsid w:val="00BC3A68"/>
    <w:rsid w:val="00BC3D81"/>
    <w:rsid w:val="00BC3D85"/>
    <w:rsid w:val="00BC3FBD"/>
    <w:rsid w:val="00BC4409"/>
    <w:rsid w:val="00BC4470"/>
    <w:rsid w:val="00BC488F"/>
    <w:rsid w:val="00BC4B04"/>
    <w:rsid w:val="00BC4C4C"/>
    <w:rsid w:val="00BC5275"/>
    <w:rsid w:val="00BC5397"/>
    <w:rsid w:val="00BC542F"/>
    <w:rsid w:val="00BC5481"/>
    <w:rsid w:val="00BC56DD"/>
    <w:rsid w:val="00BC5A63"/>
    <w:rsid w:val="00BC5CA6"/>
    <w:rsid w:val="00BC6092"/>
    <w:rsid w:val="00BC63BF"/>
    <w:rsid w:val="00BC674F"/>
    <w:rsid w:val="00BC69FC"/>
    <w:rsid w:val="00BC6A50"/>
    <w:rsid w:val="00BC6BB6"/>
    <w:rsid w:val="00BC6D91"/>
    <w:rsid w:val="00BC7188"/>
    <w:rsid w:val="00BC7286"/>
    <w:rsid w:val="00BC7417"/>
    <w:rsid w:val="00BC765A"/>
    <w:rsid w:val="00BC7A22"/>
    <w:rsid w:val="00BD0988"/>
    <w:rsid w:val="00BD17E8"/>
    <w:rsid w:val="00BD18E4"/>
    <w:rsid w:val="00BD1A46"/>
    <w:rsid w:val="00BD1AE2"/>
    <w:rsid w:val="00BD1CDF"/>
    <w:rsid w:val="00BD1F66"/>
    <w:rsid w:val="00BD28C3"/>
    <w:rsid w:val="00BD2B37"/>
    <w:rsid w:val="00BD3112"/>
    <w:rsid w:val="00BD3225"/>
    <w:rsid w:val="00BD3554"/>
    <w:rsid w:val="00BD37FD"/>
    <w:rsid w:val="00BD38FF"/>
    <w:rsid w:val="00BD3D43"/>
    <w:rsid w:val="00BD4148"/>
    <w:rsid w:val="00BD4162"/>
    <w:rsid w:val="00BD416F"/>
    <w:rsid w:val="00BD4303"/>
    <w:rsid w:val="00BD4379"/>
    <w:rsid w:val="00BD4721"/>
    <w:rsid w:val="00BD48CF"/>
    <w:rsid w:val="00BD48EC"/>
    <w:rsid w:val="00BD4A80"/>
    <w:rsid w:val="00BD4B25"/>
    <w:rsid w:val="00BD51B5"/>
    <w:rsid w:val="00BD56E4"/>
    <w:rsid w:val="00BD5AE9"/>
    <w:rsid w:val="00BD5D50"/>
    <w:rsid w:val="00BD5E68"/>
    <w:rsid w:val="00BD609B"/>
    <w:rsid w:val="00BD62BB"/>
    <w:rsid w:val="00BD62E6"/>
    <w:rsid w:val="00BD6394"/>
    <w:rsid w:val="00BD64BE"/>
    <w:rsid w:val="00BD64C0"/>
    <w:rsid w:val="00BD65B5"/>
    <w:rsid w:val="00BD67F3"/>
    <w:rsid w:val="00BD6D2B"/>
    <w:rsid w:val="00BD6E47"/>
    <w:rsid w:val="00BD7306"/>
    <w:rsid w:val="00BD7311"/>
    <w:rsid w:val="00BD749B"/>
    <w:rsid w:val="00BD74FE"/>
    <w:rsid w:val="00BD76DA"/>
    <w:rsid w:val="00BD7D39"/>
    <w:rsid w:val="00BD7DBD"/>
    <w:rsid w:val="00BD7FC2"/>
    <w:rsid w:val="00BE00EA"/>
    <w:rsid w:val="00BE066A"/>
    <w:rsid w:val="00BE0726"/>
    <w:rsid w:val="00BE07CF"/>
    <w:rsid w:val="00BE0875"/>
    <w:rsid w:val="00BE0AB0"/>
    <w:rsid w:val="00BE0E04"/>
    <w:rsid w:val="00BE0FA7"/>
    <w:rsid w:val="00BE0FDE"/>
    <w:rsid w:val="00BE1088"/>
    <w:rsid w:val="00BE174A"/>
    <w:rsid w:val="00BE1BCD"/>
    <w:rsid w:val="00BE1E07"/>
    <w:rsid w:val="00BE2300"/>
    <w:rsid w:val="00BE2334"/>
    <w:rsid w:val="00BE2514"/>
    <w:rsid w:val="00BE2600"/>
    <w:rsid w:val="00BE265A"/>
    <w:rsid w:val="00BE2BB9"/>
    <w:rsid w:val="00BE2EB7"/>
    <w:rsid w:val="00BE301F"/>
    <w:rsid w:val="00BE3465"/>
    <w:rsid w:val="00BE34DC"/>
    <w:rsid w:val="00BE38A3"/>
    <w:rsid w:val="00BE406A"/>
    <w:rsid w:val="00BE461A"/>
    <w:rsid w:val="00BE489A"/>
    <w:rsid w:val="00BE4A93"/>
    <w:rsid w:val="00BE4D52"/>
    <w:rsid w:val="00BE54ED"/>
    <w:rsid w:val="00BE569B"/>
    <w:rsid w:val="00BE58EE"/>
    <w:rsid w:val="00BE5933"/>
    <w:rsid w:val="00BE5951"/>
    <w:rsid w:val="00BE5A63"/>
    <w:rsid w:val="00BE61DF"/>
    <w:rsid w:val="00BE6680"/>
    <w:rsid w:val="00BE6942"/>
    <w:rsid w:val="00BE69FC"/>
    <w:rsid w:val="00BE6B94"/>
    <w:rsid w:val="00BE6EFF"/>
    <w:rsid w:val="00BE73FF"/>
    <w:rsid w:val="00BE7753"/>
    <w:rsid w:val="00BE7822"/>
    <w:rsid w:val="00BE7907"/>
    <w:rsid w:val="00BE7AAC"/>
    <w:rsid w:val="00BE7AE0"/>
    <w:rsid w:val="00BF0301"/>
    <w:rsid w:val="00BF0BFA"/>
    <w:rsid w:val="00BF0C84"/>
    <w:rsid w:val="00BF0D06"/>
    <w:rsid w:val="00BF0D7B"/>
    <w:rsid w:val="00BF0D88"/>
    <w:rsid w:val="00BF0F42"/>
    <w:rsid w:val="00BF12CA"/>
    <w:rsid w:val="00BF1635"/>
    <w:rsid w:val="00BF1DF3"/>
    <w:rsid w:val="00BF1F6B"/>
    <w:rsid w:val="00BF243C"/>
    <w:rsid w:val="00BF288E"/>
    <w:rsid w:val="00BF290F"/>
    <w:rsid w:val="00BF2A30"/>
    <w:rsid w:val="00BF2B5B"/>
    <w:rsid w:val="00BF307E"/>
    <w:rsid w:val="00BF3094"/>
    <w:rsid w:val="00BF312B"/>
    <w:rsid w:val="00BF315D"/>
    <w:rsid w:val="00BF3908"/>
    <w:rsid w:val="00BF3972"/>
    <w:rsid w:val="00BF3984"/>
    <w:rsid w:val="00BF3AE0"/>
    <w:rsid w:val="00BF4427"/>
    <w:rsid w:val="00BF478A"/>
    <w:rsid w:val="00BF4A9A"/>
    <w:rsid w:val="00BF4EC1"/>
    <w:rsid w:val="00BF4FFB"/>
    <w:rsid w:val="00BF52F2"/>
    <w:rsid w:val="00BF56F0"/>
    <w:rsid w:val="00BF57DC"/>
    <w:rsid w:val="00BF5DED"/>
    <w:rsid w:val="00BF5E5D"/>
    <w:rsid w:val="00BF65B6"/>
    <w:rsid w:val="00BF687B"/>
    <w:rsid w:val="00BF6B7F"/>
    <w:rsid w:val="00BF6D19"/>
    <w:rsid w:val="00BF6E72"/>
    <w:rsid w:val="00BF6F84"/>
    <w:rsid w:val="00BF706A"/>
    <w:rsid w:val="00BF7480"/>
    <w:rsid w:val="00BF7541"/>
    <w:rsid w:val="00BF7673"/>
    <w:rsid w:val="00BF76A9"/>
    <w:rsid w:val="00BF78CD"/>
    <w:rsid w:val="00BF7A91"/>
    <w:rsid w:val="00BF7E14"/>
    <w:rsid w:val="00C00168"/>
    <w:rsid w:val="00C00D62"/>
    <w:rsid w:val="00C00F8F"/>
    <w:rsid w:val="00C017CC"/>
    <w:rsid w:val="00C0182F"/>
    <w:rsid w:val="00C018EA"/>
    <w:rsid w:val="00C02659"/>
    <w:rsid w:val="00C027E8"/>
    <w:rsid w:val="00C02BE5"/>
    <w:rsid w:val="00C02F28"/>
    <w:rsid w:val="00C03452"/>
    <w:rsid w:val="00C03F3D"/>
    <w:rsid w:val="00C040AF"/>
    <w:rsid w:val="00C04536"/>
    <w:rsid w:val="00C048C1"/>
    <w:rsid w:val="00C04BBA"/>
    <w:rsid w:val="00C05478"/>
    <w:rsid w:val="00C055B5"/>
    <w:rsid w:val="00C05659"/>
    <w:rsid w:val="00C05811"/>
    <w:rsid w:val="00C058EB"/>
    <w:rsid w:val="00C05A16"/>
    <w:rsid w:val="00C05F8C"/>
    <w:rsid w:val="00C063E1"/>
    <w:rsid w:val="00C06464"/>
    <w:rsid w:val="00C0649F"/>
    <w:rsid w:val="00C06791"/>
    <w:rsid w:val="00C06892"/>
    <w:rsid w:val="00C06AAF"/>
    <w:rsid w:val="00C06C28"/>
    <w:rsid w:val="00C07040"/>
    <w:rsid w:val="00C0770C"/>
    <w:rsid w:val="00C07805"/>
    <w:rsid w:val="00C07C59"/>
    <w:rsid w:val="00C07E5A"/>
    <w:rsid w:val="00C07FB7"/>
    <w:rsid w:val="00C10071"/>
    <w:rsid w:val="00C1014A"/>
    <w:rsid w:val="00C102EA"/>
    <w:rsid w:val="00C1038D"/>
    <w:rsid w:val="00C103BC"/>
    <w:rsid w:val="00C108CF"/>
    <w:rsid w:val="00C10DA8"/>
    <w:rsid w:val="00C10F2D"/>
    <w:rsid w:val="00C110EE"/>
    <w:rsid w:val="00C111A9"/>
    <w:rsid w:val="00C111C0"/>
    <w:rsid w:val="00C1138E"/>
    <w:rsid w:val="00C116EB"/>
    <w:rsid w:val="00C11726"/>
    <w:rsid w:val="00C119D3"/>
    <w:rsid w:val="00C11F1C"/>
    <w:rsid w:val="00C11F23"/>
    <w:rsid w:val="00C127E9"/>
    <w:rsid w:val="00C12801"/>
    <w:rsid w:val="00C12DDA"/>
    <w:rsid w:val="00C12E7E"/>
    <w:rsid w:val="00C13514"/>
    <w:rsid w:val="00C1366A"/>
    <w:rsid w:val="00C1382C"/>
    <w:rsid w:val="00C1385A"/>
    <w:rsid w:val="00C13AC7"/>
    <w:rsid w:val="00C13DC6"/>
    <w:rsid w:val="00C14BBC"/>
    <w:rsid w:val="00C14C57"/>
    <w:rsid w:val="00C14D2A"/>
    <w:rsid w:val="00C15147"/>
    <w:rsid w:val="00C15549"/>
    <w:rsid w:val="00C15732"/>
    <w:rsid w:val="00C1575C"/>
    <w:rsid w:val="00C15C6A"/>
    <w:rsid w:val="00C162DB"/>
    <w:rsid w:val="00C1654B"/>
    <w:rsid w:val="00C166D5"/>
    <w:rsid w:val="00C16896"/>
    <w:rsid w:val="00C17052"/>
    <w:rsid w:val="00C1706C"/>
    <w:rsid w:val="00C17419"/>
    <w:rsid w:val="00C1762F"/>
    <w:rsid w:val="00C179BA"/>
    <w:rsid w:val="00C200E3"/>
    <w:rsid w:val="00C20335"/>
    <w:rsid w:val="00C203FF"/>
    <w:rsid w:val="00C2098C"/>
    <w:rsid w:val="00C20A32"/>
    <w:rsid w:val="00C20DFF"/>
    <w:rsid w:val="00C20EA2"/>
    <w:rsid w:val="00C20EC3"/>
    <w:rsid w:val="00C210F6"/>
    <w:rsid w:val="00C21397"/>
    <w:rsid w:val="00C21474"/>
    <w:rsid w:val="00C21B69"/>
    <w:rsid w:val="00C223CB"/>
    <w:rsid w:val="00C22B0C"/>
    <w:rsid w:val="00C22B98"/>
    <w:rsid w:val="00C22C10"/>
    <w:rsid w:val="00C23299"/>
    <w:rsid w:val="00C23881"/>
    <w:rsid w:val="00C23920"/>
    <w:rsid w:val="00C23AD0"/>
    <w:rsid w:val="00C23E50"/>
    <w:rsid w:val="00C23EF6"/>
    <w:rsid w:val="00C24550"/>
    <w:rsid w:val="00C24BE8"/>
    <w:rsid w:val="00C24D14"/>
    <w:rsid w:val="00C24EC4"/>
    <w:rsid w:val="00C2525A"/>
    <w:rsid w:val="00C256E6"/>
    <w:rsid w:val="00C256F2"/>
    <w:rsid w:val="00C2594F"/>
    <w:rsid w:val="00C25AA7"/>
    <w:rsid w:val="00C25E9D"/>
    <w:rsid w:val="00C25EC4"/>
    <w:rsid w:val="00C26412"/>
    <w:rsid w:val="00C265D7"/>
    <w:rsid w:val="00C266C1"/>
    <w:rsid w:val="00C267C1"/>
    <w:rsid w:val="00C26943"/>
    <w:rsid w:val="00C26A04"/>
    <w:rsid w:val="00C26B74"/>
    <w:rsid w:val="00C26BA5"/>
    <w:rsid w:val="00C26D60"/>
    <w:rsid w:val="00C26EE5"/>
    <w:rsid w:val="00C274B9"/>
    <w:rsid w:val="00C2764A"/>
    <w:rsid w:val="00C27679"/>
    <w:rsid w:val="00C27926"/>
    <w:rsid w:val="00C27AF7"/>
    <w:rsid w:val="00C27C4E"/>
    <w:rsid w:val="00C27E35"/>
    <w:rsid w:val="00C30827"/>
    <w:rsid w:val="00C308F7"/>
    <w:rsid w:val="00C30B6D"/>
    <w:rsid w:val="00C30EC6"/>
    <w:rsid w:val="00C317C6"/>
    <w:rsid w:val="00C31995"/>
    <w:rsid w:val="00C31D1B"/>
    <w:rsid w:val="00C31FA5"/>
    <w:rsid w:val="00C32839"/>
    <w:rsid w:val="00C32CE2"/>
    <w:rsid w:val="00C32E76"/>
    <w:rsid w:val="00C32F65"/>
    <w:rsid w:val="00C32FA7"/>
    <w:rsid w:val="00C33139"/>
    <w:rsid w:val="00C333C5"/>
    <w:rsid w:val="00C33620"/>
    <w:rsid w:val="00C339C7"/>
    <w:rsid w:val="00C33BBA"/>
    <w:rsid w:val="00C347C6"/>
    <w:rsid w:val="00C347F6"/>
    <w:rsid w:val="00C34B9A"/>
    <w:rsid w:val="00C34E9D"/>
    <w:rsid w:val="00C35029"/>
    <w:rsid w:val="00C3516C"/>
    <w:rsid w:val="00C3546F"/>
    <w:rsid w:val="00C354B1"/>
    <w:rsid w:val="00C3570B"/>
    <w:rsid w:val="00C35AC3"/>
    <w:rsid w:val="00C367D9"/>
    <w:rsid w:val="00C36B6B"/>
    <w:rsid w:val="00C36C41"/>
    <w:rsid w:val="00C36D65"/>
    <w:rsid w:val="00C37A09"/>
    <w:rsid w:val="00C37A69"/>
    <w:rsid w:val="00C37DCF"/>
    <w:rsid w:val="00C37E88"/>
    <w:rsid w:val="00C40445"/>
    <w:rsid w:val="00C4058D"/>
    <w:rsid w:val="00C411CA"/>
    <w:rsid w:val="00C41717"/>
    <w:rsid w:val="00C4188E"/>
    <w:rsid w:val="00C41ABE"/>
    <w:rsid w:val="00C41B45"/>
    <w:rsid w:val="00C41E8E"/>
    <w:rsid w:val="00C42019"/>
    <w:rsid w:val="00C42965"/>
    <w:rsid w:val="00C434A8"/>
    <w:rsid w:val="00C43516"/>
    <w:rsid w:val="00C43706"/>
    <w:rsid w:val="00C43B1B"/>
    <w:rsid w:val="00C43C02"/>
    <w:rsid w:val="00C43C49"/>
    <w:rsid w:val="00C4453C"/>
    <w:rsid w:val="00C446FD"/>
    <w:rsid w:val="00C44908"/>
    <w:rsid w:val="00C44F84"/>
    <w:rsid w:val="00C45BA3"/>
    <w:rsid w:val="00C45D2C"/>
    <w:rsid w:val="00C46426"/>
    <w:rsid w:val="00C464A3"/>
    <w:rsid w:val="00C464F4"/>
    <w:rsid w:val="00C46A11"/>
    <w:rsid w:val="00C46AC8"/>
    <w:rsid w:val="00C46BBC"/>
    <w:rsid w:val="00C470B0"/>
    <w:rsid w:val="00C473BB"/>
    <w:rsid w:val="00C47974"/>
    <w:rsid w:val="00C47CB4"/>
    <w:rsid w:val="00C50229"/>
    <w:rsid w:val="00C50355"/>
    <w:rsid w:val="00C50756"/>
    <w:rsid w:val="00C50F2F"/>
    <w:rsid w:val="00C51111"/>
    <w:rsid w:val="00C5138C"/>
    <w:rsid w:val="00C519AB"/>
    <w:rsid w:val="00C51A71"/>
    <w:rsid w:val="00C51CD4"/>
    <w:rsid w:val="00C52135"/>
    <w:rsid w:val="00C5262E"/>
    <w:rsid w:val="00C526C5"/>
    <w:rsid w:val="00C52B4F"/>
    <w:rsid w:val="00C52D1C"/>
    <w:rsid w:val="00C52E77"/>
    <w:rsid w:val="00C52FF2"/>
    <w:rsid w:val="00C536C3"/>
    <w:rsid w:val="00C5374D"/>
    <w:rsid w:val="00C53766"/>
    <w:rsid w:val="00C54088"/>
    <w:rsid w:val="00C54C09"/>
    <w:rsid w:val="00C54E66"/>
    <w:rsid w:val="00C5505C"/>
    <w:rsid w:val="00C550B7"/>
    <w:rsid w:val="00C55251"/>
    <w:rsid w:val="00C55340"/>
    <w:rsid w:val="00C5547B"/>
    <w:rsid w:val="00C554B5"/>
    <w:rsid w:val="00C554E7"/>
    <w:rsid w:val="00C557F6"/>
    <w:rsid w:val="00C55946"/>
    <w:rsid w:val="00C55D3C"/>
    <w:rsid w:val="00C5630C"/>
    <w:rsid w:val="00C563E6"/>
    <w:rsid w:val="00C56432"/>
    <w:rsid w:val="00C56AF0"/>
    <w:rsid w:val="00C56E61"/>
    <w:rsid w:val="00C5715F"/>
    <w:rsid w:val="00C5718F"/>
    <w:rsid w:val="00C574E2"/>
    <w:rsid w:val="00C57630"/>
    <w:rsid w:val="00C57964"/>
    <w:rsid w:val="00C57A6E"/>
    <w:rsid w:val="00C57A78"/>
    <w:rsid w:val="00C57CF8"/>
    <w:rsid w:val="00C57ED0"/>
    <w:rsid w:val="00C57FAE"/>
    <w:rsid w:val="00C602AA"/>
    <w:rsid w:val="00C605D2"/>
    <w:rsid w:val="00C60783"/>
    <w:rsid w:val="00C6084A"/>
    <w:rsid w:val="00C6118F"/>
    <w:rsid w:val="00C611D4"/>
    <w:rsid w:val="00C611F1"/>
    <w:rsid w:val="00C612C0"/>
    <w:rsid w:val="00C616AE"/>
    <w:rsid w:val="00C61A13"/>
    <w:rsid w:val="00C61E1F"/>
    <w:rsid w:val="00C62227"/>
    <w:rsid w:val="00C629A1"/>
    <w:rsid w:val="00C62B7C"/>
    <w:rsid w:val="00C62BFF"/>
    <w:rsid w:val="00C62D1B"/>
    <w:rsid w:val="00C62EE7"/>
    <w:rsid w:val="00C633C1"/>
    <w:rsid w:val="00C63C41"/>
    <w:rsid w:val="00C63E7A"/>
    <w:rsid w:val="00C6416E"/>
    <w:rsid w:val="00C643F5"/>
    <w:rsid w:val="00C646D3"/>
    <w:rsid w:val="00C646F0"/>
    <w:rsid w:val="00C64740"/>
    <w:rsid w:val="00C64890"/>
    <w:rsid w:val="00C64B40"/>
    <w:rsid w:val="00C64E17"/>
    <w:rsid w:val="00C6535E"/>
    <w:rsid w:val="00C6552F"/>
    <w:rsid w:val="00C65654"/>
    <w:rsid w:val="00C6582C"/>
    <w:rsid w:val="00C659B4"/>
    <w:rsid w:val="00C659ED"/>
    <w:rsid w:val="00C65A09"/>
    <w:rsid w:val="00C65C60"/>
    <w:rsid w:val="00C665B4"/>
    <w:rsid w:val="00C66942"/>
    <w:rsid w:val="00C66D85"/>
    <w:rsid w:val="00C67227"/>
    <w:rsid w:val="00C6744F"/>
    <w:rsid w:val="00C674CD"/>
    <w:rsid w:val="00C67A57"/>
    <w:rsid w:val="00C67B8D"/>
    <w:rsid w:val="00C67ED5"/>
    <w:rsid w:val="00C70064"/>
    <w:rsid w:val="00C705EB"/>
    <w:rsid w:val="00C7065A"/>
    <w:rsid w:val="00C70886"/>
    <w:rsid w:val="00C70F76"/>
    <w:rsid w:val="00C7113F"/>
    <w:rsid w:val="00C715F1"/>
    <w:rsid w:val="00C71C9E"/>
    <w:rsid w:val="00C71D92"/>
    <w:rsid w:val="00C725CF"/>
    <w:rsid w:val="00C72881"/>
    <w:rsid w:val="00C73155"/>
    <w:rsid w:val="00C7357E"/>
    <w:rsid w:val="00C73B49"/>
    <w:rsid w:val="00C73BE6"/>
    <w:rsid w:val="00C74214"/>
    <w:rsid w:val="00C74225"/>
    <w:rsid w:val="00C743E0"/>
    <w:rsid w:val="00C743EE"/>
    <w:rsid w:val="00C747A5"/>
    <w:rsid w:val="00C74888"/>
    <w:rsid w:val="00C74954"/>
    <w:rsid w:val="00C751A7"/>
    <w:rsid w:val="00C75317"/>
    <w:rsid w:val="00C755BA"/>
    <w:rsid w:val="00C756DF"/>
    <w:rsid w:val="00C7597C"/>
    <w:rsid w:val="00C75A98"/>
    <w:rsid w:val="00C75DF9"/>
    <w:rsid w:val="00C76364"/>
    <w:rsid w:val="00C764BE"/>
    <w:rsid w:val="00C76541"/>
    <w:rsid w:val="00C76575"/>
    <w:rsid w:val="00C76609"/>
    <w:rsid w:val="00C7664E"/>
    <w:rsid w:val="00C766E5"/>
    <w:rsid w:val="00C768BA"/>
    <w:rsid w:val="00C769F7"/>
    <w:rsid w:val="00C76D90"/>
    <w:rsid w:val="00C77866"/>
    <w:rsid w:val="00C77E45"/>
    <w:rsid w:val="00C801CC"/>
    <w:rsid w:val="00C8043D"/>
    <w:rsid w:val="00C80570"/>
    <w:rsid w:val="00C80953"/>
    <w:rsid w:val="00C80D85"/>
    <w:rsid w:val="00C817F5"/>
    <w:rsid w:val="00C81BD4"/>
    <w:rsid w:val="00C8295F"/>
    <w:rsid w:val="00C82B99"/>
    <w:rsid w:val="00C82D8F"/>
    <w:rsid w:val="00C830BE"/>
    <w:rsid w:val="00C835D3"/>
    <w:rsid w:val="00C83655"/>
    <w:rsid w:val="00C836E4"/>
    <w:rsid w:val="00C8384F"/>
    <w:rsid w:val="00C838C0"/>
    <w:rsid w:val="00C83A42"/>
    <w:rsid w:val="00C83A75"/>
    <w:rsid w:val="00C83DF9"/>
    <w:rsid w:val="00C83EBB"/>
    <w:rsid w:val="00C84479"/>
    <w:rsid w:val="00C84519"/>
    <w:rsid w:val="00C84658"/>
    <w:rsid w:val="00C847FA"/>
    <w:rsid w:val="00C85095"/>
    <w:rsid w:val="00C85473"/>
    <w:rsid w:val="00C8548F"/>
    <w:rsid w:val="00C8573E"/>
    <w:rsid w:val="00C85847"/>
    <w:rsid w:val="00C861DF"/>
    <w:rsid w:val="00C861EB"/>
    <w:rsid w:val="00C8647A"/>
    <w:rsid w:val="00C864B3"/>
    <w:rsid w:val="00C86516"/>
    <w:rsid w:val="00C86739"/>
    <w:rsid w:val="00C86754"/>
    <w:rsid w:val="00C8716D"/>
    <w:rsid w:val="00C8728D"/>
    <w:rsid w:val="00C87820"/>
    <w:rsid w:val="00C87913"/>
    <w:rsid w:val="00C900A9"/>
    <w:rsid w:val="00C90341"/>
    <w:rsid w:val="00C90431"/>
    <w:rsid w:val="00C90768"/>
    <w:rsid w:val="00C90A56"/>
    <w:rsid w:val="00C90BBE"/>
    <w:rsid w:val="00C9198F"/>
    <w:rsid w:val="00C91E2E"/>
    <w:rsid w:val="00C9216E"/>
    <w:rsid w:val="00C92683"/>
    <w:rsid w:val="00C926E7"/>
    <w:rsid w:val="00C9314E"/>
    <w:rsid w:val="00C93481"/>
    <w:rsid w:val="00C93708"/>
    <w:rsid w:val="00C93A81"/>
    <w:rsid w:val="00C93D30"/>
    <w:rsid w:val="00C93D9E"/>
    <w:rsid w:val="00C94492"/>
    <w:rsid w:val="00C94844"/>
    <w:rsid w:val="00C94A07"/>
    <w:rsid w:val="00C94E4A"/>
    <w:rsid w:val="00C95035"/>
    <w:rsid w:val="00C95503"/>
    <w:rsid w:val="00C956DA"/>
    <w:rsid w:val="00C95B18"/>
    <w:rsid w:val="00C95D31"/>
    <w:rsid w:val="00C95E8D"/>
    <w:rsid w:val="00C95F8B"/>
    <w:rsid w:val="00C960F0"/>
    <w:rsid w:val="00C962CC"/>
    <w:rsid w:val="00C96443"/>
    <w:rsid w:val="00C96809"/>
    <w:rsid w:val="00C96B45"/>
    <w:rsid w:val="00C96D91"/>
    <w:rsid w:val="00C96FF1"/>
    <w:rsid w:val="00C97076"/>
    <w:rsid w:val="00C973BE"/>
    <w:rsid w:val="00C9786D"/>
    <w:rsid w:val="00C978DE"/>
    <w:rsid w:val="00C979AD"/>
    <w:rsid w:val="00C97DB0"/>
    <w:rsid w:val="00CA0885"/>
    <w:rsid w:val="00CA0951"/>
    <w:rsid w:val="00CA09BA"/>
    <w:rsid w:val="00CA0D69"/>
    <w:rsid w:val="00CA0F89"/>
    <w:rsid w:val="00CA121D"/>
    <w:rsid w:val="00CA1244"/>
    <w:rsid w:val="00CA128A"/>
    <w:rsid w:val="00CA16E9"/>
    <w:rsid w:val="00CA17A2"/>
    <w:rsid w:val="00CA1B13"/>
    <w:rsid w:val="00CA1B8E"/>
    <w:rsid w:val="00CA1EBA"/>
    <w:rsid w:val="00CA2379"/>
    <w:rsid w:val="00CA246F"/>
    <w:rsid w:val="00CA249A"/>
    <w:rsid w:val="00CA2515"/>
    <w:rsid w:val="00CA2545"/>
    <w:rsid w:val="00CA280C"/>
    <w:rsid w:val="00CA2C8C"/>
    <w:rsid w:val="00CA2FB1"/>
    <w:rsid w:val="00CA2FD4"/>
    <w:rsid w:val="00CA3160"/>
    <w:rsid w:val="00CA333E"/>
    <w:rsid w:val="00CA34C0"/>
    <w:rsid w:val="00CA359A"/>
    <w:rsid w:val="00CA3AD9"/>
    <w:rsid w:val="00CA3EEE"/>
    <w:rsid w:val="00CA44E4"/>
    <w:rsid w:val="00CA453C"/>
    <w:rsid w:val="00CA470F"/>
    <w:rsid w:val="00CA474B"/>
    <w:rsid w:val="00CA4879"/>
    <w:rsid w:val="00CA4994"/>
    <w:rsid w:val="00CA4A86"/>
    <w:rsid w:val="00CA4B34"/>
    <w:rsid w:val="00CA4C32"/>
    <w:rsid w:val="00CA4F7C"/>
    <w:rsid w:val="00CA5990"/>
    <w:rsid w:val="00CA5A1D"/>
    <w:rsid w:val="00CA5ADA"/>
    <w:rsid w:val="00CA5CA3"/>
    <w:rsid w:val="00CA5E66"/>
    <w:rsid w:val="00CA6044"/>
    <w:rsid w:val="00CA6130"/>
    <w:rsid w:val="00CA621C"/>
    <w:rsid w:val="00CA684B"/>
    <w:rsid w:val="00CA69E4"/>
    <w:rsid w:val="00CA6E32"/>
    <w:rsid w:val="00CA72D0"/>
    <w:rsid w:val="00CA74E0"/>
    <w:rsid w:val="00CA7B39"/>
    <w:rsid w:val="00CB0CA5"/>
    <w:rsid w:val="00CB0D59"/>
    <w:rsid w:val="00CB0DE0"/>
    <w:rsid w:val="00CB10E1"/>
    <w:rsid w:val="00CB1211"/>
    <w:rsid w:val="00CB16DA"/>
    <w:rsid w:val="00CB17DB"/>
    <w:rsid w:val="00CB1D62"/>
    <w:rsid w:val="00CB1F28"/>
    <w:rsid w:val="00CB24DB"/>
    <w:rsid w:val="00CB26F3"/>
    <w:rsid w:val="00CB284A"/>
    <w:rsid w:val="00CB2937"/>
    <w:rsid w:val="00CB2ABE"/>
    <w:rsid w:val="00CB2F0A"/>
    <w:rsid w:val="00CB340E"/>
    <w:rsid w:val="00CB3B8F"/>
    <w:rsid w:val="00CB3BA4"/>
    <w:rsid w:val="00CB3E76"/>
    <w:rsid w:val="00CB3F43"/>
    <w:rsid w:val="00CB40D7"/>
    <w:rsid w:val="00CB459D"/>
    <w:rsid w:val="00CB4A9D"/>
    <w:rsid w:val="00CB4D26"/>
    <w:rsid w:val="00CB4D41"/>
    <w:rsid w:val="00CB4F72"/>
    <w:rsid w:val="00CB50D8"/>
    <w:rsid w:val="00CB528D"/>
    <w:rsid w:val="00CB54A0"/>
    <w:rsid w:val="00CB585D"/>
    <w:rsid w:val="00CB5F40"/>
    <w:rsid w:val="00CB6319"/>
    <w:rsid w:val="00CB63E8"/>
    <w:rsid w:val="00CB6885"/>
    <w:rsid w:val="00CB75B5"/>
    <w:rsid w:val="00CB75B8"/>
    <w:rsid w:val="00CB7AD7"/>
    <w:rsid w:val="00CB7C25"/>
    <w:rsid w:val="00CB7CA0"/>
    <w:rsid w:val="00CB7E26"/>
    <w:rsid w:val="00CB7E96"/>
    <w:rsid w:val="00CC0050"/>
    <w:rsid w:val="00CC006A"/>
    <w:rsid w:val="00CC00A1"/>
    <w:rsid w:val="00CC0235"/>
    <w:rsid w:val="00CC045A"/>
    <w:rsid w:val="00CC09FD"/>
    <w:rsid w:val="00CC0B68"/>
    <w:rsid w:val="00CC0B85"/>
    <w:rsid w:val="00CC16A4"/>
    <w:rsid w:val="00CC171F"/>
    <w:rsid w:val="00CC1BB0"/>
    <w:rsid w:val="00CC1D8B"/>
    <w:rsid w:val="00CC2039"/>
    <w:rsid w:val="00CC224F"/>
    <w:rsid w:val="00CC2292"/>
    <w:rsid w:val="00CC2438"/>
    <w:rsid w:val="00CC26BB"/>
    <w:rsid w:val="00CC2761"/>
    <w:rsid w:val="00CC30A3"/>
    <w:rsid w:val="00CC30F1"/>
    <w:rsid w:val="00CC3550"/>
    <w:rsid w:val="00CC374B"/>
    <w:rsid w:val="00CC3792"/>
    <w:rsid w:val="00CC3C68"/>
    <w:rsid w:val="00CC3D1D"/>
    <w:rsid w:val="00CC4626"/>
    <w:rsid w:val="00CC46E1"/>
    <w:rsid w:val="00CC47F7"/>
    <w:rsid w:val="00CC4B8C"/>
    <w:rsid w:val="00CC4D70"/>
    <w:rsid w:val="00CC4DA9"/>
    <w:rsid w:val="00CC50A2"/>
    <w:rsid w:val="00CC51BA"/>
    <w:rsid w:val="00CC531B"/>
    <w:rsid w:val="00CC5546"/>
    <w:rsid w:val="00CC5633"/>
    <w:rsid w:val="00CC5C5E"/>
    <w:rsid w:val="00CC6662"/>
    <w:rsid w:val="00CC6734"/>
    <w:rsid w:val="00CC6C63"/>
    <w:rsid w:val="00CC773E"/>
    <w:rsid w:val="00CC7A28"/>
    <w:rsid w:val="00CD0148"/>
    <w:rsid w:val="00CD0161"/>
    <w:rsid w:val="00CD097E"/>
    <w:rsid w:val="00CD09FD"/>
    <w:rsid w:val="00CD0B4F"/>
    <w:rsid w:val="00CD12B2"/>
    <w:rsid w:val="00CD147E"/>
    <w:rsid w:val="00CD14A8"/>
    <w:rsid w:val="00CD1567"/>
    <w:rsid w:val="00CD1832"/>
    <w:rsid w:val="00CD1856"/>
    <w:rsid w:val="00CD1908"/>
    <w:rsid w:val="00CD1D1A"/>
    <w:rsid w:val="00CD27A7"/>
    <w:rsid w:val="00CD2BF8"/>
    <w:rsid w:val="00CD2E5A"/>
    <w:rsid w:val="00CD3029"/>
    <w:rsid w:val="00CD32B4"/>
    <w:rsid w:val="00CD3486"/>
    <w:rsid w:val="00CD3547"/>
    <w:rsid w:val="00CD37BB"/>
    <w:rsid w:val="00CD3DA0"/>
    <w:rsid w:val="00CD3F5C"/>
    <w:rsid w:val="00CD3F9A"/>
    <w:rsid w:val="00CD4039"/>
    <w:rsid w:val="00CD4402"/>
    <w:rsid w:val="00CD4807"/>
    <w:rsid w:val="00CD4B81"/>
    <w:rsid w:val="00CD4D98"/>
    <w:rsid w:val="00CD5FA7"/>
    <w:rsid w:val="00CD619F"/>
    <w:rsid w:val="00CD61EC"/>
    <w:rsid w:val="00CD6538"/>
    <w:rsid w:val="00CD65B4"/>
    <w:rsid w:val="00CD6682"/>
    <w:rsid w:val="00CD6699"/>
    <w:rsid w:val="00CD6988"/>
    <w:rsid w:val="00CD742C"/>
    <w:rsid w:val="00CD74AB"/>
    <w:rsid w:val="00CD7542"/>
    <w:rsid w:val="00CD78CB"/>
    <w:rsid w:val="00CD7B07"/>
    <w:rsid w:val="00CD7CEA"/>
    <w:rsid w:val="00CD7E51"/>
    <w:rsid w:val="00CD7FA2"/>
    <w:rsid w:val="00CE0268"/>
    <w:rsid w:val="00CE0671"/>
    <w:rsid w:val="00CE06DF"/>
    <w:rsid w:val="00CE07DB"/>
    <w:rsid w:val="00CE08DD"/>
    <w:rsid w:val="00CE0C16"/>
    <w:rsid w:val="00CE0F95"/>
    <w:rsid w:val="00CE12E4"/>
    <w:rsid w:val="00CE156E"/>
    <w:rsid w:val="00CE1750"/>
    <w:rsid w:val="00CE17F8"/>
    <w:rsid w:val="00CE18CC"/>
    <w:rsid w:val="00CE1BC2"/>
    <w:rsid w:val="00CE1EFA"/>
    <w:rsid w:val="00CE1F2A"/>
    <w:rsid w:val="00CE2035"/>
    <w:rsid w:val="00CE20FF"/>
    <w:rsid w:val="00CE2370"/>
    <w:rsid w:val="00CE2375"/>
    <w:rsid w:val="00CE2908"/>
    <w:rsid w:val="00CE2B8F"/>
    <w:rsid w:val="00CE2BB8"/>
    <w:rsid w:val="00CE30B4"/>
    <w:rsid w:val="00CE389A"/>
    <w:rsid w:val="00CE3C65"/>
    <w:rsid w:val="00CE403E"/>
    <w:rsid w:val="00CE44D9"/>
    <w:rsid w:val="00CE4C6C"/>
    <w:rsid w:val="00CE4DD7"/>
    <w:rsid w:val="00CE5C84"/>
    <w:rsid w:val="00CE5EC7"/>
    <w:rsid w:val="00CE5FEF"/>
    <w:rsid w:val="00CE64AC"/>
    <w:rsid w:val="00CE64C6"/>
    <w:rsid w:val="00CE69EC"/>
    <w:rsid w:val="00CE6D81"/>
    <w:rsid w:val="00CE7A4F"/>
    <w:rsid w:val="00CE7C6B"/>
    <w:rsid w:val="00CE7C87"/>
    <w:rsid w:val="00CE7EF7"/>
    <w:rsid w:val="00CF00EB"/>
    <w:rsid w:val="00CF1252"/>
    <w:rsid w:val="00CF14C1"/>
    <w:rsid w:val="00CF15C2"/>
    <w:rsid w:val="00CF1E3F"/>
    <w:rsid w:val="00CF2168"/>
    <w:rsid w:val="00CF252E"/>
    <w:rsid w:val="00CF28EE"/>
    <w:rsid w:val="00CF2EB3"/>
    <w:rsid w:val="00CF2EDC"/>
    <w:rsid w:val="00CF2FD1"/>
    <w:rsid w:val="00CF32E7"/>
    <w:rsid w:val="00CF3874"/>
    <w:rsid w:val="00CF393E"/>
    <w:rsid w:val="00CF3C76"/>
    <w:rsid w:val="00CF466F"/>
    <w:rsid w:val="00CF46AF"/>
    <w:rsid w:val="00CF53D4"/>
    <w:rsid w:val="00CF5482"/>
    <w:rsid w:val="00CF5495"/>
    <w:rsid w:val="00CF564B"/>
    <w:rsid w:val="00CF56FA"/>
    <w:rsid w:val="00CF581C"/>
    <w:rsid w:val="00CF58FE"/>
    <w:rsid w:val="00CF5AE0"/>
    <w:rsid w:val="00CF5E17"/>
    <w:rsid w:val="00CF6281"/>
    <w:rsid w:val="00CF6373"/>
    <w:rsid w:val="00CF640C"/>
    <w:rsid w:val="00CF67C6"/>
    <w:rsid w:val="00CF6A86"/>
    <w:rsid w:val="00CF6C98"/>
    <w:rsid w:val="00CF6CC7"/>
    <w:rsid w:val="00CF6D69"/>
    <w:rsid w:val="00CF729D"/>
    <w:rsid w:val="00CF73B3"/>
    <w:rsid w:val="00CF776C"/>
    <w:rsid w:val="00CF785C"/>
    <w:rsid w:val="00CF7960"/>
    <w:rsid w:val="00CF7B78"/>
    <w:rsid w:val="00D0038F"/>
    <w:rsid w:val="00D00560"/>
    <w:rsid w:val="00D009A9"/>
    <w:rsid w:val="00D00B32"/>
    <w:rsid w:val="00D00B76"/>
    <w:rsid w:val="00D00DED"/>
    <w:rsid w:val="00D00E4C"/>
    <w:rsid w:val="00D010E7"/>
    <w:rsid w:val="00D01350"/>
    <w:rsid w:val="00D01646"/>
    <w:rsid w:val="00D01BE0"/>
    <w:rsid w:val="00D01C38"/>
    <w:rsid w:val="00D0206E"/>
    <w:rsid w:val="00D02203"/>
    <w:rsid w:val="00D02523"/>
    <w:rsid w:val="00D028C6"/>
    <w:rsid w:val="00D03926"/>
    <w:rsid w:val="00D03E79"/>
    <w:rsid w:val="00D04112"/>
    <w:rsid w:val="00D046CC"/>
    <w:rsid w:val="00D04AA7"/>
    <w:rsid w:val="00D04B7D"/>
    <w:rsid w:val="00D04BA7"/>
    <w:rsid w:val="00D04CB8"/>
    <w:rsid w:val="00D04FCB"/>
    <w:rsid w:val="00D05169"/>
    <w:rsid w:val="00D05969"/>
    <w:rsid w:val="00D05BBE"/>
    <w:rsid w:val="00D05F13"/>
    <w:rsid w:val="00D05F32"/>
    <w:rsid w:val="00D062F7"/>
    <w:rsid w:val="00D0642D"/>
    <w:rsid w:val="00D06726"/>
    <w:rsid w:val="00D06D1A"/>
    <w:rsid w:val="00D06DAF"/>
    <w:rsid w:val="00D06E98"/>
    <w:rsid w:val="00D06EA8"/>
    <w:rsid w:val="00D06F6C"/>
    <w:rsid w:val="00D06F91"/>
    <w:rsid w:val="00D07010"/>
    <w:rsid w:val="00D0772C"/>
    <w:rsid w:val="00D07B90"/>
    <w:rsid w:val="00D1006B"/>
    <w:rsid w:val="00D10214"/>
    <w:rsid w:val="00D10631"/>
    <w:rsid w:val="00D1099C"/>
    <w:rsid w:val="00D10BF3"/>
    <w:rsid w:val="00D10CCF"/>
    <w:rsid w:val="00D11297"/>
    <w:rsid w:val="00D1145F"/>
    <w:rsid w:val="00D115DB"/>
    <w:rsid w:val="00D11B7A"/>
    <w:rsid w:val="00D1260D"/>
    <w:rsid w:val="00D128A9"/>
    <w:rsid w:val="00D12912"/>
    <w:rsid w:val="00D129E7"/>
    <w:rsid w:val="00D12A80"/>
    <w:rsid w:val="00D12D36"/>
    <w:rsid w:val="00D13148"/>
    <w:rsid w:val="00D132AC"/>
    <w:rsid w:val="00D13573"/>
    <w:rsid w:val="00D13948"/>
    <w:rsid w:val="00D13B54"/>
    <w:rsid w:val="00D14568"/>
    <w:rsid w:val="00D146BC"/>
    <w:rsid w:val="00D14BBB"/>
    <w:rsid w:val="00D14CF9"/>
    <w:rsid w:val="00D14DFC"/>
    <w:rsid w:val="00D15605"/>
    <w:rsid w:val="00D156E1"/>
    <w:rsid w:val="00D15798"/>
    <w:rsid w:val="00D15927"/>
    <w:rsid w:val="00D15C77"/>
    <w:rsid w:val="00D15E8D"/>
    <w:rsid w:val="00D15FE3"/>
    <w:rsid w:val="00D16526"/>
    <w:rsid w:val="00D165AF"/>
    <w:rsid w:val="00D1674E"/>
    <w:rsid w:val="00D167CD"/>
    <w:rsid w:val="00D16994"/>
    <w:rsid w:val="00D16F53"/>
    <w:rsid w:val="00D1703E"/>
    <w:rsid w:val="00D17349"/>
    <w:rsid w:val="00D1782E"/>
    <w:rsid w:val="00D17F59"/>
    <w:rsid w:val="00D2003C"/>
    <w:rsid w:val="00D201D8"/>
    <w:rsid w:val="00D20506"/>
    <w:rsid w:val="00D205BD"/>
    <w:rsid w:val="00D2074C"/>
    <w:rsid w:val="00D20AEB"/>
    <w:rsid w:val="00D20E32"/>
    <w:rsid w:val="00D20F1B"/>
    <w:rsid w:val="00D213A5"/>
    <w:rsid w:val="00D2151C"/>
    <w:rsid w:val="00D21666"/>
    <w:rsid w:val="00D2185F"/>
    <w:rsid w:val="00D21993"/>
    <w:rsid w:val="00D21C48"/>
    <w:rsid w:val="00D21F35"/>
    <w:rsid w:val="00D22028"/>
    <w:rsid w:val="00D22507"/>
    <w:rsid w:val="00D22581"/>
    <w:rsid w:val="00D225B6"/>
    <w:rsid w:val="00D228AF"/>
    <w:rsid w:val="00D22BDD"/>
    <w:rsid w:val="00D22BFB"/>
    <w:rsid w:val="00D22C17"/>
    <w:rsid w:val="00D22D37"/>
    <w:rsid w:val="00D22E4F"/>
    <w:rsid w:val="00D22F37"/>
    <w:rsid w:val="00D2321D"/>
    <w:rsid w:val="00D232E5"/>
    <w:rsid w:val="00D233F7"/>
    <w:rsid w:val="00D234CC"/>
    <w:rsid w:val="00D2427A"/>
    <w:rsid w:val="00D2461A"/>
    <w:rsid w:val="00D24EA1"/>
    <w:rsid w:val="00D25448"/>
    <w:rsid w:val="00D2585B"/>
    <w:rsid w:val="00D25E92"/>
    <w:rsid w:val="00D26590"/>
    <w:rsid w:val="00D2685B"/>
    <w:rsid w:val="00D2687A"/>
    <w:rsid w:val="00D26993"/>
    <w:rsid w:val="00D275E4"/>
    <w:rsid w:val="00D27650"/>
    <w:rsid w:val="00D27718"/>
    <w:rsid w:val="00D27DE0"/>
    <w:rsid w:val="00D305F4"/>
    <w:rsid w:val="00D30A8A"/>
    <w:rsid w:val="00D30C9E"/>
    <w:rsid w:val="00D30E18"/>
    <w:rsid w:val="00D30EB7"/>
    <w:rsid w:val="00D310D4"/>
    <w:rsid w:val="00D31120"/>
    <w:rsid w:val="00D31293"/>
    <w:rsid w:val="00D31696"/>
    <w:rsid w:val="00D31742"/>
    <w:rsid w:val="00D3234D"/>
    <w:rsid w:val="00D3269E"/>
    <w:rsid w:val="00D327FA"/>
    <w:rsid w:val="00D32833"/>
    <w:rsid w:val="00D328FC"/>
    <w:rsid w:val="00D3295B"/>
    <w:rsid w:val="00D329B4"/>
    <w:rsid w:val="00D32E7F"/>
    <w:rsid w:val="00D32EA5"/>
    <w:rsid w:val="00D33289"/>
    <w:rsid w:val="00D33317"/>
    <w:rsid w:val="00D333B0"/>
    <w:rsid w:val="00D33449"/>
    <w:rsid w:val="00D33937"/>
    <w:rsid w:val="00D33D2C"/>
    <w:rsid w:val="00D33D97"/>
    <w:rsid w:val="00D345BA"/>
    <w:rsid w:val="00D3485E"/>
    <w:rsid w:val="00D34ADF"/>
    <w:rsid w:val="00D34AE5"/>
    <w:rsid w:val="00D34BD6"/>
    <w:rsid w:val="00D34DF5"/>
    <w:rsid w:val="00D35788"/>
    <w:rsid w:val="00D3597D"/>
    <w:rsid w:val="00D359F7"/>
    <w:rsid w:val="00D360B9"/>
    <w:rsid w:val="00D3610D"/>
    <w:rsid w:val="00D361DB"/>
    <w:rsid w:val="00D36644"/>
    <w:rsid w:val="00D3669C"/>
    <w:rsid w:val="00D36F45"/>
    <w:rsid w:val="00D373A3"/>
    <w:rsid w:val="00D37607"/>
    <w:rsid w:val="00D37A36"/>
    <w:rsid w:val="00D37B48"/>
    <w:rsid w:val="00D37DD6"/>
    <w:rsid w:val="00D37F80"/>
    <w:rsid w:val="00D40935"/>
    <w:rsid w:val="00D40BD3"/>
    <w:rsid w:val="00D40E72"/>
    <w:rsid w:val="00D40EE7"/>
    <w:rsid w:val="00D40FE7"/>
    <w:rsid w:val="00D411D3"/>
    <w:rsid w:val="00D41375"/>
    <w:rsid w:val="00D4161C"/>
    <w:rsid w:val="00D41681"/>
    <w:rsid w:val="00D417C3"/>
    <w:rsid w:val="00D42410"/>
    <w:rsid w:val="00D42B8F"/>
    <w:rsid w:val="00D43639"/>
    <w:rsid w:val="00D437EF"/>
    <w:rsid w:val="00D43AEC"/>
    <w:rsid w:val="00D43D10"/>
    <w:rsid w:val="00D43E3B"/>
    <w:rsid w:val="00D43F58"/>
    <w:rsid w:val="00D43F64"/>
    <w:rsid w:val="00D43F6F"/>
    <w:rsid w:val="00D44164"/>
    <w:rsid w:val="00D441A9"/>
    <w:rsid w:val="00D44441"/>
    <w:rsid w:val="00D44622"/>
    <w:rsid w:val="00D4472D"/>
    <w:rsid w:val="00D448F0"/>
    <w:rsid w:val="00D44F77"/>
    <w:rsid w:val="00D4503D"/>
    <w:rsid w:val="00D4505C"/>
    <w:rsid w:val="00D451FB"/>
    <w:rsid w:val="00D452CE"/>
    <w:rsid w:val="00D454BF"/>
    <w:rsid w:val="00D4559E"/>
    <w:rsid w:val="00D458F5"/>
    <w:rsid w:val="00D45EED"/>
    <w:rsid w:val="00D46A29"/>
    <w:rsid w:val="00D46AAA"/>
    <w:rsid w:val="00D46ABF"/>
    <w:rsid w:val="00D4707E"/>
    <w:rsid w:val="00D4710B"/>
    <w:rsid w:val="00D47822"/>
    <w:rsid w:val="00D4786D"/>
    <w:rsid w:val="00D50145"/>
    <w:rsid w:val="00D507A8"/>
    <w:rsid w:val="00D50ADC"/>
    <w:rsid w:val="00D50B18"/>
    <w:rsid w:val="00D50DBB"/>
    <w:rsid w:val="00D511E3"/>
    <w:rsid w:val="00D5151F"/>
    <w:rsid w:val="00D515C1"/>
    <w:rsid w:val="00D5184A"/>
    <w:rsid w:val="00D5189A"/>
    <w:rsid w:val="00D5189E"/>
    <w:rsid w:val="00D51E2C"/>
    <w:rsid w:val="00D51E5B"/>
    <w:rsid w:val="00D523F4"/>
    <w:rsid w:val="00D5242A"/>
    <w:rsid w:val="00D52494"/>
    <w:rsid w:val="00D526AC"/>
    <w:rsid w:val="00D52A6C"/>
    <w:rsid w:val="00D5351E"/>
    <w:rsid w:val="00D5384A"/>
    <w:rsid w:val="00D53A61"/>
    <w:rsid w:val="00D53D82"/>
    <w:rsid w:val="00D5425B"/>
    <w:rsid w:val="00D54469"/>
    <w:rsid w:val="00D5454D"/>
    <w:rsid w:val="00D54A9E"/>
    <w:rsid w:val="00D55055"/>
    <w:rsid w:val="00D5538E"/>
    <w:rsid w:val="00D5552D"/>
    <w:rsid w:val="00D55721"/>
    <w:rsid w:val="00D55B95"/>
    <w:rsid w:val="00D55C67"/>
    <w:rsid w:val="00D56491"/>
    <w:rsid w:val="00D564FD"/>
    <w:rsid w:val="00D56562"/>
    <w:rsid w:val="00D56621"/>
    <w:rsid w:val="00D5680A"/>
    <w:rsid w:val="00D56A17"/>
    <w:rsid w:val="00D56BA0"/>
    <w:rsid w:val="00D56EBA"/>
    <w:rsid w:val="00D570AD"/>
    <w:rsid w:val="00D572CC"/>
    <w:rsid w:val="00D5772F"/>
    <w:rsid w:val="00D577AB"/>
    <w:rsid w:val="00D57924"/>
    <w:rsid w:val="00D579D2"/>
    <w:rsid w:val="00D57C07"/>
    <w:rsid w:val="00D57C84"/>
    <w:rsid w:val="00D57DDF"/>
    <w:rsid w:val="00D603A3"/>
    <w:rsid w:val="00D6042D"/>
    <w:rsid w:val="00D6048F"/>
    <w:rsid w:val="00D6076F"/>
    <w:rsid w:val="00D60C4E"/>
    <w:rsid w:val="00D60DDC"/>
    <w:rsid w:val="00D60FE3"/>
    <w:rsid w:val="00D611BE"/>
    <w:rsid w:val="00D61B03"/>
    <w:rsid w:val="00D61B45"/>
    <w:rsid w:val="00D61C4C"/>
    <w:rsid w:val="00D62144"/>
    <w:rsid w:val="00D6248A"/>
    <w:rsid w:val="00D626B8"/>
    <w:rsid w:val="00D626CC"/>
    <w:rsid w:val="00D62EC2"/>
    <w:rsid w:val="00D62F6C"/>
    <w:rsid w:val="00D62F7A"/>
    <w:rsid w:val="00D63CD0"/>
    <w:rsid w:val="00D63DB2"/>
    <w:rsid w:val="00D6455A"/>
    <w:rsid w:val="00D6459E"/>
    <w:rsid w:val="00D64B6E"/>
    <w:rsid w:val="00D64EA1"/>
    <w:rsid w:val="00D64FD6"/>
    <w:rsid w:val="00D65BA7"/>
    <w:rsid w:val="00D65BBF"/>
    <w:rsid w:val="00D65BD7"/>
    <w:rsid w:val="00D65DD1"/>
    <w:rsid w:val="00D66028"/>
    <w:rsid w:val="00D661EA"/>
    <w:rsid w:val="00D666B2"/>
    <w:rsid w:val="00D66850"/>
    <w:rsid w:val="00D672F5"/>
    <w:rsid w:val="00D6757B"/>
    <w:rsid w:val="00D6794C"/>
    <w:rsid w:val="00D67960"/>
    <w:rsid w:val="00D701C3"/>
    <w:rsid w:val="00D703F2"/>
    <w:rsid w:val="00D70503"/>
    <w:rsid w:val="00D70646"/>
    <w:rsid w:val="00D70728"/>
    <w:rsid w:val="00D7087A"/>
    <w:rsid w:val="00D7099B"/>
    <w:rsid w:val="00D70EDD"/>
    <w:rsid w:val="00D712CE"/>
    <w:rsid w:val="00D7212C"/>
    <w:rsid w:val="00D72B01"/>
    <w:rsid w:val="00D72DAB"/>
    <w:rsid w:val="00D72EE4"/>
    <w:rsid w:val="00D72F4B"/>
    <w:rsid w:val="00D73503"/>
    <w:rsid w:val="00D73505"/>
    <w:rsid w:val="00D73A9D"/>
    <w:rsid w:val="00D73B81"/>
    <w:rsid w:val="00D73BBB"/>
    <w:rsid w:val="00D73CE9"/>
    <w:rsid w:val="00D73D6E"/>
    <w:rsid w:val="00D7402F"/>
    <w:rsid w:val="00D741AC"/>
    <w:rsid w:val="00D741BC"/>
    <w:rsid w:val="00D742A3"/>
    <w:rsid w:val="00D748A8"/>
    <w:rsid w:val="00D74A5C"/>
    <w:rsid w:val="00D74B60"/>
    <w:rsid w:val="00D74E82"/>
    <w:rsid w:val="00D74FC3"/>
    <w:rsid w:val="00D7527F"/>
    <w:rsid w:val="00D756AD"/>
    <w:rsid w:val="00D758B1"/>
    <w:rsid w:val="00D7607A"/>
    <w:rsid w:val="00D764DE"/>
    <w:rsid w:val="00D76D07"/>
    <w:rsid w:val="00D76D62"/>
    <w:rsid w:val="00D77D65"/>
    <w:rsid w:val="00D8005D"/>
    <w:rsid w:val="00D80228"/>
    <w:rsid w:val="00D808FD"/>
    <w:rsid w:val="00D809F8"/>
    <w:rsid w:val="00D80CB1"/>
    <w:rsid w:val="00D8126F"/>
    <w:rsid w:val="00D81274"/>
    <w:rsid w:val="00D8195F"/>
    <w:rsid w:val="00D81BFB"/>
    <w:rsid w:val="00D81C8A"/>
    <w:rsid w:val="00D81DEC"/>
    <w:rsid w:val="00D81F8D"/>
    <w:rsid w:val="00D82299"/>
    <w:rsid w:val="00D82472"/>
    <w:rsid w:val="00D8256C"/>
    <w:rsid w:val="00D82B4E"/>
    <w:rsid w:val="00D82B5A"/>
    <w:rsid w:val="00D837B7"/>
    <w:rsid w:val="00D8387E"/>
    <w:rsid w:val="00D83ABC"/>
    <w:rsid w:val="00D83FA3"/>
    <w:rsid w:val="00D84290"/>
    <w:rsid w:val="00D847C3"/>
    <w:rsid w:val="00D8498A"/>
    <w:rsid w:val="00D850AE"/>
    <w:rsid w:val="00D852FF"/>
    <w:rsid w:val="00D8570D"/>
    <w:rsid w:val="00D8584F"/>
    <w:rsid w:val="00D85863"/>
    <w:rsid w:val="00D85895"/>
    <w:rsid w:val="00D8598F"/>
    <w:rsid w:val="00D85B09"/>
    <w:rsid w:val="00D85CFD"/>
    <w:rsid w:val="00D866FA"/>
    <w:rsid w:val="00D86815"/>
    <w:rsid w:val="00D86EF3"/>
    <w:rsid w:val="00D87000"/>
    <w:rsid w:val="00D870B7"/>
    <w:rsid w:val="00D870E4"/>
    <w:rsid w:val="00D874C1"/>
    <w:rsid w:val="00D877A6"/>
    <w:rsid w:val="00D87CDE"/>
    <w:rsid w:val="00D903C5"/>
    <w:rsid w:val="00D90988"/>
    <w:rsid w:val="00D912E5"/>
    <w:rsid w:val="00D9145B"/>
    <w:rsid w:val="00D9169D"/>
    <w:rsid w:val="00D9170C"/>
    <w:rsid w:val="00D917B5"/>
    <w:rsid w:val="00D91A9D"/>
    <w:rsid w:val="00D91B74"/>
    <w:rsid w:val="00D92207"/>
    <w:rsid w:val="00D9222C"/>
    <w:rsid w:val="00D924E4"/>
    <w:rsid w:val="00D92783"/>
    <w:rsid w:val="00D92963"/>
    <w:rsid w:val="00D92FD9"/>
    <w:rsid w:val="00D936CF"/>
    <w:rsid w:val="00D93977"/>
    <w:rsid w:val="00D93B3E"/>
    <w:rsid w:val="00D93B53"/>
    <w:rsid w:val="00D93F54"/>
    <w:rsid w:val="00D94560"/>
    <w:rsid w:val="00D94692"/>
    <w:rsid w:val="00D94B0D"/>
    <w:rsid w:val="00D94CF4"/>
    <w:rsid w:val="00D94EF8"/>
    <w:rsid w:val="00D950A3"/>
    <w:rsid w:val="00D95585"/>
    <w:rsid w:val="00D9594C"/>
    <w:rsid w:val="00D95B18"/>
    <w:rsid w:val="00D95BB9"/>
    <w:rsid w:val="00D95BF2"/>
    <w:rsid w:val="00D95D01"/>
    <w:rsid w:val="00D95EA5"/>
    <w:rsid w:val="00D95F5B"/>
    <w:rsid w:val="00D966A8"/>
    <w:rsid w:val="00D96B71"/>
    <w:rsid w:val="00D96CA1"/>
    <w:rsid w:val="00D96D40"/>
    <w:rsid w:val="00D970F2"/>
    <w:rsid w:val="00D97417"/>
    <w:rsid w:val="00D974D8"/>
    <w:rsid w:val="00D97BBC"/>
    <w:rsid w:val="00D97D65"/>
    <w:rsid w:val="00D97D78"/>
    <w:rsid w:val="00D97F67"/>
    <w:rsid w:val="00DA008E"/>
    <w:rsid w:val="00DA02D5"/>
    <w:rsid w:val="00DA034F"/>
    <w:rsid w:val="00DA0443"/>
    <w:rsid w:val="00DA0891"/>
    <w:rsid w:val="00DA0B8F"/>
    <w:rsid w:val="00DA0C39"/>
    <w:rsid w:val="00DA10F7"/>
    <w:rsid w:val="00DA1108"/>
    <w:rsid w:val="00DA1310"/>
    <w:rsid w:val="00DA1931"/>
    <w:rsid w:val="00DA1C56"/>
    <w:rsid w:val="00DA1F6E"/>
    <w:rsid w:val="00DA2302"/>
    <w:rsid w:val="00DA2379"/>
    <w:rsid w:val="00DA2489"/>
    <w:rsid w:val="00DA25AE"/>
    <w:rsid w:val="00DA2736"/>
    <w:rsid w:val="00DA3422"/>
    <w:rsid w:val="00DA35AD"/>
    <w:rsid w:val="00DA36FB"/>
    <w:rsid w:val="00DA37E0"/>
    <w:rsid w:val="00DA3F35"/>
    <w:rsid w:val="00DA4061"/>
    <w:rsid w:val="00DA50A3"/>
    <w:rsid w:val="00DA516B"/>
    <w:rsid w:val="00DA51B8"/>
    <w:rsid w:val="00DA5223"/>
    <w:rsid w:val="00DA527A"/>
    <w:rsid w:val="00DA57FF"/>
    <w:rsid w:val="00DA5918"/>
    <w:rsid w:val="00DA5957"/>
    <w:rsid w:val="00DA5EFF"/>
    <w:rsid w:val="00DA5FE6"/>
    <w:rsid w:val="00DA64AA"/>
    <w:rsid w:val="00DA6B67"/>
    <w:rsid w:val="00DA6F39"/>
    <w:rsid w:val="00DA737F"/>
    <w:rsid w:val="00DA74CB"/>
    <w:rsid w:val="00DA779A"/>
    <w:rsid w:val="00DA77FB"/>
    <w:rsid w:val="00DA7A8C"/>
    <w:rsid w:val="00DA7C31"/>
    <w:rsid w:val="00DA7C43"/>
    <w:rsid w:val="00DA7FB6"/>
    <w:rsid w:val="00DB01CA"/>
    <w:rsid w:val="00DB02F7"/>
    <w:rsid w:val="00DB0EEF"/>
    <w:rsid w:val="00DB0F63"/>
    <w:rsid w:val="00DB1377"/>
    <w:rsid w:val="00DB13AB"/>
    <w:rsid w:val="00DB1B79"/>
    <w:rsid w:val="00DB1C16"/>
    <w:rsid w:val="00DB1FD1"/>
    <w:rsid w:val="00DB2048"/>
    <w:rsid w:val="00DB2065"/>
    <w:rsid w:val="00DB228D"/>
    <w:rsid w:val="00DB2490"/>
    <w:rsid w:val="00DB2519"/>
    <w:rsid w:val="00DB2754"/>
    <w:rsid w:val="00DB2E3E"/>
    <w:rsid w:val="00DB3577"/>
    <w:rsid w:val="00DB3D1A"/>
    <w:rsid w:val="00DB3F07"/>
    <w:rsid w:val="00DB3F14"/>
    <w:rsid w:val="00DB414B"/>
    <w:rsid w:val="00DB4376"/>
    <w:rsid w:val="00DB4744"/>
    <w:rsid w:val="00DB506A"/>
    <w:rsid w:val="00DB5388"/>
    <w:rsid w:val="00DB591B"/>
    <w:rsid w:val="00DB5A7C"/>
    <w:rsid w:val="00DB5E38"/>
    <w:rsid w:val="00DB61AA"/>
    <w:rsid w:val="00DB64C0"/>
    <w:rsid w:val="00DB65BF"/>
    <w:rsid w:val="00DB6672"/>
    <w:rsid w:val="00DB66D2"/>
    <w:rsid w:val="00DB7106"/>
    <w:rsid w:val="00DB7516"/>
    <w:rsid w:val="00DB7637"/>
    <w:rsid w:val="00DB7655"/>
    <w:rsid w:val="00DB77D9"/>
    <w:rsid w:val="00DB7894"/>
    <w:rsid w:val="00DB7954"/>
    <w:rsid w:val="00DB7E3A"/>
    <w:rsid w:val="00DB7EF3"/>
    <w:rsid w:val="00DC006B"/>
    <w:rsid w:val="00DC02E2"/>
    <w:rsid w:val="00DC054C"/>
    <w:rsid w:val="00DC05AF"/>
    <w:rsid w:val="00DC08CA"/>
    <w:rsid w:val="00DC0A5A"/>
    <w:rsid w:val="00DC0AB7"/>
    <w:rsid w:val="00DC0ACB"/>
    <w:rsid w:val="00DC0F43"/>
    <w:rsid w:val="00DC11B2"/>
    <w:rsid w:val="00DC1223"/>
    <w:rsid w:val="00DC12C7"/>
    <w:rsid w:val="00DC1E52"/>
    <w:rsid w:val="00DC1E5D"/>
    <w:rsid w:val="00DC1E5F"/>
    <w:rsid w:val="00DC200C"/>
    <w:rsid w:val="00DC205A"/>
    <w:rsid w:val="00DC20AD"/>
    <w:rsid w:val="00DC22CB"/>
    <w:rsid w:val="00DC268D"/>
    <w:rsid w:val="00DC2DAE"/>
    <w:rsid w:val="00DC2E22"/>
    <w:rsid w:val="00DC2EC9"/>
    <w:rsid w:val="00DC3071"/>
    <w:rsid w:val="00DC3306"/>
    <w:rsid w:val="00DC33C6"/>
    <w:rsid w:val="00DC391C"/>
    <w:rsid w:val="00DC3A8C"/>
    <w:rsid w:val="00DC407B"/>
    <w:rsid w:val="00DC41DC"/>
    <w:rsid w:val="00DC44BF"/>
    <w:rsid w:val="00DC44FB"/>
    <w:rsid w:val="00DC4592"/>
    <w:rsid w:val="00DC46C0"/>
    <w:rsid w:val="00DC48D1"/>
    <w:rsid w:val="00DC498D"/>
    <w:rsid w:val="00DC4D28"/>
    <w:rsid w:val="00DC4D79"/>
    <w:rsid w:val="00DC4DCB"/>
    <w:rsid w:val="00DC4FAC"/>
    <w:rsid w:val="00DC540E"/>
    <w:rsid w:val="00DC55ED"/>
    <w:rsid w:val="00DC56EB"/>
    <w:rsid w:val="00DC5F9C"/>
    <w:rsid w:val="00DC62E4"/>
    <w:rsid w:val="00DC63E2"/>
    <w:rsid w:val="00DC67E8"/>
    <w:rsid w:val="00DC6DA2"/>
    <w:rsid w:val="00DC7035"/>
    <w:rsid w:val="00DC72AE"/>
    <w:rsid w:val="00DC7879"/>
    <w:rsid w:val="00DC78DC"/>
    <w:rsid w:val="00DC7A72"/>
    <w:rsid w:val="00DC7B26"/>
    <w:rsid w:val="00DC7F76"/>
    <w:rsid w:val="00DD00A1"/>
    <w:rsid w:val="00DD00DE"/>
    <w:rsid w:val="00DD08D8"/>
    <w:rsid w:val="00DD1159"/>
    <w:rsid w:val="00DD1227"/>
    <w:rsid w:val="00DD1354"/>
    <w:rsid w:val="00DD14E8"/>
    <w:rsid w:val="00DD152C"/>
    <w:rsid w:val="00DD1603"/>
    <w:rsid w:val="00DD187E"/>
    <w:rsid w:val="00DD19F5"/>
    <w:rsid w:val="00DD1BC2"/>
    <w:rsid w:val="00DD209B"/>
    <w:rsid w:val="00DD22F7"/>
    <w:rsid w:val="00DD24C5"/>
    <w:rsid w:val="00DD26C2"/>
    <w:rsid w:val="00DD2C05"/>
    <w:rsid w:val="00DD2C71"/>
    <w:rsid w:val="00DD2DC8"/>
    <w:rsid w:val="00DD3340"/>
    <w:rsid w:val="00DD33FF"/>
    <w:rsid w:val="00DD365F"/>
    <w:rsid w:val="00DD444B"/>
    <w:rsid w:val="00DD493E"/>
    <w:rsid w:val="00DD540C"/>
    <w:rsid w:val="00DD55F4"/>
    <w:rsid w:val="00DD5779"/>
    <w:rsid w:val="00DD5FA3"/>
    <w:rsid w:val="00DD60E9"/>
    <w:rsid w:val="00DD6228"/>
    <w:rsid w:val="00DD68B6"/>
    <w:rsid w:val="00DD69DA"/>
    <w:rsid w:val="00DD6C13"/>
    <w:rsid w:val="00DD6CE8"/>
    <w:rsid w:val="00DD6E6A"/>
    <w:rsid w:val="00DD7045"/>
    <w:rsid w:val="00DD7311"/>
    <w:rsid w:val="00DD74BB"/>
    <w:rsid w:val="00DD764D"/>
    <w:rsid w:val="00DD7861"/>
    <w:rsid w:val="00DD791E"/>
    <w:rsid w:val="00DE015B"/>
    <w:rsid w:val="00DE058E"/>
    <w:rsid w:val="00DE07A3"/>
    <w:rsid w:val="00DE0A87"/>
    <w:rsid w:val="00DE0C92"/>
    <w:rsid w:val="00DE0E9F"/>
    <w:rsid w:val="00DE0EC5"/>
    <w:rsid w:val="00DE1291"/>
    <w:rsid w:val="00DE1431"/>
    <w:rsid w:val="00DE15F9"/>
    <w:rsid w:val="00DE1622"/>
    <w:rsid w:val="00DE170D"/>
    <w:rsid w:val="00DE1804"/>
    <w:rsid w:val="00DE189B"/>
    <w:rsid w:val="00DE1B9B"/>
    <w:rsid w:val="00DE2084"/>
    <w:rsid w:val="00DE20E8"/>
    <w:rsid w:val="00DE23D8"/>
    <w:rsid w:val="00DE29F9"/>
    <w:rsid w:val="00DE2E5A"/>
    <w:rsid w:val="00DE3403"/>
    <w:rsid w:val="00DE37C1"/>
    <w:rsid w:val="00DE39B5"/>
    <w:rsid w:val="00DE3C95"/>
    <w:rsid w:val="00DE3CA7"/>
    <w:rsid w:val="00DE3E27"/>
    <w:rsid w:val="00DE4070"/>
    <w:rsid w:val="00DE4285"/>
    <w:rsid w:val="00DE42B4"/>
    <w:rsid w:val="00DE46E5"/>
    <w:rsid w:val="00DE4943"/>
    <w:rsid w:val="00DE494A"/>
    <w:rsid w:val="00DE4BD9"/>
    <w:rsid w:val="00DE4F3C"/>
    <w:rsid w:val="00DE52D2"/>
    <w:rsid w:val="00DE55D9"/>
    <w:rsid w:val="00DE6405"/>
    <w:rsid w:val="00DE6948"/>
    <w:rsid w:val="00DE69C0"/>
    <w:rsid w:val="00DE76CB"/>
    <w:rsid w:val="00DE78CD"/>
    <w:rsid w:val="00DE7B20"/>
    <w:rsid w:val="00DF01DA"/>
    <w:rsid w:val="00DF0770"/>
    <w:rsid w:val="00DF08E7"/>
    <w:rsid w:val="00DF091A"/>
    <w:rsid w:val="00DF09C5"/>
    <w:rsid w:val="00DF1080"/>
    <w:rsid w:val="00DF12E0"/>
    <w:rsid w:val="00DF1424"/>
    <w:rsid w:val="00DF1734"/>
    <w:rsid w:val="00DF18C9"/>
    <w:rsid w:val="00DF197D"/>
    <w:rsid w:val="00DF1AF1"/>
    <w:rsid w:val="00DF1B61"/>
    <w:rsid w:val="00DF2000"/>
    <w:rsid w:val="00DF2398"/>
    <w:rsid w:val="00DF2510"/>
    <w:rsid w:val="00DF2654"/>
    <w:rsid w:val="00DF279E"/>
    <w:rsid w:val="00DF27DB"/>
    <w:rsid w:val="00DF280A"/>
    <w:rsid w:val="00DF2A19"/>
    <w:rsid w:val="00DF2C59"/>
    <w:rsid w:val="00DF313A"/>
    <w:rsid w:val="00DF31E1"/>
    <w:rsid w:val="00DF39C3"/>
    <w:rsid w:val="00DF3A4A"/>
    <w:rsid w:val="00DF4491"/>
    <w:rsid w:val="00DF4F52"/>
    <w:rsid w:val="00DF53F7"/>
    <w:rsid w:val="00DF5422"/>
    <w:rsid w:val="00DF56D0"/>
    <w:rsid w:val="00DF57E8"/>
    <w:rsid w:val="00DF5876"/>
    <w:rsid w:val="00DF5913"/>
    <w:rsid w:val="00DF5D61"/>
    <w:rsid w:val="00DF5E62"/>
    <w:rsid w:val="00DF5EAA"/>
    <w:rsid w:val="00DF6A62"/>
    <w:rsid w:val="00DF6F93"/>
    <w:rsid w:val="00DF7099"/>
    <w:rsid w:val="00DF7620"/>
    <w:rsid w:val="00DF7888"/>
    <w:rsid w:val="00E00248"/>
    <w:rsid w:val="00E005D4"/>
    <w:rsid w:val="00E0067C"/>
    <w:rsid w:val="00E009CB"/>
    <w:rsid w:val="00E00A78"/>
    <w:rsid w:val="00E00B7D"/>
    <w:rsid w:val="00E00C29"/>
    <w:rsid w:val="00E00CFC"/>
    <w:rsid w:val="00E00D3E"/>
    <w:rsid w:val="00E01043"/>
    <w:rsid w:val="00E011C5"/>
    <w:rsid w:val="00E01506"/>
    <w:rsid w:val="00E01564"/>
    <w:rsid w:val="00E015AC"/>
    <w:rsid w:val="00E0189F"/>
    <w:rsid w:val="00E018C5"/>
    <w:rsid w:val="00E0193F"/>
    <w:rsid w:val="00E01B8C"/>
    <w:rsid w:val="00E021B8"/>
    <w:rsid w:val="00E02326"/>
    <w:rsid w:val="00E02553"/>
    <w:rsid w:val="00E029DB"/>
    <w:rsid w:val="00E02DCA"/>
    <w:rsid w:val="00E03180"/>
    <w:rsid w:val="00E0334E"/>
    <w:rsid w:val="00E036D3"/>
    <w:rsid w:val="00E036D7"/>
    <w:rsid w:val="00E0383C"/>
    <w:rsid w:val="00E03C68"/>
    <w:rsid w:val="00E0434F"/>
    <w:rsid w:val="00E045BF"/>
    <w:rsid w:val="00E046D6"/>
    <w:rsid w:val="00E04B94"/>
    <w:rsid w:val="00E04D23"/>
    <w:rsid w:val="00E05331"/>
    <w:rsid w:val="00E055B5"/>
    <w:rsid w:val="00E05762"/>
    <w:rsid w:val="00E05B8B"/>
    <w:rsid w:val="00E05CB2"/>
    <w:rsid w:val="00E05F97"/>
    <w:rsid w:val="00E06363"/>
    <w:rsid w:val="00E06A34"/>
    <w:rsid w:val="00E06BFB"/>
    <w:rsid w:val="00E06D6F"/>
    <w:rsid w:val="00E06E78"/>
    <w:rsid w:val="00E06F56"/>
    <w:rsid w:val="00E07481"/>
    <w:rsid w:val="00E0749A"/>
    <w:rsid w:val="00E1033C"/>
    <w:rsid w:val="00E103D9"/>
    <w:rsid w:val="00E1071F"/>
    <w:rsid w:val="00E10DDE"/>
    <w:rsid w:val="00E10E51"/>
    <w:rsid w:val="00E110AC"/>
    <w:rsid w:val="00E1124E"/>
    <w:rsid w:val="00E113B5"/>
    <w:rsid w:val="00E113D5"/>
    <w:rsid w:val="00E11693"/>
    <w:rsid w:val="00E11928"/>
    <w:rsid w:val="00E121A9"/>
    <w:rsid w:val="00E12649"/>
    <w:rsid w:val="00E1268A"/>
    <w:rsid w:val="00E126F7"/>
    <w:rsid w:val="00E12F2F"/>
    <w:rsid w:val="00E1326C"/>
    <w:rsid w:val="00E13664"/>
    <w:rsid w:val="00E13A68"/>
    <w:rsid w:val="00E13E0A"/>
    <w:rsid w:val="00E13E43"/>
    <w:rsid w:val="00E140EA"/>
    <w:rsid w:val="00E14297"/>
    <w:rsid w:val="00E143A8"/>
    <w:rsid w:val="00E14F2A"/>
    <w:rsid w:val="00E14F8D"/>
    <w:rsid w:val="00E1545B"/>
    <w:rsid w:val="00E154D1"/>
    <w:rsid w:val="00E15611"/>
    <w:rsid w:val="00E15868"/>
    <w:rsid w:val="00E15A7F"/>
    <w:rsid w:val="00E15BED"/>
    <w:rsid w:val="00E15C33"/>
    <w:rsid w:val="00E15D79"/>
    <w:rsid w:val="00E15F2E"/>
    <w:rsid w:val="00E163DE"/>
    <w:rsid w:val="00E164A7"/>
    <w:rsid w:val="00E165CF"/>
    <w:rsid w:val="00E16FB5"/>
    <w:rsid w:val="00E171AB"/>
    <w:rsid w:val="00E17BA5"/>
    <w:rsid w:val="00E17C11"/>
    <w:rsid w:val="00E17DD0"/>
    <w:rsid w:val="00E20745"/>
    <w:rsid w:val="00E207FA"/>
    <w:rsid w:val="00E20BC4"/>
    <w:rsid w:val="00E2109E"/>
    <w:rsid w:val="00E211DD"/>
    <w:rsid w:val="00E2148A"/>
    <w:rsid w:val="00E2150B"/>
    <w:rsid w:val="00E21889"/>
    <w:rsid w:val="00E218A1"/>
    <w:rsid w:val="00E21C3D"/>
    <w:rsid w:val="00E21EA5"/>
    <w:rsid w:val="00E22696"/>
    <w:rsid w:val="00E22A0C"/>
    <w:rsid w:val="00E22A31"/>
    <w:rsid w:val="00E231AC"/>
    <w:rsid w:val="00E232A5"/>
    <w:rsid w:val="00E235FD"/>
    <w:rsid w:val="00E23715"/>
    <w:rsid w:val="00E237DC"/>
    <w:rsid w:val="00E24265"/>
    <w:rsid w:val="00E24465"/>
    <w:rsid w:val="00E244C3"/>
    <w:rsid w:val="00E246BB"/>
    <w:rsid w:val="00E247E1"/>
    <w:rsid w:val="00E24BDD"/>
    <w:rsid w:val="00E25319"/>
    <w:rsid w:val="00E25777"/>
    <w:rsid w:val="00E257D9"/>
    <w:rsid w:val="00E25828"/>
    <w:rsid w:val="00E25937"/>
    <w:rsid w:val="00E2598D"/>
    <w:rsid w:val="00E25A9D"/>
    <w:rsid w:val="00E25C62"/>
    <w:rsid w:val="00E25D6E"/>
    <w:rsid w:val="00E26215"/>
    <w:rsid w:val="00E262E3"/>
    <w:rsid w:val="00E2634B"/>
    <w:rsid w:val="00E2635D"/>
    <w:rsid w:val="00E264D6"/>
    <w:rsid w:val="00E2663A"/>
    <w:rsid w:val="00E26735"/>
    <w:rsid w:val="00E26C20"/>
    <w:rsid w:val="00E26D52"/>
    <w:rsid w:val="00E26DDF"/>
    <w:rsid w:val="00E26F75"/>
    <w:rsid w:val="00E270D2"/>
    <w:rsid w:val="00E27672"/>
    <w:rsid w:val="00E27862"/>
    <w:rsid w:val="00E27A2A"/>
    <w:rsid w:val="00E27AC7"/>
    <w:rsid w:val="00E27C53"/>
    <w:rsid w:val="00E27C9A"/>
    <w:rsid w:val="00E27EF2"/>
    <w:rsid w:val="00E3030C"/>
    <w:rsid w:val="00E307CA"/>
    <w:rsid w:val="00E30AEE"/>
    <w:rsid w:val="00E30CEB"/>
    <w:rsid w:val="00E30DFD"/>
    <w:rsid w:val="00E30F93"/>
    <w:rsid w:val="00E30FFE"/>
    <w:rsid w:val="00E3101D"/>
    <w:rsid w:val="00E31051"/>
    <w:rsid w:val="00E314C9"/>
    <w:rsid w:val="00E3153C"/>
    <w:rsid w:val="00E316D8"/>
    <w:rsid w:val="00E3198A"/>
    <w:rsid w:val="00E31DDF"/>
    <w:rsid w:val="00E32190"/>
    <w:rsid w:val="00E32366"/>
    <w:rsid w:val="00E3255D"/>
    <w:rsid w:val="00E326CD"/>
    <w:rsid w:val="00E32738"/>
    <w:rsid w:val="00E327E0"/>
    <w:rsid w:val="00E32830"/>
    <w:rsid w:val="00E32ADB"/>
    <w:rsid w:val="00E32E84"/>
    <w:rsid w:val="00E32F07"/>
    <w:rsid w:val="00E337D3"/>
    <w:rsid w:val="00E33ACA"/>
    <w:rsid w:val="00E33ADB"/>
    <w:rsid w:val="00E33E6A"/>
    <w:rsid w:val="00E340A7"/>
    <w:rsid w:val="00E3439E"/>
    <w:rsid w:val="00E3461E"/>
    <w:rsid w:val="00E34B98"/>
    <w:rsid w:val="00E34D78"/>
    <w:rsid w:val="00E34E62"/>
    <w:rsid w:val="00E35099"/>
    <w:rsid w:val="00E353EB"/>
    <w:rsid w:val="00E354D7"/>
    <w:rsid w:val="00E35608"/>
    <w:rsid w:val="00E358CF"/>
    <w:rsid w:val="00E35A55"/>
    <w:rsid w:val="00E35BAD"/>
    <w:rsid w:val="00E35BC5"/>
    <w:rsid w:val="00E3632E"/>
    <w:rsid w:val="00E3654A"/>
    <w:rsid w:val="00E36C27"/>
    <w:rsid w:val="00E36FD2"/>
    <w:rsid w:val="00E37172"/>
    <w:rsid w:val="00E37F87"/>
    <w:rsid w:val="00E40341"/>
    <w:rsid w:val="00E406FA"/>
    <w:rsid w:val="00E425BB"/>
    <w:rsid w:val="00E429BC"/>
    <w:rsid w:val="00E43406"/>
    <w:rsid w:val="00E434B2"/>
    <w:rsid w:val="00E436D4"/>
    <w:rsid w:val="00E43796"/>
    <w:rsid w:val="00E439A9"/>
    <w:rsid w:val="00E43B51"/>
    <w:rsid w:val="00E43E0A"/>
    <w:rsid w:val="00E43ED8"/>
    <w:rsid w:val="00E43F6B"/>
    <w:rsid w:val="00E444FB"/>
    <w:rsid w:val="00E449A9"/>
    <w:rsid w:val="00E44D87"/>
    <w:rsid w:val="00E4509C"/>
    <w:rsid w:val="00E452A3"/>
    <w:rsid w:val="00E45488"/>
    <w:rsid w:val="00E45866"/>
    <w:rsid w:val="00E45D89"/>
    <w:rsid w:val="00E45DDA"/>
    <w:rsid w:val="00E45DDD"/>
    <w:rsid w:val="00E45F41"/>
    <w:rsid w:val="00E4615F"/>
    <w:rsid w:val="00E461F6"/>
    <w:rsid w:val="00E4625B"/>
    <w:rsid w:val="00E4640B"/>
    <w:rsid w:val="00E4675C"/>
    <w:rsid w:val="00E46820"/>
    <w:rsid w:val="00E46FB2"/>
    <w:rsid w:val="00E47683"/>
    <w:rsid w:val="00E476D7"/>
    <w:rsid w:val="00E47714"/>
    <w:rsid w:val="00E47E7E"/>
    <w:rsid w:val="00E47FB7"/>
    <w:rsid w:val="00E50195"/>
    <w:rsid w:val="00E50643"/>
    <w:rsid w:val="00E506AC"/>
    <w:rsid w:val="00E50D61"/>
    <w:rsid w:val="00E50E25"/>
    <w:rsid w:val="00E50FC4"/>
    <w:rsid w:val="00E51706"/>
    <w:rsid w:val="00E51CC6"/>
    <w:rsid w:val="00E52016"/>
    <w:rsid w:val="00E52510"/>
    <w:rsid w:val="00E5268E"/>
    <w:rsid w:val="00E52A6C"/>
    <w:rsid w:val="00E52EDC"/>
    <w:rsid w:val="00E52FEB"/>
    <w:rsid w:val="00E5311C"/>
    <w:rsid w:val="00E53BA0"/>
    <w:rsid w:val="00E53FFB"/>
    <w:rsid w:val="00E54038"/>
    <w:rsid w:val="00E5409A"/>
    <w:rsid w:val="00E54126"/>
    <w:rsid w:val="00E544AF"/>
    <w:rsid w:val="00E544FF"/>
    <w:rsid w:val="00E547A4"/>
    <w:rsid w:val="00E54A16"/>
    <w:rsid w:val="00E54C65"/>
    <w:rsid w:val="00E54CFE"/>
    <w:rsid w:val="00E55060"/>
    <w:rsid w:val="00E552DB"/>
    <w:rsid w:val="00E55387"/>
    <w:rsid w:val="00E555AF"/>
    <w:rsid w:val="00E55E8A"/>
    <w:rsid w:val="00E55F52"/>
    <w:rsid w:val="00E56455"/>
    <w:rsid w:val="00E564B4"/>
    <w:rsid w:val="00E567ED"/>
    <w:rsid w:val="00E5691D"/>
    <w:rsid w:val="00E56D1B"/>
    <w:rsid w:val="00E56D2E"/>
    <w:rsid w:val="00E56EC3"/>
    <w:rsid w:val="00E56F9C"/>
    <w:rsid w:val="00E57182"/>
    <w:rsid w:val="00E573DB"/>
    <w:rsid w:val="00E60017"/>
    <w:rsid w:val="00E60332"/>
    <w:rsid w:val="00E609F8"/>
    <w:rsid w:val="00E60DD6"/>
    <w:rsid w:val="00E61173"/>
    <w:rsid w:val="00E61A45"/>
    <w:rsid w:val="00E61AEC"/>
    <w:rsid w:val="00E61B8B"/>
    <w:rsid w:val="00E61E8C"/>
    <w:rsid w:val="00E62174"/>
    <w:rsid w:val="00E62358"/>
    <w:rsid w:val="00E62945"/>
    <w:rsid w:val="00E63AE4"/>
    <w:rsid w:val="00E63C96"/>
    <w:rsid w:val="00E63D14"/>
    <w:rsid w:val="00E64897"/>
    <w:rsid w:val="00E648B0"/>
    <w:rsid w:val="00E64A11"/>
    <w:rsid w:val="00E651AB"/>
    <w:rsid w:val="00E65291"/>
    <w:rsid w:val="00E6565C"/>
    <w:rsid w:val="00E656CC"/>
    <w:rsid w:val="00E656E2"/>
    <w:rsid w:val="00E65977"/>
    <w:rsid w:val="00E65A42"/>
    <w:rsid w:val="00E65D1E"/>
    <w:rsid w:val="00E65F71"/>
    <w:rsid w:val="00E660DB"/>
    <w:rsid w:val="00E6619D"/>
    <w:rsid w:val="00E66264"/>
    <w:rsid w:val="00E66806"/>
    <w:rsid w:val="00E669F1"/>
    <w:rsid w:val="00E66A4B"/>
    <w:rsid w:val="00E66C34"/>
    <w:rsid w:val="00E66DDE"/>
    <w:rsid w:val="00E6700D"/>
    <w:rsid w:val="00E67390"/>
    <w:rsid w:val="00E673F7"/>
    <w:rsid w:val="00E67644"/>
    <w:rsid w:val="00E67805"/>
    <w:rsid w:val="00E678ED"/>
    <w:rsid w:val="00E679B9"/>
    <w:rsid w:val="00E67A1B"/>
    <w:rsid w:val="00E67BF3"/>
    <w:rsid w:val="00E7013C"/>
    <w:rsid w:val="00E705CC"/>
    <w:rsid w:val="00E7088F"/>
    <w:rsid w:val="00E70A51"/>
    <w:rsid w:val="00E70B58"/>
    <w:rsid w:val="00E70C08"/>
    <w:rsid w:val="00E70E12"/>
    <w:rsid w:val="00E70EB8"/>
    <w:rsid w:val="00E710BE"/>
    <w:rsid w:val="00E711C6"/>
    <w:rsid w:val="00E7152B"/>
    <w:rsid w:val="00E717C4"/>
    <w:rsid w:val="00E71A4A"/>
    <w:rsid w:val="00E71D26"/>
    <w:rsid w:val="00E71F57"/>
    <w:rsid w:val="00E71FC9"/>
    <w:rsid w:val="00E72516"/>
    <w:rsid w:val="00E727F1"/>
    <w:rsid w:val="00E7309F"/>
    <w:rsid w:val="00E7325E"/>
    <w:rsid w:val="00E732BA"/>
    <w:rsid w:val="00E73ABC"/>
    <w:rsid w:val="00E73E19"/>
    <w:rsid w:val="00E73F96"/>
    <w:rsid w:val="00E749B3"/>
    <w:rsid w:val="00E74A99"/>
    <w:rsid w:val="00E74DDB"/>
    <w:rsid w:val="00E74E47"/>
    <w:rsid w:val="00E74FB7"/>
    <w:rsid w:val="00E7523F"/>
    <w:rsid w:val="00E75319"/>
    <w:rsid w:val="00E75724"/>
    <w:rsid w:val="00E759CA"/>
    <w:rsid w:val="00E75B74"/>
    <w:rsid w:val="00E76492"/>
    <w:rsid w:val="00E766BD"/>
    <w:rsid w:val="00E769AD"/>
    <w:rsid w:val="00E76A80"/>
    <w:rsid w:val="00E76E63"/>
    <w:rsid w:val="00E76EC6"/>
    <w:rsid w:val="00E77C2E"/>
    <w:rsid w:val="00E800AA"/>
    <w:rsid w:val="00E802D6"/>
    <w:rsid w:val="00E80982"/>
    <w:rsid w:val="00E80AB0"/>
    <w:rsid w:val="00E80D04"/>
    <w:rsid w:val="00E81455"/>
    <w:rsid w:val="00E81558"/>
    <w:rsid w:val="00E8158B"/>
    <w:rsid w:val="00E8183F"/>
    <w:rsid w:val="00E81E5F"/>
    <w:rsid w:val="00E823B0"/>
    <w:rsid w:val="00E82662"/>
    <w:rsid w:val="00E82CDB"/>
    <w:rsid w:val="00E82F1C"/>
    <w:rsid w:val="00E8303C"/>
    <w:rsid w:val="00E83221"/>
    <w:rsid w:val="00E8337C"/>
    <w:rsid w:val="00E833A2"/>
    <w:rsid w:val="00E835E8"/>
    <w:rsid w:val="00E836FA"/>
    <w:rsid w:val="00E837A1"/>
    <w:rsid w:val="00E838B3"/>
    <w:rsid w:val="00E83DD1"/>
    <w:rsid w:val="00E84157"/>
    <w:rsid w:val="00E841AD"/>
    <w:rsid w:val="00E842AF"/>
    <w:rsid w:val="00E843E2"/>
    <w:rsid w:val="00E84988"/>
    <w:rsid w:val="00E84AAD"/>
    <w:rsid w:val="00E84EC7"/>
    <w:rsid w:val="00E851CD"/>
    <w:rsid w:val="00E85292"/>
    <w:rsid w:val="00E85D8A"/>
    <w:rsid w:val="00E85F80"/>
    <w:rsid w:val="00E860C9"/>
    <w:rsid w:val="00E8611F"/>
    <w:rsid w:val="00E86A01"/>
    <w:rsid w:val="00E86BB7"/>
    <w:rsid w:val="00E86DB2"/>
    <w:rsid w:val="00E86FF5"/>
    <w:rsid w:val="00E86FFC"/>
    <w:rsid w:val="00E87773"/>
    <w:rsid w:val="00E87E88"/>
    <w:rsid w:val="00E90435"/>
    <w:rsid w:val="00E90437"/>
    <w:rsid w:val="00E90D30"/>
    <w:rsid w:val="00E90D58"/>
    <w:rsid w:val="00E90FCB"/>
    <w:rsid w:val="00E91240"/>
    <w:rsid w:val="00E91602"/>
    <w:rsid w:val="00E91719"/>
    <w:rsid w:val="00E91831"/>
    <w:rsid w:val="00E91867"/>
    <w:rsid w:val="00E91883"/>
    <w:rsid w:val="00E91CA3"/>
    <w:rsid w:val="00E91CE7"/>
    <w:rsid w:val="00E91E01"/>
    <w:rsid w:val="00E92118"/>
    <w:rsid w:val="00E926FF"/>
    <w:rsid w:val="00E92B79"/>
    <w:rsid w:val="00E92F0D"/>
    <w:rsid w:val="00E9311B"/>
    <w:rsid w:val="00E93125"/>
    <w:rsid w:val="00E93310"/>
    <w:rsid w:val="00E936E5"/>
    <w:rsid w:val="00E93A25"/>
    <w:rsid w:val="00E93BCF"/>
    <w:rsid w:val="00E93BE1"/>
    <w:rsid w:val="00E944EF"/>
    <w:rsid w:val="00E949A5"/>
    <w:rsid w:val="00E94E48"/>
    <w:rsid w:val="00E9500D"/>
    <w:rsid w:val="00E9509C"/>
    <w:rsid w:val="00E951BF"/>
    <w:rsid w:val="00E9584D"/>
    <w:rsid w:val="00E95A7E"/>
    <w:rsid w:val="00E95E28"/>
    <w:rsid w:val="00E95F44"/>
    <w:rsid w:val="00E96066"/>
    <w:rsid w:val="00E9640B"/>
    <w:rsid w:val="00E96AF8"/>
    <w:rsid w:val="00E96E54"/>
    <w:rsid w:val="00E96F2F"/>
    <w:rsid w:val="00E97C78"/>
    <w:rsid w:val="00E97D93"/>
    <w:rsid w:val="00E97F0B"/>
    <w:rsid w:val="00E9B15A"/>
    <w:rsid w:val="00EA0725"/>
    <w:rsid w:val="00EA0737"/>
    <w:rsid w:val="00EA0812"/>
    <w:rsid w:val="00EA0D2C"/>
    <w:rsid w:val="00EA116F"/>
    <w:rsid w:val="00EA14CC"/>
    <w:rsid w:val="00EA17CD"/>
    <w:rsid w:val="00EA187C"/>
    <w:rsid w:val="00EA1C22"/>
    <w:rsid w:val="00EA1E83"/>
    <w:rsid w:val="00EA22EB"/>
    <w:rsid w:val="00EA2529"/>
    <w:rsid w:val="00EA2C4D"/>
    <w:rsid w:val="00EA2F7F"/>
    <w:rsid w:val="00EA3234"/>
    <w:rsid w:val="00EA3422"/>
    <w:rsid w:val="00EA3508"/>
    <w:rsid w:val="00EA373C"/>
    <w:rsid w:val="00EA3E3E"/>
    <w:rsid w:val="00EA4549"/>
    <w:rsid w:val="00EA4931"/>
    <w:rsid w:val="00EA4E8F"/>
    <w:rsid w:val="00EA4FF6"/>
    <w:rsid w:val="00EA506F"/>
    <w:rsid w:val="00EA53DB"/>
    <w:rsid w:val="00EA5410"/>
    <w:rsid w:val="00EA54B2"/>
    <w:rsid w:val="00EA5933"/>
    <w:rsid w:val="00EA5995"/>
    <w:rsid w:val="00EA5C1E"/>
    <w:rsid w:val="00EA6045"/>
    <w:rsid w:val="00EA607A"/>
    <w:rsid w:val="00EA6498"/>
    <w:rsid w:val="00EA6752"/>
    <w:rsid w:val="00EA690D"/>
    <w:rsid w:val="00EA7046"/>
    <w:rsid w:val="00EA713B"/>
    <w:rsid w:val="00EA7404"/>
    <w:rsid w:val="00EA7979"/>
    <w:rsid w:val="00EA7B05"/>
    <w:rsid w:val="00EA7EC5"/>
    <w:rsid w:val="00EA7F16"/>
    <w:rsid w:val="00EB049D"/>
    <w:rsid w:val="00EB0B94"/>
    <w:rsid w:val="00EB11C8"/>
    <w:rsid w:val="00EB11FE"/>
    <w:rsid w:val="00EB1292"/>
    <w:rsid w:val="00EB141A"/>
    <w:rsid w:val="00EB149F"/>
    <w:rsid w:val="00EB1BEF"/>
    <w:rsid w:val="00EB1DEF"/>
    <w:rsid w:val="00EB2037"/>
    <w:rsid w:val="00EB2158"/>
    <w:rsid w:val="00EB2716"/>
    <w:rsid w:val="00EB2A7F"/>
    <w:rsid w:val="00EB3477"/>
    <w:rsid w:val="00EB35A1"/>
    <w:rsid w:val="00EB35AE"/>
    <w:rsid w:val="00EB361D"/>
    <w:rsid w:val="00EB397E"/>
    <w:rsid w:val="00EB39FF"/>
    <w:rsid w:val="00EB3CBD"/>
    <w:rsid w:val="00EB3F14"/>
    <w:rsid w:val="00EB431B"/>
    <w:rsid w:val="00EB4739"/>
    <w:rsid w:val="00EB4A2E"/>
    <w:rsid w:val="00EB4BCE"/>
    <w:rsid w:val="00EB5597"/>
    <w:rsid w:val="00EB55A0"/>
    <w:rsid w:val="00EB55A7"/>
    <w:rsid w:val="00EB5753"/>
    <w:rsid w:val="00EB5788"/>
    <w:rsid w:val="00EB5C43"/>
    <w:rsid w:val="00EB5ECF"/>
    <w:rsid w:val="00EB5F79"/>
    <w:rsid w:val="00EB60BD"/>
    <w:rsid w:val="00EB6300"/>
    <w:rsid w:val="00EB6716"/>
    <w:rsid w:val="00EB6887"/>
    <w:rsid w:val="00EB6B9B"/>
    <w:rsid w:val="00EB7063"/>
    <w:rsid w:val="00EB7098"/>
    <w:rsid w:val="00EC045E"/>
    <w:rsid w:val="00EC0475"/>
    <w:rsid w:val="00EC0A9D"/>
    <w:rsid w:val="00EC0CA7"/>
    <w:rsid w:val="00EC0F5B"/>
    <w:rsid w:val="00EC118E"/>
    <w:rsid w:val="00EC123D"/>
    <w:rsid w:val="00EC1379"/>
    <w:rsid w:val="00EC1488"/>
    <w:rsid w:val="00EC173D"/>
    <w:rsid w:val="00EC1759"/>
    <w:rsid w:val="00EC1BAD"/>
    <w:rsid w:val="00EC1BBD"/>
    <w:rsid w:val="00EC1FA5"/>
    <w:rsid w:val="00EC282C"/>
    <w:rsid w:val="00EC288E"/>
    <w:rsid w:val="00EC28D0"/>
    <w:rsid w:val="00EC2E68"/>
    <w:rsid w:val="00EC2F5D"/>
    <w:rsid w:val="00EC3334"/>
    <w:rsid w:val="00EC3630"/>
    <w:rsid w:val="00EC38DE"/>
    <w:rsid w:val="00EC3D45"/>
    <w:rsid w:val="00EC3D9D"/>
    <w:rsid w:val="00EC3ED2"/>
    <w:rsid w:val="00EC40CE"/>
    <w:rsid w:val="00EC439D"/>
    <w:rsid w:val="00EC43FD"/>
    <w:rsid w:val="00EC4753"/>
    <w:rsid w:val="00EC4965"/>
    <w:rsid w:val="00EC49A0"/>
    <w:rsid w:val="00EC4B02"/>
    <w:rsid w:val="00EC57F9"/>
    <w:rsid w:val="00EC591E"/>
    <w:rsid w:val="00EC5990"/>
    <w:rsid w:val="00EC5D80"/>
    <w:rsid w:val="00EC5F85"/>
    <w:rsid w:val="00EC669A"/>
    <w:rsid w:val="00EC6929"/>
    <w:rsid w:val="00EC69D4"/>
    <w:rsid w:val="00EC6CE8"/>
    <w:rsid w:val="00EC70BF"/>
    <w:rsid w:val="00EC75C1"/>
    <w:rsid w:val="00EC773B"/>
    <w:rsid w:val="00EC7DFE"/>
    <w:rsid w:val="00EC7E71"/>
    <w:rsid w:val="00EC7F00"/>
    <w:rsid w:val="00ED071F"/>
    <w:rsid w:val="00ED075F"/>
    <w:rsid w:val="00ED077C"/>
    <w:rsid w:val="00ED0905"/>
    <w:rsid w:val="00ED0A84"/>
    <w:rsid w:val="00ED0AF6"/>
    <w:rsid w:val="00ED16F5"/>
    <w:rsid w:val="00ED1737"/>
    <w:rsid w:val="00ED1871"/>
    <w:rsid w:val="00ED1D17"/>
    <w:rsid w:val="00ED1F3D"/>
    <w:rsid w:val="00ED22B6"/>
    <w:rsid w:val="00ED28E6"/>
    <w:rsid w:val="00ED315B"/>
    <w:rsid w:val="00ED31D0"/>
    <w:rsid w:val="00ED326C"/>
    <w:rsid w:val="00ED33C0"/>
    <w:rsid w:val="00ED399F"/>
    <w:rsid w:val="00ED3B93"/>
    <w:rsid w:val="00ED3D39"/>
    <w:rsid w:val="00ED3D71"/>
    <w:rsid w:val="00ED3F6C"/>
    <w:rsid w:val="00ED4269"/>
    <w:rsid w:val="00ED4478"/>
    <w:rsid w:val="00ED480A"/>
    <w:rsid w:val="00ED4C4E"/>
    <w:rsid w:val="00ED4D10"/>
    <w:rsid w:val="00ED4D4D"/>
    <w:rsid w:val="00ED50A6"/>
    <w:rsid w:val="00ED52F9"/>
    <w:rsid w:val="00ED55AD"/>
    <w:rsid w:val="00ED563E"/>
    <w:rsid w:val="00ED5D74"/>
    <w:rsid w:val="00ED5E22"/>
    <w:rsid w:val="00ED5F63"/>
    <w:rsid w:val="00ED6179"/>
    <w:rsid w:val="00ED6275"/>
    <w:rsid w:val="00ED631D"/>
    <w:rsid w:val="00ED64B6"/>
    <w:rsid w:val="00ED65E0"/>
    <w:rsid w:val="00ED6610"/>
    <w:rsid w:val="00ED67D0"/>
    <w:rsid w:val="00ED6A9D"/>
    <w:rsid w:val="00ED6BD2"/>
    <w:rsid w:val="00ED713F"/>
    <w:rsid w:val="00ED72F0"/>
    <w:rsid w:val="00ED75B2"/>
    <w:rsid w:val="00ED7B8A"/>
    <w:rsid w:val="00ED7BB2"/>
    <w:rsid w:val="00ED7D5F"/>
    <w:rsid w:val="00ED7F5D"/>
    <w:rsid w:val="00ED7FCC"/>
    <w:rsid w:val="00EE01DD"/>
    <w:rsid w:val="00EE0E0F"/>
    <w:rsid w:val="00EE1138"/>
    <w:rsid w:val="00EE1142"/>
    <w:rsid w:val="00EE1594"/>
    <w:rsid w:val="00EE17E1"/>
    <w:rsid w:val="00EE1F81"/>
    <w:rsid w:val="00EE1FAA"/>
    <w:rsid w:val="00EE219F"/>
    <w:rsid w:val="00EE21A2"/>
    <w:rsid w:val="00EE21E8"/>
    <w:rsid w:val="00EE248F"/>
    <w:rsid w:val="00EE24D3"/>
    <w:rsid w:val="00EE2672"/>
    <w:rsid w:val="00EE2C15"/>
    <w:rsid w:val="00EE2CC0"/>
    <w:rsid w:val="00EE3327"/>
    <w:rsid w:val="00EE348F"/>
    <w:rsid w:val="00EE36AF"/>
    <w:rsid w:val="00EE36C6"/>
    <w:rsid w:val="00EE3925"/>
    <w:rsid w:val="00EE3A00"/>
    <w:rsid w:val="00EE402B"/>
    <w:rsid w:val="00EE406D"/>
    <w:rsid w:val="00EE4282"/>
    <w:rsid w:val="00EE47B3"/>
    <w:rsid w:val="00EE4CF0"/>
    <w:rsid w:val="00EE50A4"/>
    <w:rsid w:val="00EE521D"/>
    <w:rsid w:val="00EE580F"/>
    <w:rsid w:val="00EE5AB4"/>
    <w:rsid w:val="00EE5AB9"/>
    <w:rsid w:val="00EE61CA"/>
    <w:rsid w:val="00EE6276"/>
    <w:rsid w:val="00EE6632"/>
    <w:rsid w:val="00EE6AA1"/>
    <w:rsid w:val="00EE7836"/>
    <w:rsid w:val="00EE7F2E"/>
    <w:rsid w:val="00EF017E"/>
    <w:rsid w:val="00EF01CE"/>
    <w:rsid w:val="00EF028F"/>
    <w:rsid w:val="00EF04C4"/>
    <w:rsid w:val="00EF061D"/>
    <w:rsid w:val="00EF081E"/>
    <w:rsid w:val="00EF0B23"/>
    <w:rsid w:val="00EF119F"/>
    <w:rsid w:val="00EF1282"/>
    <w:rsid w:val="00EF146E"/>
    <w:rsid w:val="00EF1621"/>
    <w:rsid w:val="00EF199D"/>
    <w:rsid w:val="00EF1B03"/>
    <w:rsid w:val="00EF1EB5"/>
    <w:rsid w:val="00EF203E"/>
    <w:rsid w:val="00EF2125"/>
    <w:rsid w:val="00EF239A"/>
    <w:rsid w:val="00EF270E"/>
    <w:rsid w:val="00EF29BD"/>
    <w:rsid w:val="00EF2DB4"/>
    <w:rsid w:val="00EF2E4C"/>
    <w:rsid w:val="00EF3118"/>
    <w:rsid w:val="00EF3175"/>
    <w:rsid w:val="00EF32DC"/>
    <w:rsid w:val="00EF330C"/>
    <w:rsid w:val="00EF3550"/>
    <w:rsid w:val="00EF36DA"/>
    <w:rsid w:val="00EF389B"/>
    <w:rsid w:val="00EF39D4"/>
    <w:rsid w:val="00EF3AA0"/>
    <w:rsid w:val="00EF3F0B"/>
    <w:rsid w:val="00EF46D8"/>
    <w:rsid w:val="00EF4841"/>
    <w:rsid w:val="00EF4E6A"/>
    <w:rsid w:val="00EF5142"/>
    <w:rsid w:val="00EF51E7"/>
    <w:rsid w:val="00EF5221"/>
    <w:rsid w:val="00EF54D1"/>
    <w:rsid w:val="00EF57D3"/>
    <w:rsid w:val="00EF5B06"/>
    <w:rsid w:val="00EF5F56"/>
    <w:rsid w:val="00EF603D"/>
    <w:rsid w:val="00EF6187"/>
    <w:rsid w:val="00EF6221"/>
    <w:rsid w:val="00EF62F7"/>
    <w:rsid w:val="00EF635B"/>
    <w:rsid w:val="00EF6437"/>
    <w:rsid w:val="00EF66D7"/>
    <w:rsid w:val="00EF6C93"/>
    <w:rsid w:val="00EF6CEE"/>
    <w:rsid w:val="00EF6FCB"/>
    <w:rsid w:val="00EF7293"/>
    <w:rsid w:val="00EF77FB"/>
    <w:rsid w:val="00EF7932"/>
    <w:rsid w:val="00EF7B63"/>
    <w:rsid w:val="00EF7C02"/>
    <w:rsid w:val="00EF7C1C"/>
    <w:rsid w:val="00F00409"/>
    <w:rsid w:val="00F00A0E"/>
    <w:rsid w:val="00F00B14"/>
    <w:rsid w:val="00F00C2C"/>
    <w:rsid w:val="00F00DEB"/>
    <w:rsid w:val="00F011A2"/>
    <w:rsid w:val="00F0142A"/>
    <w:rsid w:val="00F01E48"/>
    <w:rsid w:val="00F01E5B"/>
    <w:rsid w:val="00F0216B"/>
    <w:rsid w:val="00F022D8"/>
    <w:rsid w:val="00F02349"/>
    <w:rsid w:val="00F02444"/>
    <w:rsid w:val="00F02476"/>
    <w:rsid w:val="00F0249A"/>
    <w:rsid w:val="00F02668"/>
    <w:rsid w:val="00F026C8"/>
    <w:rsid w:val="00F028AB"/>
    <w:rsid w:val="00F02AC1"/>
    <w:rsid w:val="00F02B1D"/>
    <w:rsid w:val="00F02B8A"/>
    <w:rsid w:val="00F02CD0"/>
    <w:rsid w:val="00F02E1F"/>
    <w:rsid w:val="00F03016"/>
    <w:rsid w:val="00F030AF"/>
    <w:rsid w:val="00F03BEE"/>
    <w:rsid w:val="00F03C8C"/>
    <w:rsid w:val="00F03E13"/>
    <w:rsid w:val="00F03F17"/>
    <w:rsid w:val="00F0427F"/>
    <w:rsid w:val="00F0450A"/>
    <w:rsid w:val="00F048FA"/>
    <w:rsid w:val="00F04CC5"/>
    <w:rsid w:val="00F05068"/>
    <w:rsid w:val="00F053AC"/>
    <w:rsid w:val="00F05CC6"/>
    <w:rsid w:val="00F05D0E"/>
    <w:rsid w:val="00F0604A"/>
    <w:rsid w:val="00F06659"/>
    <w:rsid w:val="00F0671C"/>
    <w:rsid w:val="00F0680F"/>
    <w:rsid w:val="00F06B41"/>
    <w:rsid w:val="00F06C8F"/>
    <w:rsid w:val="00F06E64"/>
    <w:rsid w:val="00F06EEB"/>
    <w:rsid w:val="00F06F17"/>
    <w:rsid w:val="00F06F26"/>
    <w:rsid w:val="00F074C1"/>
    <w:rsid w:val="00F07567"/>
    <w:rsid w:val="00F07991"/>
    <w:rsid w:val="00F10146"/>
    <w:rsid w:val="00F1044D"/>
    <w:rsid w:val="00F106D2"/>
    <w:rsid w:val="00F107E9"/>
    <w:rsid w:val="00F10A7A"/>
    <w:rsid w:val="00F10A7B"/>
    <w:rsid w:val="00F10BE4"/>
    <w:rsid w:val="00F10C1A"/>
    <w:rsid w:val="00F10D2E"/>
    <w:rsid w:val="00F10D6E"/>
    <w:rsid w:val="00F111EE"/>
    <w:rsid w:val="00F11881"/>
    <w:rsid w:val="00F119E8"/>
    <w:rsid w:val="00F11F5D"/>
    <w:rsid w:val="00F12072"/>
    <w:rsid w:val="00F1208E"/>
    <w:rsid w:val="00F12295"/>
    <w:rsid w:val="00F12343"/>
    <w:rsid w:val="00F12536"/>
    <w:rsid w:val="00F127FD"/>
    <w:rsid w:val="00F12D1A"/>
    <w:rsid w:val="00F12FB4"/>
    <w:rsid w:val="00F13244"/>
    <w:rsid w:val="00F1331D"/>
    <w:rsid w:val="00F136E0"/>
    <w:rsid w:val="00F13A4A"/>
    <w:rsid w:val="00F13B4A"/>
    <w:rsid w:val="00F13E19"/>
    <w:rsid w:val="00F144CB"/>
    <w:rsid w:val="00F14671"/>
    <w:rsid w:val="00F149B1"/>
    <w:rsid w:val="00F14A8E"/>
    <w:rsid w:val="00F14B0E"/>
    <w:rsid w:val="00F14B21"/>
    <w:rsid w:val="00F14EF3"/>
    <w:rsid w:val="00F14F09"/>
    <w:rsid w:val="00F150B3"/>
    <w:rsid w:val="00F15207"/>
    <w:rsid w:val="00F153DB"/>
    <w:rsid w:val="00F155B4"/>
    <w:rsid w:val="00F15648"/>
    <w:rsid w:val="00F15745"/>
    <w:rsid w:val="00F15751"/>
    <w:rsid w:val="00F158E3"/>
    <w:rsid w:val="00F15A3A"/>
    <w:rsid w:val="00F15D3F"/>
    <w:rsid w:val="00F15ECA"/>
    <w:rsid w:val="00F16377"/>
    <w:rsid w:val="00F163DB"/>
    <w:rsid w:val="00F164C9"/>
    <w:rsid w:val="00F16871"/>
    <w:rsid w:val="00F16D54"/>
    <w:rsid w:val="00F16F23"/>
    <w:rsid w:val="00F1700D"/>
    <w:rsid w:val="00F1705D"/>
    <w:rsid w:val="00F172EB"/>
    <w:rsid w:val="00F1765F"/>
    <w:rsid w:val="00F17ABD"/>
    <w:rsid w:val="00F17B19"/>
    <w:rsid w:val="00F17F8E"/>
    <w:rsid w:val="00F204EE"/>
    <w:rsid w:val="00F20ACC"/>
    <w:rsid w:val="00F20CBE"/>
    <w:rsid w:val="00F20E58"/>
    <w:rsid w:val="00F21272"/>
    <w:rsid w:val="00F2156C"/>
    <w:rsid w:val="00F22104"/>
    <w:rsid w:val="00F2223E"/>
    <w:rsid w:val="00F22279"/>
    <w:rsid w:val="00F2230C"/>
    <w:rsid w:val="00F22909"/>
    <w:rsid w:val="00F22BEB"/>
    <w:rsid w:val="00F232EA"/>
    <w:rsid w:val="00F235AC"/>
    <w:rsid w:val="00F23690"/>
    <w:rsid w:val="00F23728"/>
    <w:rsid w:val="00F2378E"/>
    <w:rsid w:val="00F23E45"/>
    <w:rsid w:val="00F243A1"/>
    <w:rsid w:val="00F243E5"/>
    <w:rsid w:val="00F244BA"/>
    <w:rsid w:val="00F2482F"/>
    <w:rsid w:val="00F24A44"/>
    <w:rsid w:val="00F2503E"/>
    <w:rsid w:val="00F25543"/>
    <w:rsid w:val="00F25682"/>
    <w:rsid w:val="00F25A5A"/>
    <w:rsid w:val="00F25A82"/>
    <w:rsid w:val="00F25EA4"/>
    <w:rsid w:val="00F262F0"/>
    <w:rsid w:val="00F263F0"/>
    <w:rsid w:val="00F26890"/>
    <w:rsid w:val="00F26ACA"/>
    <w:rsid w:val="00F26E33"/>
    <w:rsid w:val="00F270C5"/>
    <w:rsid w:val="00F27670"/>
    <w:rsid w:val="00F2783B"/>
    <w:rsid w:val="00F2797B"/>
    <w:rsid w:val="00F27A7B"/>
    <w:rsid w:val="00F30C47"/>
    <w:rsid w:val="00F31417"/>
    <w:rsid w:val="00F31664"/>
    <w:rsid w:val="00F31BCB"/>
    <w:rsid w:val="00F32319"/>
    <w:rsid w:val="00F3330B"/>
    <w:rsid w:val="00F33554"/>
    <w:rsid w:val="00F33891"/>
    <w:rsid w:val="00F338AC"/>
    <w:rsid w:val="00F33F12"/>
    <w:rsid w:val="00F34728"/>
    <w:rsid w:val="00F348D8"/>
    <w:rsid w:val="00F34B19"/>
    <w:rsid w:val="00F34C11"/>
    <w:rsid w:val="00F34CBE"/>
    <w:rsid w:val="00F34EF8"/>
    <w:rsid w:val="00F3517C"/>
    <w:rsid w:val="00F3573D"/>
    <w:rsid w:val="00F3580C"/>
    <w:rsid w:val="00F358A6"/>
    <w:rsid w:val="00F3592E"/>
    <w:rsid w:val="00F35E6C"/>
    <w:rsid w:val="00F35FC6"/>
    <w:rsid w:val="00F3606A"/>
    <w:rsid w:val="00F362BE"/>
    <w:rsid w:val="00F363C3"/>
    <w:rsid w:val="00F367C2"/>
    <w:rsid w:val="00F36881"/>
    <w:rsid w:val="00F3735A"/>
    <w:rsid w:val="00F373F9"/>
    <w:rsid w:val="00F376C6"/>
    <w:rsid w:val="00F37AD5"/>
    <w:rsid w:val="00F37CE1"/>
    <w:rsid w:val="00F37E50"/>
    <w:rsid w:val="00F4057A"/>
    <w:rsid w:val="00F40A9C"/>
    <w:rsid w:val="00F40B51"/>
    <w:rsid w:val="00F40F60"/>
    <w:rsid w:val="00F41044"/>
    <w:rsid w:val="00F410CB"/>
    <w:rsid w:val="00F41130"/>
    <w:rsid w:val="00F413E6"/>
    <w:rsid w:val="00F4156D"/>
    <w:rsid w:val="00F417AC"/>
    <w:rsid w:val="00F41860"/>
    <w:rsid w:val="00F41AE7"/>
    <w:rsid w:val="00F41F2C"/>
    <w:rsid w:val="00F42423"/>
    <w:rsid w:val="00F424A6"/>
    <w:rsid w:val="00F42509"/>
    <w:rsid w:val="00F425AB"/>
    <w:rsid w:val="00F4269D"/>
    <w:rsid w:val="00F42B92"/>
    <w:rsid w:val="00F42C15"/>
    <w:rsid w:val="00F42F9A"/>
    <w:rsid w:val="00F4357C"/>
    <w:rsid w:val="00F43995"/>
    <w:rsid w:val="00F43B42"/>
    <w:rsid w:val="00F43EC5"/>
    <w:rsid w:val="00F44965"/>
    <w:rsid w:val="00F45408"/>
    <w:rsid w:val="00F45C2B"/>
    <w:rsid w:val="00F460C9"/>
    <w:rsid w:val="00F46181"/>
    <w:rsid w:val="00F461C9"/>
    <w:rsid w:val="00F46494"/>
    <w:rsid w:val="00F46779"/>
    <w:rsid w:val="00F46855"/>
    <w:rsid w:val="00F47116"/>
    <w:rsid w:val="00F47359"/>
    <w:rsid w:val="00F474FB"/>
    <w:rsid w:val="00F475B1"/>
    <w:rsid w:val="00F477F0"/>
    <w:rsid w:val="00F47870"/>
    <w:rsid w:val="00F47C55"/>
    <w:rsid w:val="00F47F85"/>
    <w:rsid w:val="00F50197"/>
    <w:rsid w:val="00F50228"/>
    <w:rsid w:val="00F502AD"/>
    <w:rsid w:val="00F503F8"/>
    <w:rsid w:val="00F5067C"/>
    <w:rsid w:val="00F5135D"/>
    <w:rsid w:val="00F51552"/>
    <w:rsid w:val="00F51C1E"/>
    <w:rsid w:val="00F51C40"/>
    <w:rsid w:val="00F52224"/>
    <w:rsid w:val="00F522DF"/>
    <w:rsid w:val="00F52A3F"/>
    <w:rsid w:val="00F52A93"/>
    <w:rsid w:val="00F5338D"/>
    <w:rsid w:val="00F533FF"/>
    <w:rsid w:val="00F53561"/>
    <w:rsid w:val="00F5362D"/>
    <w:rsid w:val="00F53689"/>
    <w:rsid w:val="00F53836"/>
    <w:rsid w:val="00F53844"/>
    <w:rsid w:val="00F538A3"/>
    <w:rsid w:val="00F53EAC"/>
    <w:rsid w:val="00F53FF2"/>
    <w:rsid w:val="00F54095"/>
    <w:rsid w:val="00F54178"/>
    <w:rsid w:val="00F54286"/>
    <w:rsid w:val="00F543AE"/>
    <w:rsid w:val="00F545D3"/>
    <w:rsid w:val="00F5466A"/>
    <w:rsid w:val="00F549BC"/>
    <w:rsid w:val="00F54E9D"/>
    <w:rsid w:val="00F5526A"/>
    <w:rsid w:val="00F55354"/>
    <w:rsid w:val="00F5536A"/>
    <w:rsid w:val="00F558EC"/>
    <w:rsid w:val="00F55BA1"/>
    <w:rsid w:val="00F55D76"/>
    <w:rsid w:val="00F5622C"/>
    <w:rsid w:val="00F56923"/>
    <w:rsid w:val="00F56A7E"/>
    <w:rsid w:val="00F56A81"/>
    <w:rsid w:val="00F56AB2"/>
    <w:rsid w:val="00F57072"/>
    <w:rsid w:val="00F5773E"/>
    <w:rsid w:val="00F57B40"/>
    <w:rsid w:val="00F57D2A"/>
    <w:rsid w:val="00F6060C"/>
    <w:rsid w:val="00F60952"/>
    <w:rsid w:val="00F60C2C"/>
    <w:rsid w:val="00F60F80"/>
    <w:rsid w:val="00F6101D"/>
    <w:rsid w:val="00F6132C"/>
    <w:rsid w:val="00F613AF"/>
    <w:rsid w:val="00F618EF"/>
    <w:rsid w:val="00F61920"/>
    <w:rsid w:val="00F61956"/>
    <w:rsid w:val="00F619B1"/>
    <w:rsid w:val="00F619E6"/>
    <w:rsid w:val="00F61A6F"/>
    <w:rsid w:val="00F61E4D"/>
    <w:rsid w:val="00F6215E"/>
    <w:rsid w:val="00F626E0"/>
    <w:rsid w:val="00F627F4"/>
    <w:rsid w:val="00F63149"/>
    <w:rsid w:val="00F63765"/>
    <w:rsid w:val="00F638F1"/>
    <w:rsid w:val="00F63DB5"/>
    <w:rsid w:val="00F64279"/>
    <w:rsid w:val="00F64339"/>
    <w:rsid w:val="00F64414"/>
    <w:rsid w:val="00F64719"/>
    <w:rsid w:val="00F64765"/>
    <w:rsid w:val="00F6487B"/>
    <w:rsid w:val="00F649C1"/>
    <w:rsid w:val="00F650CB"/>
    <w:rsid w:val="00F650CC"/>
    <w:rsid w:val="00F65451"/>
    <w:rsid w:val="00F65713"/>
    <w:rsid w:val="00F65823"/>
    <w:rsid w:val="00F65926"/>
    <w:rsid w:val="00F659E7"/>
    <w:rsid w:val="00F65A13"/>
    <w:rsid w:val="00F65E30"/>
    <w:rsid w:val="00F66402"/>
    <w:rsid w:val="00F66485"/>
    <w:rsid w:val="00F667D9"/>
    <w:rsid w:val="00F67057"/>
    <w:rsid w:val="00F671D6"/>
    <w:rsid w:val="00F673B1"/>
    <w:rsid w:val="00F67797"/>
    <w:rsid w:val="00F677FD"/>
    <w:rsid w:val="00F678B2"/>
    <w:rsid w:val="00F67D55"/>
    <w:rsid w:val="00F67FA3"/>
    <w:rsid w:val="00F7059A"/>
    <w:rsid w:val="00F708DF"/>
    <w:rsid w:val="00F70AAD"/>
    <w:rsid w:val="00F70B9F"/>
    <w:rsid w:val="00F70CA9"/>
    <w:rsid w:val="00F70D55"/>
    <w:rsid w:val="00F7102D"/>
    <w:rsid w:val="00F7148A"/>
    <w:rsid w:val="00F716A3"/>
    <w:rsid w:val="00F718F3"/>
    <w:rsid w:val="00F719FE"/>
    <w:rsid w:val="00F71AC6"/>
    <w:rsid w:val="00F71BE0"/>
    <w:rsid w:val="00F720DA"/>
    <w:rsid w:val="00F72412"/>
    <w:rsid w:val="00F72B9E"/>
    <w:rsid w:val="00F72BCF"/>
    <w:rsid w:val="00F72F17"/>
    <w:rsid w:val="00F73184"/>
    <w:rsid w:val="00F73485"/>
    <w:rsid w:val="00F73582"/>
    <w:rsid w:val="00F73768"/>
    <w:rsid w:val="00F738C9"/>
    <w:rsid w:val="00F73C75"/>
    <w:rsid w:val="00F73D57"/>
    <w:rsid w:val="00F74083"/>
    <w:rsid w:val="00F7415E"/>
    <w:rsid w:val="00F74380"/>
    <w:rsid w:val="00F7499C"/>
    <w:rsid w:val="00F74B10"/>
    <w:rsid w:val="00F74D89"/>
    <w:rsid w:val="00F74E25"/>
    <w:rsid w:val="00F751EA"/>
    <w:rsid w:val="00F7540F"/>
    <w:rsid w:val="00F7572C"/>
    <w:rsid w:val="00F75A64"/>
    <w:rsid w:val="00F75C2F"/>
    <w:rsid w:val="00F75E99"/>
    <w:rsid w:val="00F75F29"/>
    <w:rsid w:val="00F76193"/>
    <w:rsid w:val="00F763A6"/>
    <w:rsid w:val="00F76A30"/>
    <w:rsid w:val="00F76ABA"/>
    <w:rsid w:val="00F77120"/>
    <w:rsid w:val="00F7735F"/>
    <w:rsid w:val="00F77449"/>
    <w:rsid w:val="00F776AC"/>
    <w:rsid w:val="00F77A77"/>
    <w:rsid w:val="00F77B27"/>
    <w:rsid w:val="00F77FE7"/>
    <w:rsid w:val="00F8061F"/>
    <w:rsid w:val="00F8070D"/>
    <w:rsid w:val="00F80A43"/>
    <w:rsid w:val="00F80E39"/>
    <w:rsid w:val="00F81266"/>
    <w:rsid w:val="00F8137D"/>
    <w:rsid w:val="00F814AF"/>
    <w:rsid w:val="00F814FB"/>
    <w:rsid w:val="00F816A5"/>
    <w:rsid w:val="00F81B4E"/>
    <w:rsid w:val="00F81D27"/>
    <w:rsid w:val="00F822C5"/>
    <w:rsid w:val="00F8246A"/>
    <w:rsid w:val="00F82B38"/>
    <w:rsid w:val="00F82EEA"/>
    <w:rsid w:val="00F831E0"/>
    <w:rsid w:val="00F83458"/>
    <w:rsid w:val="00F83668"/>
    <w:rsid w:val="00F83A08"/>
    <w:rsid w:val="00F83CF7"/>
    <w:rsid w:val="00F83E1A"/>
    <w:rsid w:val="00F83E3E"/>
    <w:rsid w:val="00F84030"/>
    <w:rsid w:val="00F84039"/>
    <w:rsid w:val="00F84068"/>
    <w:rsid w:val="00F84124"/>
    <w:rsid w:val="00F848EF"/>
    <w:rsid w:val="00F84CFC"/>
    <w:rsid w:val="00F84D47"/>
    <w:rsid w:val="00F851EF"/>
    <w:rsid w:val="00F85708"/>
    <w:rsid w:val="00F85769"/>
    <w:rsid w:val="00F85AC6"/>
    <w:rsid w:val="00F85DA2"/>
    <w:rsid w:val="00F85E7C"/>
    <w:rsid w:val="00F85F7D"/>
    <w:rsid w:val="00F85FCE"/>
    <w:rsid w:val="00F86123"/>
    <w:rsid w:val="00F8674E"/>
    <w:rsid w:val="00F868F2"/>
    <w:rsid w:val="00F86A83"/>
    <w:rsid w:val="00F86A88"/>
    <w:rsid w:val="00F86EE9"/>
    <w:rsid w:val="00F87105"/>
    <w:rsid w:val="00F87169"/>
    <w:rsid w:val="00F8721F"/>
    <w:rsid w:val="00F8722C"/>
    <w:rsid w:val="00F90378"/>
    <w:rsid w:val="00F90BAA"/>
    <w:rsid w:val="00F910DD"/>
    <w:rsid w:val="00F914ED"/>
    <w:rsid w:val="00F915AE"/>
    <w:rsid w:val="00F9181C"/>
    <w:rsid w:val="00F92490"/>
    <w:rsid w:val="00F92689"/>
    <w:rsid w:val="00F927D4"/>
    <w:rsid w:val="00F92829"/>
    <w:rsid w:val="00F92BC1"/>
    <w:rsid w:val="00F92C34"/>
    <w:rsid w:val="00F92DC4"/>
    <w:rsid w:val="00F93289"/>
    <w:rsid w:val="00F93358"/>
    <w:rsid w:val="00F939F8"/>
    <w:rsid w:val="00F93BDC"/>
    <w:rsid w:val="00F93BFF"/>
    <w:rsid w:val="00F93F2B"/>
    <w:rsid w:val="00F94643"/>
    <w:rsid w:val="00F949A9"/>
    <w:rsid w:val="00F94B1C"/>
    <w:rsid w:val="00F94C0E"/>
    <w:rsid w:val="00F94CA6"/>
    <w:rsid w:val="00F94D63"/>
    <w:rsid w:val="00F95080"/>
    <w:rsid w:val="00F951C8"/>
    <w:rsid w:val="00F9532E"/>
    <w:rsid w:val="00F9578B"/>
    <w:rsid w:val="00F959D7"/>
    <w:rsid w:val="00F95CF8"/>
    <w:rsid w:val="00F9615E"/>
    <w:rsid w:val="00F964A6"/>
    <w:rsid w:val="00F9660E"/>
    <w:rsid w:val="00F96775"/>
    <w:rsid w:val="00F96917"/>
    <w:rsid w:val="00F96A65"/>
    <w:rsid w:val="00F96CCF"/>
    <w:rsid w:val="00F9708F"/>
    <w:rsid w:val="00F970A7"/>
    <w:rsid w:val="00F97628"/>
    <w:rsid w:val="00F97631"/>
    <w:rsid w:val="00F97640"/>
    <w:rsid w:val="00F97FBB"/>
    <w:rsid w:val="00FA07B4"/>
    <w:rsid w:val="00FA08D7"/>
    <w:rsid w:val="00FA0B4F"/>
    <w:rsid w:val="00FA0D59"/>
    <w:rsid w:val="00FA10C8"/>
    <w:rsid w:val="00FA1276"/>
    <w:rsid w:val="00FA1277"/>
    <w:rsid w:val="00FA197F"/>
    <w:rsid w:val="00FA1C78"/>
    <w:rsid w:val="00FA2159"/>
    <w:rsid w:val="00FA2266"/>
    <w:rsid w:val="00FA27A8"/>
    <w:rsid w:val="00FA2870"/>
    <w:rsid w:val="00FA2DB5"/>
    <w:rsid w:val="00FA2F58"/>
    <w:rsid w:val="00FA305D"/>
    <w:rsid w:val="00FA32C0"/>
    <w:rsid w:val="00FA330B"/>
    <w:rsid w:val="00FA335E"/>
    <w:rsid w:val="00FA354A"/>
    <w:rsid w:val="00FA3667"/>
    <w:rsid w:val="00FA3F23"/>
    <w:rsid w:val="00FA3F60"/>
    <w:rsid w:val="00FA4029"/>
    <w:rsid w:val="00FA4083"/>
    <w:rsid w:val="00FA416B"/>
    <w:rsid w:val="00FA4A62"/>
    <w:rsid w:val="00FA4C55"/>
    <w:rsid w:val="00FA4E7E"/>
    <w:rsid w:val="00FA54AB"/>
    <w:rsid w:val="00FA55DD"/>
    <w:rsid w:val="00FA56F3"/>
    <w:rsid w:val="00FA5965"/>
    <w:rsid w:val="00FA5ADB"/>
    <w:rsid w:val="00FA5F64"/>
    <w:rsid w:val="00FA5F77"/>
    <w:rsid w:val="00FA6216"/>
    <w:rsid w:val="00FA6980"/>
    <w:rsid w:val="00FA708B"/>
    <w:rsid w:val="00FA7759"/>
    <w:rsid w:val="00FA7801"/>
    <w:rsid w:val="00FA79E5"/>
    <w:rsid w:val="00FA7EAB"/>
    <w:rsid w:val="00FA7F0A"/>
    <w:rsid w:val="00FB0037"/>
    <w:rsid w:val="00FB04F3"/>
    <w:rsid w:val="00FB0586"/>
    <w:rsid w:val="00FB0682"/>
    <w:rsid w:val="00FB0886"/>
    <w:rsid w:val="00FB08A2"/>
    <w:rsid w:val="00FB0C71"/>
    <w:rsid w:val="00FB0D9F"/>
    <w:rsid w:val="00FB0DB5"/>
    <w:rsid w:val="00FB10A0"/>
    <w:rsid w:val="00FB17D7"/>
    <w:rsid w:val="00FB1AE1"/>
    <w:rsid w:val="00FB1B64"/>
    <w:rsid w:val="00FB1E04"/>
    <w:rsid w:val="00FB2113"/>
    <w:rsid w:val="00FB2155"/>
    <w:rsid w:val="00FB2196"/>
    <w:rsid w:val="00FB21F6"/>
    <w:rsid w:val="00FB2379"/>
    <w:rsid w:val="00FB2F80"/>
    <w:rsid w:val="00FB30EC"/>
    <w:rsid w:val="00FB3783"/>
    <w:rsid w:val="00FB3EE2"/>
    <w:rsid w:val="00FB41C7"/>
    <w:rsid w:val="00FB4203"/>
    <w:rsid w:val="00FB425E"/>
    <w:rsid w:val="00FB47E3"/>
    <w:rsid w:val="00FB495D"/>
    <w:rsid w:val="00FB4A5A"/>
    <w:rsid w:val="00FB4ACC"/>
    <w:rsid w:val="00FB4B75"/>
    <w:rsid w:val="00FB4BA3"/>
    <w:rsid w:val="00FB4DC6"/>
    <w:rsid w:val="00FB5735"/>
    <w:rsid w:val="00FB5F56"/>
    <w:rsid w:val="00FB5FB6"/>
    <w:rsid w:val="00FB61E3"/>
    <w:rsid w:val="00FB62B9"/>
    <w:rsid w:val="00FB6321"/>
    <w:rsid w:val="00FB636A"/>
    <w:rsid w:val="00FB637A"/>
    <w:rsid w:val="00FB6BDD"/>
    <w:rsid w:val="00FB6C63"/>
    <w:rsid w:val="00FB6CC5"/>
    <w:rsid w:val="00FB6D0C"/>
    <w:rsid w:val="00FB7131"/>
    <w:rsid w:val="00FB71FB"/>
    <w:rsid w:val="00FB7307"/>
    <w:rsid w:val="00FB7317"/>
    <w:rsid w:val="00FB752A"/>
    <w:rsid w:val="00FB7D08"/>
    <w:rsid w:val="00FB7ECE"/>
    <w:rsid w:val="00FC041A"/>
    <w:rsid w:val="00FC04C5"/>
    <w:rsid w:val="00FC057F"/>
    <w:rsid w:val="00FC1391"/>
    <w:rsid w:val="00FC1B03"/>
    <w:rsid w:val="00FC1C79"/>
    <w:rsid w:val="00FC1EC1"/>
    <w:rsid w:val="00FC2047"/>
    <w:rsid w:val="00FC21FA"/>
    <w:rsid w:val="00FC2970"/>
    <w:rsid w:val="00FC2A3A"/>
    <w:rsid w:val="00FC2CF1"/>
    <w:rsid w:val="00FC3530"/>
    <w:rsid w:val="00FC3A62"/>
    <w:rsid w:val="00FC3DFA"/>
    <w:rsid w:val="00FC44C0"/>
    <w:rsid w:val="00FC46A3"/>
    <w:rsid w:val="00FC476E"/>
    <w:rsid w:val="00FC4A9D"/>
    <w:rsid w:val="00FC4E2E"/>
    <w:rsid w:val="00FC4EBC"/>
    <w:rsid w:val="00FC4FD9"/>
    <w:rsid w:val="00FC5680"/>
    <w:rsid w:val="00FC5D46"/>
    <w:rsid w:val="00FC6028"/>
    <w:rsid w:val="00FC65E9"/>
    <w:rsid w:val="00FC6A57"/>
    <w:rsid w:val="00FC7856"/>
    <w:rsid w:val="00FC7CF5"/>
    <w:rsid w:val="00FD01BE"/>
    <w:rsid w:val="00FD09BB"/>
    <w:rsid w:val="00FD0C62"/>
    <w:rsid w:val="00FD0FF7"/>
    <w:rsid w:val="00FD127D"/>
    <w:rsid w:val="00FD154E"/>
    <w:rsid w:val="00FD1757"/>
    <w:rsid w:val="00FD1902"/>
    <w:rsid w:val="00FD19BE"/>
    <w:rsid w:val="00FD1BD4"/>
    <w:rsid w:val="00FD1BEE"/>
    <w:rsid w:val="00FD2044"/>
    <w:rsid w:val="00FD215F"/>
    <w:rsid w:val="00FD21D1"/>
    <w:rsid w:val="00FD21E5"/>
    <w:rsid w:val="00FD223E"/>
    <w:rsid w:val="00FD2C41"/>
    <w:rsid w:val="00FD2D66"/>
    <w:rsid w:val="00FD3029"/>
    <w:rsid w:val="00FD3070"/>
    <w:rsid w:val="00FD30A3"/>
    <w:rsid w:val="00FD32C6"/>
    <w:rsid w:val="00FD33FF"/>
    <w:rsid w:val="00FD362C"/>
    <w:rsid w:val="00FD3721"/>
    <w:rsid w:val="00FD3A31"/>
    <w:rsid w:val="00FD4425"/>
    <w:rsid w:val="00FD447E"/>
    <w:rsid w:val="00FD4869"/>
    <w:rsid w:val="00FD4883"/>
    <w:rsid w:val="00FD4CF8"/>
    <w:rsid w:val="00FD4F92"/>
    <w:rsid w:val="00FD5146"/>
    <w:rsid w:val="00FD521B"/>
    <w:rsid w:val="00FD52A0"/>
    <w:rsid w:val="00FD583D"/>
    <w:rsid w:val="00FD5997"/>
    <w:rsid w:val="00FD6703"/>
    <w:rsid w:val="00FD68DF"/>
    <w:rsid w:val="00FD6AD9"/>
    <w:rsid w:val="00FD6F38"/>
    <w:rsid w:val="00FD7A42"/>
    <w:rsid w:val="00FD7C9B"/>
    <w:rsid w:val="00FE00E0"/>
    <w:rsid w:val="00FE0315"/>
    <w:rsid w:val="00FE05AD"/>
    <w:rsid w:val="00FE07FC"/>
    <w:rsid w:val="00FE088E"/>
    <w:rsid w:val="00FE0C9C"/>
    <w:rsid w:val="00FE1500"/>
    <w:rsid w:val="00FE1590"/>
    <w:rsid w:val="00FE15ED"/>
    <w:rsid w:val="00FE194B"/>
    <w:rsid w:val="00FE19BD"/>
    <w:rsid w:val="00FE19EE"/>
    <w:rsid w:val="00FE1CAE"/>
    <w:rsid w:val="00FE1CEE"/>
    <w:rsid w:val="00FE1DFE"/>
    <w:rsid w:val="00FE202E"/>
    <w:rsid w:val="00FE21C1"/>
    <w:rsid w:val="00FE22B3"/>
    <w:rsid w:val="00FE255D"/>
    <w:rsid w:val="00FE257E"/>
    <w:rsid w:val="00FE2900"/>
    <w:rsid w:val="00FE2C08"/>
    <w:rsid w:val="00FE2E67"/>
    <w:rsid w:val="00FE2F05"/>
    <w:rsid w:val="00FE30F5"/>
    <w:rsid w:val="00FE31C6"/>
    <w:rsid w:val="00FE31CB"/>
    <w:rsid w:val="00FE340F"/>
    <w:rsid w:val="00FE3550"/>
    <w:rsid w:val="00FE3665"/>
    <w:rsid w:val="00FE37A9"/>
    <w:rsid w:val="00FE437C"/>
    <w:rsid w:val="00FE44B8"/>
    <w:rsid w:val="00FE47C2"/>
    <w:rsid w:val="00FE482B"/>
    <w:rsid w:val="00FE4986"/>
    <w:rsid w:val="00FE49EF"/>
    <w:rsid w:val="00FE4CB4"/>
    <w:rsid w:val="00FE4F60"/>
    <w:rsid w:val="00FE5053"/>
    <w:rsid w:val="00FE5076"/>
    <w:rsid w:val="00FE5121"/>
    <w:rsid w:val="00FE52E8"/>
    <w:rsid w:val="00FE5C5B"/>
    <w:rsid w:val="00FE6127"/>
    <w:rsid w:val="00FE6349"/>
    <w:rsid w:val="00FE67B6"/>
    <w:rsid w:val="00FE67E3"/>
    <w:rsid w:val="00FE6A61"/>
    <w:rsid w:val="00FE6D52"/>
    <w:rsid w:val="00FE6EA7"/>
    <w:rsid w:val="00FE74E7"/>
    <w:rsid w:val="00FE7768"/>
    <w:rsid w:val="00FE7CE1"/>
    <w:rsid w:val="00FF03D0"/>
    <w:rsid w:val="00FF0487"/>
    <w:rsid w:val="00FF07B0"/>
    <w:rsid w:val="00FF0989"/>
    <w:rsid w:val="00FF09C3"/>
    <w:rsid w:val="00FF09C7"/>
    <w:rsid w:val="00FF11E1"/>
    <w:rsid w:val="00FF1409"/>
    <w:rsid w:val="00FF176A"/>
    <w:rsid w:val="00FF1804"/>
    <w:rsid w:val="00FF1A2D"/>
    <w:rsid w:val="00FF24BF"/>
    <w:rsid w:val="00FF26F0"/>
    <w:rsid w:val="00FF275A"/>
    <w:rsid w:val="00FF2B0E"/>
    <w:rsid w:val="00FF2C14"/>
    <w:rsid w:val="00FF2DE7"/>
    <w:rsid w:val="00FF2DF8"/>
    <w:rsid w:val="00FF367C"/>
    <w:rsid w:val="00FF3693"/>
    <w:rsid w:val="00FF3781"/>
    <w:rsid w:val="00FF3814"/>
    <w:rsid w:val="00FF394B"/>
    <w:rsid w:val="00FF3963"/>
    <w:rsid w:val="00FF3A7D"/>
    <w:rsid w:val="00FF3AFF"/>
    <w:rsid w:val="00FF3BF1"/>
    <w:rsid w:val="00FF3C13"/>
    <w:rsid w:val="00FF3C32"/>
    <w:rsid w:val="00FF3F26"/>
    <w:rsid w:val="00FF43AD"/>
    <w:rsid w:val="00FF4667"/>
    <w:rsid w:val="00FF4703"/>
    <w:rsid w:val="00FF4E7D"/>
    <w:rsid w:val="00FF4FC6"/>
    <w:rsid w:val="00FF5365"/>
    <w:rsid w:val="00FF5445"/>
    <w:rsid w:val="00FF55C1"/>
    <w:rsid w:val="00FF59D9"/>
    <w:rsid w:val="00FF5B2C"/>
    <w:rsid w:val="00FF5D5F"/>
    <w:rsid w:val="00FF60B0"/>
    <w:rsid w:val="00FF6179"/>
    <w:rsid w:val="00FF623A"/>
    <w:rsid w:val="00FF6A77"/>
    <w:rsid w:val="00FF7534"/>
    <w:rsid w:val="00FF7966"/>
    <w:rsid w:val="00FF7D1F"/>
    <w:rsid w:val="00FF7D5A"/>
    <w:rsid w:val="00FF7D96"/>
    <w:rsid w:val="0109768F"/>
    <w:rsid w:val="0109AE5F"/>
    <w:rsid w:val="014AA8E3"/>
    <w:rsid w:val="014BBA67"/>
    <w:rsid w:val="0150316F"/>
    <w:rsid w:val="01586213"/>
    <w:rsid w:val="016BB671"/>
    <w:rsid w:val="01854F1C"/>
    <w:rsid w:val="01D65E22"/>
    <w:rsid w:val="01F47FA3"/>
    <w:rsid w:val="01FB51D4"/>
    <w:rsid w:val="022C9F7C"/>
    <w:rsid w:val="022CFF40"/>
    <w:rsid w:val="0233E161"/>
    <w:rsid w:val="029281B7"/>
    <w:rsid w:val="02AA2846"/>
    <w:rsid w:val="02B7DBBE"/>
    <w:rsid w:val="02C67E4C"/>
    <w:rsid w:val="02DDA953"/>
    <w:rsid w:val="02E93C3E"/>
    <w:rsid w:val="02FA6ED8"/>
    <w:rsid w:val="02FCB8D5"/>
    <w:rsid w:val="03600D83"/>
    <w:rsid w:val="038242FD"/>
    <w:rsid w:val="038DEF13"/>
    <w:rsid w:val="038FD2BB"/>
    <w:rsid w:val="039A0E58"/>
    <w:rsid w:val="03A8ACED"/>
    <w:rsid w:val="03D02755"/>
    <w:rsid w:val="03EF966E"/>
    <w:rsid w:val="040C4A87"/>
    <w:rsid w:val="041BE811"/>
    <w:rsid w:val="045BDAF9"/>
    <w:rsid w:val="045DA620"/>
    <w:rsid w:val="046DF413"/>
    <w:rsid w:val="0477478B"/>
    <w:rsid w:val="0479E75E"/>
    <w:rsid w:val="04A49BF2"/>
    <w:rsid w:val="04FDE148"/>
    <w:rsid w:val="051BA253"/>
    <w:rsid w:val="052F86FE"/>
    <w:rsid w:val="05409DA2"/>
    <w:rsid w:val="054F8A1F"/>
    <w:rsid w:val="054FF0FD"/>
    <w:rsid w:val="05581F3A"/>
    <w:rsid w:val="056D4147"/>
    <w:rsid w:val="0576E354"/>
    <w:rsid w:val="059B6619"/>
    <w:rsid w:val="05CD428D"/>
    <w:rsid w:val="05CEC568"/>
    <w:rsid w:val="061F401D"/>
    <w:rsid w:val="064004DE"/>
    <w:rsid w:val="06625834"/>
    <w:rsid w:val="06A4662A"/>
    <w:rsid w:val="06B8556D"/>
    <w:rsid w:val="06C719F4"/>
    <w:rsid w:val="06F480C5"/>
    <w:rsid w:val="071061D8"/>
    <w:rsid w:val="07111865"/>
    <w:rsid w:val="0715251A"/>
    <w:rsid w:val="0729D855"/>
    <w:rsid w:val="077A2F20"/>
    <w:rsid w:val="0780D94A"/>
    <w:rsid w:val="0799FD2B"/>
    <w:rsid w:val="079A3D7B"/>
    <w:rsid w:val="07A2342E"/>
    <w:rsid w:val="07A3F1E7"/>
    <w:rsid w:val="07F801D6"/>
    <w:rsid w:val="080591D1"/>
    <w:rsid w:val="0819C783"/>
    <w:rsid w:val="083A4E25"/>
    <w:rsid w:val="0849D87F"/>
    <w:rsid w:val="0866A35F"/>
    <w:rsid w:val="08682BBF"/>
    <w:rsid w:val="088826C0"/>
    <w:rsid w:val="0896CEFD"/>
    <w:rsid w:val="08AC0CE4"/>
    <w:rsid w:val="08B0059C"/>
    <w:rsid w:val="08F13E9B"/>
    <w:rsid w:val="08F1675A"/>
    <w:rsid w:val="0911590C"/>
    <w:rsid w:val="09356499"/>
    <w:rsid w:val="09473F51"/>
    <w:rsid w:val="09534388"/>
    <w:rsid w:val="0987381D"/>
    <w:rsid w:val="09BD62F6"/>
    <w:rsid w:val="09EB95B9"/>
    <w:rsid w:val="09FC0D7D"/>
    <w:rsid w:val="0A11413C"/>
    <w:rsid w:val="0A1A0007"/>
    <w:rsid w:val="0A435D74"/>
    <w:rsid w:val="0A488688"/>
    <w:rsid w:val="0A53972D"/>
    <w:rsid w:val="0A65C874"/>
    <w:rsid w:val="0A666492"/>
    <w:rsid w:val="0A740926"/>
    <w:rsid w:val="0A80A98E"/>
    <w:rsid w:val="0AA298C0"/>
    <w:rsid w:val="0AB3D463"/>
    <w:rsid w:val="0AD5E25C"/>
    <w:rsid w:val="0AE27CB6"/>
    <w:rsid w:val="0AFB5880"/>
    <w:rsid w:val="0B0606C9"/>
    <w:rsid w:val="0B2F4D45"/>
    <w:rsid w:val="0B6F3959"/>
    <w:rsid w:val="0BA43114"/>
    <w:rsid w:val="0BCD068D"/>
    <w:rsid w:val="0BF685CF"/>
    <w:rsid w:val="0C04E2F7"/>
    <w:rsid w:val="0C07D298"/>
    <w:rsid w:val="0C0D91E8"/>
    <w:rsid w:val="0C1FC08B"/>
    <w:rsid w:val="0C4D889C"/>
    <w:rsid w:val="0C734F84"/>
    <w:rsid w:val="0C83D5A0"/>
    <w:rsid w:val="0C999966"/>
    <w:rsid w:val="0CB5A93B"/>
    <w:rsid w:val="0CB809D0"/>
    <w:rsid w:val="0CBF5AFB"/>
    <w:rsid w:val="0CC83206"/>
    <w:rsid w:val="0CF749B1"/>
    <w:rsid w:val="0D10EFD5"/>
    <w:rsid w:val="0D3ED741"/>
    <w:rsid w:val="0D4C6F92"/>
    <w:rsid w:val="0D6A9DF5"/>
    <w:rsid w:val="0D851C4B"/>
    <w:rsid w:val="0D8B4CCE"/>
    <w:rsid w:val="0D93CB62"/>
    <w:rsid w:val="0DA6F621"/>
    <w:rsid w:val="0DB77000"/>
    <w:rsid w:val="0DBED301"/>
    <w:rsid w:val="0DD36212"/>
    <w:rsid w:val="0DDFD700"/>
    <w:rsid w:val="0E0AB801"/>
    <w:rsid w:val="0E0FC0FC"/>
    <w:rsid w:val="0E11838D"/>
    <w:rsid w:val="0E272C93"/>
    <w:rsid w:val="0E3918E7"/>
    <w:rsid w:val="0E3C8C8F"/>
    <w:rsid w:val="0E6F80D8"/>
    <w:rsid w:val="0E7CBDC5"/>
    <w:rsid w:val="0E8BF1A9"/>
    <w:rsid w:val="0EBFAB0A"/>
    <w:rsid w:val="0F132957"/>
    <w:rsid w:val="0F16703F"/>
    <w:rsid w:val="0F2A3C90"/>
    <w:rsid w:val="0F2DE872"/>
    <w:rsid w:val="0F4978D5"/>
    <w:rsid w:val="0F619EEC"/>
    <w:rsid w:val="0F7F80EC"/>
    <w:rsid w:val="0FB79DFD"/>
    <w:rsid w:val="0FC41318"/>
    <w:rsid w:val="0FEBF8BB"/>
    <w:rsid w:val="100E1321"/>
    <w:rsid w:val="1014EE41"/>
    <w:rsid w:val="101BF2C0"/>
    <w:rsid w:val="104D9F63"/>
    <w:rsid w:val="106F807D"/>
    <w:rsid w:val="10757A4C"/>
    <w:rsid w:val="1087903C"/>
    <w:rsid w:val="10C83BBE"/>
    <w:rsid w:val="10D56A12"/>
    <w:rsid w:val="10F532C8"/>
    <w:rsid w:val="1138FED3"/>
    <w:rsid w:val="113B2728"/>
    <w:rsid w:val="114FE6BC"/>
    <w:rsid w:val="1164487E"/>
    <w:rsid w:val="1175E8C8"/>
    <w:rsid w:val="118D95FB"/>
    <w:rsid w:val="11D65764"/>
    <w:rsid w:val="1204C450"/>
    <w:rsid w:val="12067B08"/>
    <w:rsid w:val="120F2C86"/>
    <w:rsid w:val="1236E964"/>
    <w:rsid w:val="1240DA9F"/>
    <w:rsid w:val="124B928A"/>
    <w:rsid w:val="127FB766"/>
    <w:rsid w:val="128D203F"/>
    <w:rsid w:val="12A681A3"/>
    <w:rsid w:val="12BF8A89"/>
    <w:rsid w:val="12E9F207"/>
    <w:rsid w:val="13170AE0"/>
    <w:rsid w:val="133B564A"/>
    <w:rsid w:val="134C24DA"/>
    <w:rsid w:val="135D013C"/>
    <w:rsid w:val="135D3C90"/>
    <w:rsid w:val="137EC371"/>
    <w:rsid w:val="13812C45"/>
    <w:rsid w:val="13895C6E"/>
    <w:rsid w:val="139B4F96"/>
    <w:rsid w:val="13AAEBB8"/>
    <w:rsid w:val="13ADF4F1"/>
    <w:rsid w:val="13C99AC9"/>
    <w:rsid w:val="13D1D4DD"/>
    <w:rsid w:val="13D72C46"/>
    <w:rsid w:val="13F73B11"/>
    <w:rsid w:val="1407F981"/>
    <w:rsid w:val="1411F17A"/>
    <w:rsid w:val="14271F01"/>
    <w:rsid w:val="143EBD6C"/>
    <w:rsid w:val="144A9C64"/>
    <w:rsid w:val="14566531"/>
    <w:rsid w:val="146E1B6A"/>
    <w:rsid w:val="14705D57"/>
    <w:rsid w:val="148460BD"/>
    <w:rsid w:val="1484768F"/>
    <w:rsid w:val="14A1E1AD"/>
    <w:rsid w:val="154AF62E"/>
    <w:rsid w:val="156FDE4F"/>
    <w:rsid w:val="157EC89B"/>
    <w:rsid w:val="1590922A"/>
    <w:rsid w:val="15A9E8AA"/>
    <w:rsid w:val="15AB9DD3"/>
    <w:rsid w:val="15D0EF5A"/>
    <w:rsid w:val="15D221C5"/>
    <w:rsid w:val="15E49008"/>
    <w:rsid w:val="15F238B9"/>
    <w:rsid w:val="16073610"/>
    <w:rsid w:val="16139333"/>
    <w:rsid w:val="1615B45A"/>
    <w:rsid w:val="161C5A0B"/>
    <w:rsid w:val="1622EE3C"/>
    <w:rsid w:val="163FB6A5"/>
    <w:rsid w:val="16470FF1"/>
    <w:rsid w:val="165582A5"/>
    <w:rsid w:val="167A0620"/>
    <w:rsid w:val="167BFF56"/>
    <w:rsid w:val="16804366"/>
    <w:rsid w:val="16C3992C"/>
    <w:rsid w:val="170BA49E"/>
    <w:rsid w:val="1716C678"/>
    <w:rsid w:val="1735D858"/>
    <w:rsid w:val="17595DC8"/>
    <w:rsid w:val="176C2D85"/>
    <w:rsid w:val="177DB90C"/>
    <w:rsid w:val="17A9359F"/>
    <w:rsid w:val="17ABD046"/>
    <w:rsid w:val="17E1DAFE"/>
    <w:rsid w:val="17EF900E"/>
    <w:rsid w:val="18101003"/>
    <w:rsid w:val="181288B4"/>
    <w:rsid w:val="181BAB03"/>
    <w:rsid w:val="182F7590"/>
    <w:rsid w:val="1841E576"/>
    <w:rsid w:val="18521B2B"/>
    <w:rsid w:val="18606DFF"/>
    <w:rsid w:val="18956CBB"/>
    <w:rsid w:val="18AB0B02"/>
    <w:rsid w:val="18B84C25"/>
    <w:rsid w:val="18B911F8"/>
    <w:rsid w:val="18E981E6"/>
    <w:rsid w:val="18E9B838"/>
    <w:rsid w:val="1961039F"/>
    <w:rsid w:val="1967E6FC"/>
    <w:rsid w:val="19914B87"/>
    <w:rsid w:val="19A915FF"/>
    <w:rsid w:val="19BE7073"/>
    <w:rsid w:val="19C59FF9"/>
    <w:rsid w:val="19C9695E"/>
    <w:rsid w:val="19F48368"/>
    <w:rsid w:val="19FB0181"/>
    <w:rsid w:val="1A304BF1"/>
    <w:rsid w:val="1A39ADAB"/>
    <w:rsid w:val="1A3AE01C"/>
    <w:rsid w:val="1A41513F"/>
    <w:rsid w:val="1A4526ED"/>
    <w:rsid w:val="1A5676B6"/>
    <w:rsid w:val="1A5C077C"/>
    <w:rsid w:val="1A614E9E"/>
    <w:rsid w:val="1AAE9E5C"/>
    <w:rsid w:val="1AB832EA"/>
    <w:rsid w:val="1B189017"/>
    <w:rsid w:val="1B5EA805"/>
    <w:rsid w:val="1B6029EA"/>
    <w:rsid w:val="1B6BD335"/>
    <w:rsid w:val="1B6C871E"/>
    <w:rsid w:val="1B758C47"/>
    <w:rsid w:val="1B7A80F4"/>
    <w:rsid w:val="1B8446D2"/>
    <w:rsid w:val="1B9D5B09"/>
    <w:rsid w:val="1BB699E8"/>
    <w:rsid w:val="1BDA3283"/>
    <w:rsid w:val="1C05A16A"/>
    <w:rsid w:val="1C080978"/>
    <w:rsid w:val="1C0E953D"/>
    <w:rsid w:val="1C41D978"/>
    <w:rsid w:val="1C656DB3"/>
    <w:rsid w:val="1CE64ACA"/>
    <w:rsid w:val="1D449B90"/>
    <w:rsid w:val="1D59DFEF"/>
    <w:rsid w:val="1D6FEF50"/>
    <w:rsid w:val="1D78DDDB"/>
    <w:rsid w:val="1DC05046"/>
    <w:rsid w:val="1DCF729F"/>
    <w:rsid w:val="1DE4AC56"/>
    <w:rsid w:val="1DECEC5C"/>
    <w:rsid w:val="1E008D36"/>
    <w:rsid w:val="1E0BCA05"/>
    <w:rsid w:val="1E2371FC"/>
    <w:rsid w:val="1E3FA85F"/>
    <w:rsid w:val="1E7A16DD"/>
    <w:rsid w:val="1E805705"/>
    <w:rsid w:val="1E89075E"/>
    <w:rsid w:val="1EB6BD37"/>
    <w:rsid w:val="1EE4A242"/>
    <w:rsid w:val="1EF90CAD"/>
    <w:rsid w:val="1F2D692D"/>
    <w:rsid w:val="1F6877E3"/>
    <w:rsid w:val="1FAB2ED4"/>
    <w:rsid w:val="1FCBD3DE"/>
    <w:rsid w:val="1FEC841F"/>
    <w:rsid w:val="1FEDCB3C"/>
    <w:rsid w:val="2006A624"/>
    <w:rsid w:val="2009EB2E"/>
    <w:rsid w:val="2027D971"/>
    <w:rsid w:val="202BA1CF"/>
    <w:rsid w:val="20418F48"/>
    <w:rsid w:val="20536276"/>
    <w:rsid w:val="206269EE"/>
    <w:rsid w:val="2064E5F0"/>
    <w:rsid w:val="20672D49"/>
    <w:rsid w:val="207D78D7"/>
    <w:rsid w:val="20C259DB"/>
    <w:rsid w:val="20C46B6B"/>
    <w:rsid w:val="20D8E0A1"/>
    <w:rsid w:val="210E6298"/>
    <w:rsid w:val="210FD946"/>
    <w:rsid w:val="21222D28"/>
    <w:rsid w:val="2123D37D"/>
    <w:rsid w:val="21473EF9"/>
    <w:rsid w:val="217033B9"/>
    <w:rsid w:val="21B124FA"/>
    <w:rsid w:val="21B7ED32"/>
    <w:rsid w:val="21E9A377"/>
    <w:rsid w:val="21F17924"/>
    <w:rsid w:val="22199E2C"/>
    <w:rsid w:val="22546FEF"/>
    <w:rsid w:val="22594BB7"/>
    <w:rsid w:val="225A2CC8"/>
    <w:rsid w:val="225FFDF4"/>
    <w:rsid w:val="22600BE5"/>
    <w:rsid w:val="22719AFD"/>
    <w:rsid w:val="228E7EC3"/>
    <w:rsid w:val="229DDDFF"/>
    <w:rsid w:val="22CED90F"/>
    <w:rsid w:val="22D26917"/>
    <w:rsid w:val="22D43885"/>
    <w:rsid w:val="22EF228E"/>
    <w:rsid w:val="233CFDAB"/>
    <w:rsid w:val="2376E812"/>
    <w:rsid w:val="238C19E2"/>
    <w:rsid w:val="23AD2C96"/>
    <w:rsid w:val="23C997BB"/>
    <w:rsid w:val="23DA9BA4"/>
    <w:rsid w:val="23F5E79A"/>
    <w:rsid w:val="2406C729"/>
    <w:rsid w:val="2419263F"/>
    <w:rsid w:val="24578215"/>
    <w:rsid w:val="245A7F64"/>
    <w:rsid w:val="246D26EE"/>
    <w:rsid w:val="247B5C7F"/>
    <w:rsid w:val="24859819"/>
    <w:rsid w:val="24E5F39E"/>
    <w:rsid w:val="24FC9739"/>
    <w:rsid w:val="2501C881"/>
    <w:rsid w:val="25067F6C"/>
    <w:rsid w:val="2508BF9A"/>
    <w:rsid w:val="2512CEE1"/>
    <w:rsid w:val="25184707"/>
    <w:rsid w:val="2522C0EF"/>
    <w:rsid w:val="254D216F"/>
    <w:rsid w:val="25D37587"/>
    <w:rsid w:val="25DD6FC8"/>
    <w:rsid w:val="2602402F"/>
    <w:rsid w:val="26524281"/>
    <w:rsid w:val="2661C8BE"/>
    <w:rsid w:val="266EE3AF"/>
    <w:rsid w:val="26CC3D85"/>
    <w:rsid w:val="271AED8B"/>
    <w:rsid w:val="27301815"/>
    <w:rsid w:val="2753D9B5"/>
    <w:rsid w:val="275E7E56"/>
    <w:rsid w:val="2771EE94"/>
    <w:rsid w:val="2774D8B5"/>
    <w:rsid w:val="277EE0F8"/>
    <w:rsid w:val="2789E16A"/>
    <w:rsid w:val="28094FE3"/>
    <w:rsid w:val="280CAF7B"/>
    <w:rsid w:val="2815E9E1"/>
    <w:rsid w:val="282AE65B"/>
    <w:rsid w:val="2863ED93"/>
    <w:rsid w:val="289964F0"/>
    <w:rsid w:val="28A5FC23"/>
    <w:rsid w:val="2921A992"/>
    <w:rsid w:val="294D40E2"/>
    <w:rsid w:val="2971208B"/>
    <w:rsid w:val="2973868C"/>
    <w:rsid w:val="297E0AF6"/>
    <w:rsid w:val="298C4BBE"/>
    <w:rsid w:val="298FF938"/>
    <w:rsid w:val="29A21579"/>
    <w:rsid w:val="29C66001"/>
    <w:rsid w:val="29FC61DD"/>
    <w:rsid w:val="2A023B75"/>
    <w:rsid w:val="2A09C6C3"/>
    <w:rsid w:val="2A37A9F6"/>
    <w:rsid w:val="2A78C5F2"/>
    <w:rsid w:val="2A800A38"/>
    <w:rsid w:val="2A860F81"/>
    <w:rsid w:val="2AACEEC4"/>
    <w:rsid w:val="2AB59D2C"/>
    <w:rsid w:val="2AEEEFE8"/>
    <w:rsid w:val="2AF0B08B"/>
    <w:rsid w:val="2B091ED2"/>
    <w:rsid w:val="2B1343E8"/>
    <w:rsid w:val="2B229F0D"/>
    <w:rsid w:val="2B418AA5"/>
    <w:rsid w:val="2B7B42BB"/>
    <w:rsid w:val="2BB2A618"/>
    <w:rsid w:val="2BB8F80B"/>
    <w:rsid w:val="2BD1993A"/>
    <w:rsid w:val="2BE9B893"/>
    <w:rsid w:val="2C308273"/>
    <w:rsid w:val="2C4E73EE"/>
    <w:rsid w:val="2C5B7D06"/>
    <w:rsid w:val="2C6438C0"/>
    <w:rsid w:val="2C64B8BE"/>
    <w:rsid w:val="2C77FAE1"/>
    <w:rsid w:val="2C8FD31E"/>
    <w:rsid w:val="2CACFDBD"/>
    <w:rsid w:val="2CBAFF17"/>
    <w:rsid w:val="2D30423A"/>
    <w:rsid w:val="2D366AAA"/>
    <w:rsid w:val="2D3F1601"/>
    <w:rsid w:val="2D47B207"/>
    <w:rsid w:val="2D56F596"/>
    <w:rsid w:val="2D61A32C"/>
    <w:rsid w:val="2D621926"/>
    <w:rsid w:val="2D83DDB3"/>
    <w:rsid w:val="2D9D7D7B"/>
    <w:rsid w:val="2D9EF0B9"/>
    <w:rsid w:val="2DA724F1"/>
    <w:rsid w:val="2DA90439"/>
    <w:rsid w:val="2E1A4B79"/>
    <w:rsid w:val="2E2A046E"/>
    <w:rsid w:val="2E37AD5F"/>
    <w:rsid w:val="2E3A70DF"/>
    <w:rsid w:val="2E531DC8"/>
    <w:rsid w:val="2E8B76C9"/>
    <w:rsid w:val="2ECD781D"/>
    <w:rsid w:val="2EE0808A"/>
    <w:rsid w:val="2EE6B9B3"/>
    <w:rsid w:val="2F1C57C8"/>
    <w:rsid w:val="2F2496C7"/>
    <w:rsid w:val="2F37CA78"/>
    <w:rsid w:val="2F651163"/>
    <w:rsid w:val="2F830C40"/>
    <w:rsid w:val="2FA9A164"/>
    <w:rsid w:val="2FC47F0B"/>
    <w:rsid w:val="2FC4AA55"/>
    <w:rsid w:val="307A2202"/>
    <w:rsid w:val="3082BF6D"/>
    <w:rsid w:val="30901949"/>
    <w:rsid w:val="30929FA0"/>
    <w:rsid w:val="30BAC7EB"/>
    <w:rsid w:val="30CE3FF0"/>
    <w:rsid w:val="30D37CE1"/>
    <w:rsid w:val="30D99006"/>
    <w:rsid w:val="30E202F6"/>
    <w:rsid w:val="30E53465"/>
    <w:rsid w:val="30E7129E"/>
    <w:rsid w:val="30F481D9"/>
    <w:rsid w:val="31038E7A"/>
    <w:rsid w:val="3117CCA8"/>
    <w:rsid w:val="311F6A77"/>
    <w:rsid w:val="31227040"/>
    <w:rsid w:val="31502818"/>
    <w:rsid w:val="3162B89A"/>
    <w:rsid w:val="317557B7"/>
    <w:rsid w:val="31987169"/>
    <w:rsid w:val="31C9864E"/>
    <w:rsid w:val="31D3F771"/>
    <w:rsid w:val="31E319A3"/>
    <w:rsid w:val="31E5EE03"/>
    <w:rsid w:val="31FD3C5B"/>
    <w:rsid w:val="3213370C"/>
    <w:rsid w:val="3223B0FC"/>
    <w:rsid w:val="3244D8FB"/>
    <w:rsid w:val="324F2ADA"/>
    <w:rsid w:val="325C084F"/>
    <w:rsid w:val="327DB51C"/>
    <w:rsid w:val="328026C9"/>
    <w:rsid w:val="32A8349A"/>
    <w:rsid w:val="32AEB607"/>
    <w:rsid w:val="32B39BD6"/>
    <w:rsid w:val="32C40239"/>
    <w:rsid w:val="32C5EE60"/>
    <w:rsid w:val="32FBC379"/>
    <w:rsid w:val="330A9B4A"/>
    <w:rsid w:val="336979B9"/>
    <w:rsid w:val="339113C1"/>
    <w:rsid w:val="33BEC627"/>
    <w:rsid w:val="33D95F38"/>
    <w:rsid w:val="33E273B2"/>
    <w:rsid w:val="33E815D6"/>
    <w:rsid w:val="33EEAA4A"/>
    <w:rsid w:val="342493B6"/>
    <w:rsid w:val="34385CDB"/>
    <w:rsid w:val="34596635"/>
    <w:rsid w:val="345EF99C"/>
    <w:rsid w:val="347E69BE"/>
    <w:rsid w:val="34A6E746"/>
    <w:rsid w:val="34C929A2"/>
    <w:rsid w:val="34E3E57A"/>
    <w:rsid w:val="34F54DE3"/>
    <w:rsid w:val="35010904"/>
    <w:rsid w:val="3505641F"/>
    <w:rsid w:val="350E44A8"/>
    <w:rsid w:val="356CD7D6"/>
    <w:rsid w:val="356CEBE6"/>
    <w:rsid w:val="357C6F3C"/>
    <w:rsid w:val="357ED893"/>
    <w:rsid w:val="359C00A7"/>
    <w:rsid w:val="35A236D9"/>
    <w:rsid w:val="35A55D81"/>
    <w:rsid w:val="35ACDFB3"/>
    <w:rsid w:val="35D73DCF"/>
    <w:rsid w:val="35DCB237"/>
    <w:rsid w:val="362F54E8"/>
    <w:rsid w:val="36451D7E"/>
    <w:rsid w:val="367C86F7"/>
    <w:rsid w:val="3689A773"/>
    <w:rsid w:val="36A727D4"/>
    <w:rsid w:val="36EA2711"/>
    <w:rsid w:val="370B0333"/>
    <w:rsid w:val="371CBB37"/>
    <w:rsid w:val="3746D13C"/>
    <w:rsid w:val="37BBB8A7"/>
    <w:rsid w:val="37D76769"/>
    <w:rsid w:val="37DAA51E"/>
    <w:rsid w:val="37DE5834"/>
    <w:rsid w:val="37FCABA4"/>
    <w:rsid w:val="38022BC6"/>
    <w:rsid w:val="382A4012"/>
    <w:rsid w:val="386657E3"/>
    <w:rsid w:val="3869D98D"/>
    <w:rsid w:val="386B7AFF"/>
    <w:rsid w:val="3871600E"/>
    <w:rsid w:val="38A0B615"/>
    <w:rsid w:val="38B0E07D"/>
    <w:rsid w:val="38C59C67"/>
    <w:rsid w:val="38CD103B"/>
    <w:rsid w:val="38D685C2"/>
    <w:rsid w:val="3920203C"/>
    <w:rsid w:val="3925E4E2"/>
    <w:rsid w:val="3940DFD1"/>
    <w:rsid w:val="39477B2D"/>
    <w:rsid w:val="3952FB33"/>
    <w:rsid w:val="395679E2"/>
    <w:rsid w:val="39954F0C"/>
    <w:rsid w:val="3995C105"/>
    <w:rsid w:val="39A0201C"/>
    <w:rsid w:val="39E258A4"/>
    <w:rsid w:val="3A22F4D2"/>
    <w:rsid w:val="3A28C1DE"/>
    <w:rsid w:val="3A389654"/>
    <w:rsid w:val="3A86ABA2"/>
    <w:rsid w:val="3A8CEE2A"/>
    <w:rsid w:val="3AAC015F"/>
    <w:rsid w:val="3AC9BB66"/>
    <w:rsid w:val="3AEA34FC"/>
    <w:rsid w:val="3B062A35"/>
    <w:rsid w:val="3B166821"/>
    <w:rsid w:val="3B2E320E"/>
    <w:rsid w:val="3B34B1AC"/>
    <w:rsid w:val="3B4BE0A0"/>
    <w:rsid w:val="3B51C2FB"/>
    <w:rsid w:val="3B94153F"/>
    <w:rsid w:val="3B982F19"/>
    <w:rsid w:val="3B9B90CF"/>
    <w:rsid w:val="3BB69111"/>
    <w:rsid w:val="3BC57281"/>
    <w:rsid w:val="3BE0A91B"/>
    <w:rsid w:val="3BE15C43"/>
    <w:rsid w:val="3BEABE00"/>
    <w:rsid w:val="3BF7D1F3"/>
    <w:rsid w:val="3C05EE72"/>
    <w:rsid w:val="3C1E47A3"/>
    <w:rsid w:val="3C2F9A64"/>
    <w:rsid w:val="3C306B68"/>
    <w:rsid w:val="3C35D454"/>
    <w:rsid w:val="3C5A528F"/>
    <w:rsid w:val="3C60ED3B"/>
    <w:rsid w:val="3C9AF3A3"/>
    <w:rsid w:val="3C9B0C10"/>
    <w:rsid w:val="3CA3A7AC"/>
    <w:rsid w:val="3CC23EFD"/>
    <w:rsid w:val="3CD18153"/>
    <w:rsid w:val="3CDC728A"/>
    <w:rsid w:val="3CED7766"/>
    <w:rsid w:val="3CEE7186"/>
    <w:rsid w:val="3CFBA4A4"/>
    <w:rsid w:val="3D1B8AB8"/>
    <w:rsid w:val="3D302054"/>
    <w:rsid w:val="3D3735B9"/>
    <w:rsid w:val="3D63B704"/>
    <w:rsid w:val="3D65463B"/>
    <w:rsid w:val="3D6FBFAE"/>
    <w:rsid w:val="3D7DB2D4"/>
    <w:rsid w:val="3D875325"/>
    <w:rsid w:val="3E111814"/>
    <w:rsid w:val="3E516785"/>
    <w:rsid w:val="3E71CD91"/>
    <w:rsid w:val="3E82A679"/>
    <w:rsid w:val="3E83E0CA"/>
    <w:rsid w:val="3E861118"/>
    <w:rsid w:val="3E8C4089"/>
    <w:rsid w:val="3EDDA8D3"/>
    <w:rsid w:val="3EEF4FF1"/>
    <w:rsid w:val="3F00969B"/>
    <w:rsid w:val="3F0A28CE"/>
    <w:rsid w:val="3F1B12DF"/>
    <w:rsid w:val="3F2817BE"/>
    <w:rsid w:val="3F38EB90"/>
    <w:rsid w:val="3F3AE298"/>
    <w:rsid w:val="3F47D9CF"/>
    <w:rsid w:val="3F698EC2"/>
    <w:rsid w:val="3F6E697E"/>
    <w:rsid w:val="3FB7E821"/>
    <w:rsid w:val="3FDF78AE"/>
    <w:rsid w:val="3FEC7D93"/>
    <w:rsid w:val="3FF1C344"/>
    <w:rsid w:val="3FFE9DF1"/>
    <w:rsid w:val="40046115"/>
    <w:rsid w:val="40161B7A"/>
    <w:rsid w:val="40161EF8"/>
    <w:rsid w:val="402B2EE6"/>
    <w:rsid w:val="40409E79"/>
    <w:rsid w:val="4041356B"/>
    <w:rsid w:val="40462EFE"/>
    <w:rsid w:val="40A650E0"/>
    <w:rsid w:val="40EDBDAD"/>
    <w:rsid w:val="41308DAA"/>
    <w:rsid w:val="413968C1"/>
    <w:rsid w:val="413A11D2"/>
    <w:rsid w:val="41520D17"/>
    <w:rsid w:val="41625A5D"/>
    <w:rsid w:val="41B5E9EF"/>
    <w:rsid w:val="41BE0FF0"/>
    <w:rsid w:val="41D37B3C"/>
    <w:rsid w:val="41E578FF"/>
    <w:rsid w:val="41F96C1C"/>
    <w:rsid w:val="42331B6F"/>
    <w:rsid w:val="423EEEC0"/>
    <w:rsid w:val="423F1C28"/>
    <w:rsid w:val="425B8DEF"/>
    <w:rsid w:val="42856175"/>
    <w:rsid w:val="42A43CD7"/>
    <w:rsid w:val="42BF34FB"/>
    <w:rsid w:val="42C317A2"/>
    <w:rsid w:val="42F326C6"/>
    <w:rsid w:val="431FB629"/>
    <w:rsid w:val="433A2140"/>
    <w:rsid w:val="434BAFAB"/>
    <w:rsid w:val="436315A7"/>
    <w:rsid w:val="438170B4"/>
    <w:rsid w:val="4399918C"/>
    <w:rsid w:val="43A3FAFB"/>
    <w:rsid w:val="43AFD38E"/>
    <w:rsid w:val="43CC41D5"/>
    <w:rsid w:val="43D72F5F"/>
    <w:rsid w:val="43DFA24F"/>
    <w:rsid w:val="43EB046D"/>
    <w:rsid w:val="43FA727D"/>
    <w:rsid w:val="44126354"/>
    <w:rsid w:val="4416E712"/>
    <w:rsid w:val="442B93EB"/>
    <w:rsid w:val="443AEB8A"/>
    <w:rsid w:val="44428DB6"/>
    <w:rsid w:val="448B03F1"/>
    <w:rsid w:val="44BE849F"/>
    <w:rsid w:val="44C59BF8"/>
    <w:rsid w:val="44E24950"/>
    <w:rsid w:val="44E4CCC0"/>
    <w:rsid w:val="44EE913B"/>
    <w:rsid w:val="44F63DFF"/>
    <w:rsid w:val="450F14A3"/>
    <w:rsid w:val="452AD655"/>
    <w:rsid w:val="4540AF32"/>
    <w:rsid w:val="4552349A"/>
    <w:rsid w:val="455A00EB"/>
    <w:rsid w:val="455DDED5"/>
    <w:rsid w:val="457A2A81"/>
    <w:rsid w:val="4584DF77"/>
    <w:rsid w:val="4587B824"/>
    <w:rsid w:val="45AE5CF5"/>
    <w:rsid w:val="45C0D71F"/>
    <w:rsid w:val="45E0B58A"/>
    <w:rsid w:val="46128FE9"/>
    <w:rsid w:val="463E86F7"/>
    <w:rsid w:val="46495D04"/>
    <w:rsid w:val="465364F3"/>
    <w:rsid w:val="4654B946"/>
    <w:rsid w:val="46C62ABF"/>
    <w:rsid w:val="46E30CAD"/>
    <w:rsid w:val="46E593A3"/>
    <w:rsid w:val="4702A1B2"/>
    <w:rsid w:val="470A4543"/>
    <w:rsid w:val="47268299"/>
    <w:rsid w:val="4740A5D4"/>
    <w:rsid w:val="47EB885D"/>
    <w:rsid w:val="47EC6B2D"/>
    <w:rsid w:val="47F4FEF9"/>
    <w:rsid w:val="480AE082"/>
    <w:rsid w:val="481200D8"/>
    <w:rsid w:val="48127291"/>
    <w:rsid w:val="4814B7CC"/>
    <w:rsid w:val="48480A9D"/>
    <w:rsid w:val="485AC6FA"/>
    <w:rsid w:val="486BDAAC"/>
    <w:rsid w:val="48885876"/>
    <w:rsid w:val="4897E52E"/>
    <w:rsid w:val="48BA5D7D"/>
    <w:rsid w:val="48DEA296"/>
    <w:rsid w:val="4917AB66"/>
    <w:rsid w:val="491A617A"/>
    <w:rsid w:val="4967EE78"/>
    <w:rsid w:val="4969A5B6"/>
    <w:rsid w:val="497A30FE"/>
    <w:rsid w:val="49802670"/>
    <w:rsid w:val="4991C6BD"/>
    <w:rsid w:val="499E44CA"/>
    <w:rsid w:val="49BF0BCD"/>
    <w:rsid w:val="49D085BB"/>
    <w:rsid w:val="49DA8C13"/>
    <w:rsid w:val="49EDFAD2"/>
    <w:rsid w:val="4A23E871"/>
    <w:rsid w:val="4A2F5655"/>
    <w:rsid w:val="4A42A279"/>
    <w:rsid w:val="4A5466F0"/>
    <w:rsid w:val="4A594E75"/>
    <w:rsid w:val="4A82FD8B"/>
    <w:rsid w:val="4A900D78"/>
    <w:rsid w:val="4AB010B5"/>
    <w:rsid w:val="4AB6848D"/>
    <w:rsid w:val="4AF12C82"/>
    <w:rsid w:val="4B3AAD13"/>
    <w:rsid w:val="4B45952B"/>
    <w:rsid w:val="4B626AD0"/>
    <w:rsid w:val="4B6FC23A"/>
    <w:rsid w:val="4B7AEF32"/>
    <w:rsid w:val="4B7C41B0"/>
    <w:rsid w:val="4B7FB3D9"/>
    <w:rsid w:val="4BA8B50C"/>
    <w:rsid w:val="4BD8E592"/>
    <w:rsid w:val="4BEA0162"/>
    <w:rsid w:val="4BED2BD0"/>
    <w:rsid w:val="4BEFF16B"/>
    <w:rsid w:val="4BF9ABCC"/>
    <w:rsid w:val="4C15BA28"/>
    <w:rsid w:val="4C282FD9"/>
    <w:rsid w:val="4C32774C"/>
    <w:rsid w:val="4C3497A7"/>
    <w:rsid w:val="4C3CF4F2"/>
    <w:rsid w:val="4C5766C8"/>
    <w:rsid w:val="4C9782CB"/>
    <w:rsid w:val="4CA919F6"/>
    <w:rsid w:val="4CC9ACAF"/>
    <w:rsid w:val="4CE1EE1D"/>
    <w:rsid w:val="4CE424BF"/>
    <w:rsid w:val="4CF90F85"/>
    <w:rsid w:val="4D166EB9"/>
    <w:rsid w:val="4D574784"/>
    <w:rsid w:val="4D829CC0"/>
    <w:rsid w:val="4DA1C73F"/>
    <w:rsid w:val="4DA49E70"/>
    <w:rsid w:val="4DF3480F"/>
    <w:rsid w:val="4DFA7F5C"/>
    <w:rsid w:val="4DFCFABF"/>
    <w:rsid w:val="4E52EB85"/>
    <w:rsid w:val="4E5C7225"/>
    <w:rsid w:val="4E64B620"/>
    <w:rsid w:val="4E73C764"/>
    <w:rsid w:val="4F22FAB0"/>
    <w:rsid w:val="4F34EAB7"/>
    <w:rsid w:val="4F50BED1"/>
    <w:rsid w:val="4F78EA11"/>
    <w:rsid w:val="4F808A11"/>
    <w:rsid w:val="4FBD176F"/>
    <w:rsid w:val="4FD71018"/>
    <w:rsid w:val="4FFAA4DC"/>
    <w:rsid w:val="50149148"/>
    <w:rsid w:val="501536DB"/>
    <w:rsid w:val="5019DCEE"/>
    <w:rsid w:val="502A02C6"/>
    <w:rsid w:val="508BA0C2"/>
    <w:rsid w:val="50A9D194"/>
    <w:rsid w:val="50AB394D"/>
    <w:rsid w:val="50B995D9"/>
    <w:rsid w:val="50DD1023"/>
    <w:rsid w:val="50EA9543"/>
    <w:rsid w:val="511411E7"/>
    <w:rsid w:val="5127E9C6"/>
    <w:rsid w:val="512BDEFE"/>
    <w:rsid w:val="5140F4DB"/>
    <w:rsid w:val="51B38B05"/>
    <w:rsid w:val="51BB7BC6"/>
    <w:rsid w:val="51BCC902"/>
    <w:rsid w:val="51BF54C8"/>
    <w:rsid w:val="51DEF5A6"/>
    <w:rsid w:val="51E8F139"/>
    <w:rsid w:val="51FD5325"/>
    <w:rsid w:val="523FF823"/>
    <w:rsid w:val="524E7C46"/>
    <w:rsid w:val="5271DF45"/>
    <w:rsid w:val="52732D90"/>
    <w:rsid w:val="52749C8D"/>
    <w:rsid w:val="52759EE1"/>
    <w:rsid w:val="52914C03"/>
    <w:rsid w:val="5297AEF2"/>
    <w:rsid w:val="52BF66A7"/>
    <w:rsid w:val="52DC7789"/>
    <w:rsid w:val="52EF2038"/>
    <w:rsid w:val="52F2FD2A"/>
    <w:rsid w:val="5335E5F0"/>
    <w:rsid w:val="535791CA"/>
    <w:rsid w:val="53796D7B"/>
    <w:rsid w:val="53914976"/>
    <w:rsid w:val="539C82C4"/>
    <w:rsid w:val="53A26E94"/>
    <w:rsid w:val="53D84853"/>
    <w:rsid w:val="53DF0CAF"/>
    <w:rsid w:val="53F0EFB7"/>
    <w:rsid w:val="53FCC218"/>
    <w:rsid w:val="53FFB2C5"/>
    <w:rsid w:val="543AFFDA"/>
    <w:rsid w:val="545E965D"/>
    <w:rsid w:val="5463A380"/>
    <w:rsid w:val="547AC84F"/>
    <w:rsid w:val="54861B2D"/>
    <w:rsid w:val="54918F1F"/>
    <w:rsid w:val="54980714"/>
    <w:rsid w:val="549EF7DF"/>
    <w:rsid w:val="54BF09F8"/>
    <w:rsid w:val="54C96C93"/>
    <w:rsid w:val="54CE321F"/>
    <w:rsid w:val="54EAF509"/>
    <w:rsid w:val="5552A1DA"/>
    <w:rsid w:val="557B286A"/>
    <w:rsid w:val="55B180E8"/>
    <w:rsid w:val="55B517C7"/>
    <w:rsid w:val="55C17A54"/>
    <w:rsid w:val="55E50007"/>
    <w:rsid w:val="55E6C27C"/>
    <w:rsid w:val="55F7606F"/>
    <w:rsid w:val="56056372"/>
    <w:rsid w:val="560E8CC2"/>
    <w:rsid w:val="56257299"/>
    <w:rsid w:val="5642B729"/>
    <w:rsid w:val="564EF0C9"/>
    <w:rsid w:val="565B3DE3"/>
    <w:rsid w:val="56B342A8"/>
    <w:rsid w:val="56C1D076"/>
    <w:rsid w:val="56CBEBA1"/>
    <w:rsid w:val="56ED1D19"/>
    <w:rsid w:val="572B148E"/>
    <w:rsid w:val="5747A126"/>
    <w:rsid w:val="575DFCD1"/>
    <w:rsid w:val="5762794B"/>
    <w:rsid w:val="5779E9E1"/>
    <w:rsid w:val="577D838E"/>
    <w:rsid w:val="5785835D"/>
    <w:rsid w:val="57888A54"/>
    <w:rsid w:val="5793D48B"/>
    <w:rsid w:val="579BEAF2"/>
    <w:rsid w:val="57A8A6C7"/>
    <w:rsid w:val="57C3A766"/>
    <w:rsid w:val="57C565A8"/>
    <w:rsid w:val="57D94BFE"/>
    <w:rsid w:val="57E5DE48"/>
    <w:rsid w:val="57EDA1BA"/>
    <w:rsid w:val="58113B80"/>
    <w:rsid w:val="5814FCDB"/>
    <w:rsid w:val="5820AD0B"/>
    <w:rsid w:val="5867C769"/>
    <w:rsid w:val="586C371C"/>
    <w:rsid w:val="58DF7A9E"/>
    <w:rsid w:val="59030447"/>
    <w:rsid w:val="590AC048"/>
    <w:rsid w:val="5914501A"/>
    <w:rsid w:val="591D0A2C"/>
    <w:rsid w:val="591FE675"/>
    <w:rsid w:val="5931B4EA"/>
    <w:rsid w:val="593AE81F"/>
    <w:rsid w:val="5961D187"/>
    <w:rsid w:val="5984EE74"/>
    <w:rsid w:val="5999AE4E"/>
    <w:rsid w:val="599B87CB"/>
    <w:rsid w:val="59BBE29D"/>
    <w:rsid w:val="59CA2A10"/>
    <w:rsid w:val="59D6A6A4"/>
    <w:rsid w:val="59D700F6"/>
    <w:rsid w:val="59D8C9D0"/>
    <w:rsid w:val="59F4326C"/>
    <w:rsid w:val="5A0A1279"/>
    <w:rsid w:val="5A1ACBED"/>
    <w:rsid w:val="5A26AF31"/>
    <w:rsid w:val="5A3CA5F2"/>
    <w:rsid w:val="5A568D2F"/>
    <w:rsid w:val="5A951A98"/>
    <w:rsid w:val="5AAE21D3"/>
    <w:rsid w:val="5AE273B8"/>
    <w:rsid w:val="5B346AFD"/>
    <w:rsid w:val="5B4584A1"/>
    <w:rsid w:val="5B588276"/>
    <w:rsid w:val="5B6CEF99"/>
    <w:rsid w:val="5B81AED1"/>
    <w:rsid w:val="5B88D8A2"/>
    <w:rsid w:val="5B92A6EF"/>
    <w:rsid w:val="5BC43D48"/>
    <w:rsid w:val="5BDD1323"/>
    <w:rsid w:val="5C34E90D"/>
    <w:rsid w:val="5C45FD85"/>
    <w:rsid w:val="5C54553F"/>
    <w:rsid w:val="5CA0C034"/>
    <w:rsid w:val="5CC53C22"/>
    <w:rsid w:val="5CE8BDFB"/>
    <w:rsid w:val="5D1AED1E"/>
    <w:rsid w:val="5D337D80"/>
    <w:rsid w:val="5D3EBEE1"/>
    <w:rsid w:val="5D648FAE"/>
    <w:rsid w:val="5D7EB3B7"/>
    <w:rsid w:val="5DAC831D"/>
    <w:rsid w:val="5DCABD94"/>
    <w:rsid w:val="5DE00F48"/>
    <w:rsid w:val="5E0E10FC"/>
    <w:rsid w:val="5E305167"/>
    <w:rsid w:val="5E6A33FE"/>
    <w:rsid w:val="5E72A33E"/>
    <w:rsid w:val="5E7BF0C4"/>
    <w:rsid w:val="5E9B9953"/>
    <w:rsid w:val="5EB076F0"/>
    <w:rsid w:val="5EDE3A1B"/>
    <w:rsid w:val="5EEB227E"/>
    <w:rsid w:val="5F258EB8"/>
    <w:rsid w:val="5F2FC4CD"/>
    <w:rsid w:val="5F356423"/>
    <w:rsid w:val="5F36606F"/>
    <w:rsid w:val="5F369B0D"/>
    <w:rsid w:val="5F42BB42"/>
    <w:rsid w:val="5F7256DE"/>
    <w:rsid w:val="5F7CD8E7"/>
    <w:rsid w:val="5FBBCCBB"/>
    <w:rsid w:val="5FBFFF19"/>
    <w:rsid w:val="6035A808"/>
    <w:rsid w:val="605BE38C"/>
    <w:rsid w:val="606236FB"/>
    <w:rsid w:val="60827CF4"/>
    <w:rsid w:val="60AB7606"/>
    <w:rsid w:val="60D4FE08"/>
    <w:rsid w:val="6103751C"/>
    <w:rsid w:val="61053B28"/>
    <w:rsid w:val="611C21A9"/>
    <w:rsid w:val="61321110"/>
    <w:rsid w:val="614CD058"/>
    <w:rsid w:val="614E71AB"/>
    <w:rsid w:val="616F388A"/>
    <w:rsid w:val="6175395A"/>
    <w:rsid w:val="61784CFE"/>
    <w:rsid w:val="61923130"/>
    <w:rsid w:val="61A3CC4E"/>
    <w:rsid w:val="61AB6ED3"/>
    <w:rsid w:val="61BA1CDB"/>
    <w:rsid w:val="61C2EB3A"/>
    <w:rsid w:val="61CED3D7"/>
    <w:rsid w:val="61EB3289"/>
    <w:rsid w:val="61FD49DF"/>
    <w:rsid w:val="6212B72A"/>
    <w:rsid w:val="621C995A"/>
    <w:rsid w:val="62320B32"/>
    <w:rsid w:val="626BC255"/>
    <w:rsid w:val="629C4EC2"/>
    <w:rsid w:val="62DBD8E9"/>
    <w:rsid w:val="635AB848"/>
    <w:rsid w:val="635D5A95"/>
    <w:rsid w:val="635FD17F"/>
    <w:rsid w:val="63C6859B"/>
    <w:rsid w:val="63D2F45A"/>
    <w:rsid w:val="63D771B6"/>
    <w:rsid w:val="63E91F8F"/>
    <w:rsid w:val="6419FC37"/>
    <w:rsid w:val="64225B5D"/>
    <w:rsid w:val="643FF120"/>
    <w:rsid w:val="6443BB00"/>
    <w:rsid w:val="64590597"/>
    <w:rsid w:val="6474A805"/>
    <w:rsid w:val="6490ABCC"/>
    <w:rsid w:val="649E5B94"/>
    <w:rsid w:val="64A06E4A"/>
    <w:rsid w:val="64AC633D"/>
    <w:rsid w:val="64B47D14"/>
    <w:rsid w:val="64CA46CC"/>
    <w:rsid w:val="64E14A55"/>
    <w:rsid w:val="64EBAFFE"/>
    <w:rsid w:val="652F5039"/>
    <w:rsid w:val="653C33E3"/>
    <w:rsid w:val="65997B67"/>
    <w:rsid w:val="65C4189A"/>
    <w:rsid w:val="65C8E663"/>
    <w:rsid w:val="65CEA9B7"/>
    <w:rsid w:val="65D1DF40"/>
    <w:rsid w:val="65F95B67"/>
    <w:rsid w:val="65FAC063"/>
    <w:rsid w:val="65FC1B07"/>
    <w:rsid w:val="65FF16C4"/>
    <w:rsid w:val="66239C40"/>
    <w:rsid w:val="6635FE3D"/>
    <w:rsid w:val="6640A91C"/>
    <w:rsid w:val="66787AA9"/>
    <w:rsid w:val="667CA3FE"/>
    <w:rsid w:val="667D22ED"/>
    <w:rsid w:val="668E61BA"/>
    <w:rsid w:val="66974D45"/>
    <w:rsid w:val="669CC43B"/>
    <w:rsid w:val="66A8076E"/>
    <w:rsid w:val="66AFAA66"/>
    <w:rsid w:val="66EB9C5C"/>
    <w:rsid w:val="66F09D79"/>
    <w:rsid w:val="66F96C64"/>
    <w:rsid w:val="6705130B"/>
    <w:rsid w:val="670B9478"/>
    <w:rsid w:val="671B9138"/>
    <w:rsid w:val="67857ED3"/>
    <w:rsid w:val="67A6D3F5"/>
    <w:rsid w:val="67DDBE63"/>
    <w:rsid w:val="6809005D"/>
    <w:rsid w:val="680AB9E3"/>
    <w:rsid w:val="68348F87"/>
    <w:rsid w:val="6845DAC1"/>
    <w:rsid w:val="684833C9"/>
    <w:rsid w:val="684945D3"/>
    <w:rsid w:val="684AEFD8"/>
    <w:rsid w:val="68A5C638"/>
    <w:rsid w:val="69351548"/>
    <w:rsid w:val="693E7AFB"/>
    <w:rsid w:val="69417457"/>
    <w:rsid w:val="6941C5A3"/>
    <w:rsid w:val="694A3EF5"/>
    <w:rsid w:val="69573956"/>
    <w:rsid w:val="69A4E9E1"/>
    <w:rsid w:val="69A75F68"/>
    <w:rsid w:val="69AC09D0"/>
    <w:rsid w:val="69C77EAF"/>
    <w:rsid w:val="6A1AAB86"/>
    <w:rsid w:val="6A2D4C7E"/>
    <w:rsid w:val="6A2D9CA5"/>
    <w:rsid w:val="6A3B56C5"/>
    <w:rsid w:val="6A3F654F"/>
    <w:rsid w:val="6A40992B"/>
    <w:rsid w:val="6A98CE36"/>
    <w:rsid w:val="6AA6FB05"/>
    <w:rsid w:val="6AAA8ED3"/>
    <w:rsid w:val="6AC26685"/>
    <w:rsid w:val="6ACB44DA"/>
    <w:rsid w:val="6ACEA339"/>
    <w:rsid w:val="6AD1516A"/>
    <w:rsid w:val="6B3F337A"/>
    <w:rsid w:val="6B67A207"/>
    <w:rsid w:val="6B7E23A1"/>
    <w:rsid w:val="6BA63FE9"/>
    <w:rsid w:val="6BEA833D"/>
    <w:rsid w:val="6BFAFFD1"/>
    <w:rsid w:val="6C09BACC"/>
    <w:rsid w:val="6C0BCC9C"/>
    <w:rsid w:val="6C0E3D27"/>
    <w:rsid w:val="6C205B27"/>
    <w:rsid w:val="6C86436A"/>
    <w:rsid w:val="6C9AA810"/>
    <w:rsid w:val="6CC3040C"/>
    <w:rsid w:val="6CC3BD10"/>
    <w:rsid w:val="6CD7AB2E"/>
    <w:rsid w:val="6CF0441D"/>
    <w:rsid w:val="6CF2C8DF"/>
    <w:rsid w:val="6CF790B3"/>
    <w:rsid w:val="6D05F337"/>
    <w:rsid w:val="6D217EF1"/>
    <w:rsid w:val="6D411FB9"/>
    <w:rsid w:val="6D5DA781"/>
    <w:rsid w:val="6D753514"/>
    <w:rsid w:val="6DC07E0C"/>
    <w:rsid w:val="6DC6F710"/>
    <w:rsid w:val="6DD4EE13"/>
    <w:rsid w:val="6DEBD7C1"/>
    <w:rsid w:val="6DF5FAF1"/>
    <w:rsid w:val="6E22BE74"/>
    <w:rsid w:val="6E6B1CF2"/>
    <w:rsid w:val="6E8705E2"/>
    <w:rsid w:val="6E9608D0"/>
    <w:rsid w:val="6E9D31BF"/>
    <w:rsid w:val="6ED9B889"/>
    <w:rsid w:val="6EDFBA6B"/>
    <w:rsid w:val="6EE8A0D0"/>
    <w:rsid w:val="6EEECC8E"/>
    <w:rsid w:val="6EF2EC01"/>
    <w:rsid w:val="6F083066"/>
    <w:rsid w:val="6F16FEEB"/>
    <w:rsid w:val="6F2C87EC"/>
    <w:rsid w:val="6F37B498"/>
    <w:rsid w:val="6F396C62"/>
    <w:rsid w:val="6F59789F"/>
    <w:rsid w:val="6F679957"/>
    <w:rsid w:val="6F75C884"/>
    <w:rsid w:val="6F7CA489"/>
    <w:rsid w:val="6F96CBB7"/>
    <w:rsid w:val="6FA604C7"/>
    <w:rsid w:val="7061F1DE"/>
    <w:rsid w:val="707D1061"/>
    <w:rsid w:val="70BF4C50"/>
    <w:rsid w:val="70C37671"/>
    <w:rsid w:val="70EB502A"/>
    <w:rsid w:val="7116021A"/>
    <w:rsid w:val="712C0601"/>
    <w:rsid w:val="712F25FE"/>
    <w:rsid w:val="714038DF"/>
    <w:rsid w:val="7145193F"/>
    <w:rsid w:val="718104FD"/>
    <w:rsid w:val="719402E5"/>
    <w:rsid w:val="71CF1F5E"/>
    <w:rsid w:val="71D14BD5"/>
    <w:rsid w:val="71FE63DF"/>
    <w:rsid w:val="7206A3FE"/>
    <w:rsid w:val="720DA896"/>
    <w:rsid w:val="721E9611"/>
    <w:rsid w:val="726C7404"/>
    <w:rsid w:val="72A8DA21"/>
    <w:rsid w:val="72ADA4AD"/>
    <w:rsid w:val="72BEE00A"/>
    <w:rsid w:val="72E13835"/>
    <w:rsid w:val="72F27C25"/>
    <w:rsid w:val="72F59379"/>
    <w:rsid w:val="730E51D7"/>
    <w:rsid w:val="7316AA23"/>
    <w:rsid w:val="7317EF65"/>
    <w:rsid w:val="734532A3"/>
    <w:rsid w:val="73514ABD"/>
    <w:rsid w:val="7352AA90"/>
    <w:rsid w:val="737AE104"/>
    <w:rsid w:val="7383BC35"/>
    <w:rsid w:val="738B0DC7"/>
    <w:rsid w:val="73B3A660"/>
    <w:rsid w:val="73C20F32"/>
    <w:rsid w:val="73ECD118"/>
    <w:rsid w:val="73ECD19E"/>
    <w:rsid w:val="740362CF"/>
    <w:rsid w:val="74059E28"/>
    <w:rsid w:val="7412A108"/>
    <w:rsid w:val="741DE643"/>
    <w:rsid w:val="742C7703"/>
    <w:rsid w:val="747F65BE"/>
    <w:rsid w:val="7521AD37"/>
    <w:rsid w:val="7525DAC5"/>
    <w:rsid w:val="754F14E8"/>
    <w:rsid w:val="75519FF5"/>
    <w:rsid w:val="757515F8"/>
    <w:rsid w:val="75BADF6A"/>
    <w:rsid w:val="75C3FDA2"/>
    <w:rsid w:val="75D2DB78"/>
    <w:rsid w:val="75D86AC2"/>
    <w:rsid w:val="75E512B4"/>
    <w:rsid w:val="75EFC969"/>
    <w:rsid w:val="75F28AB2"/>
    <w:rsid w:val="761ECBAC"/>
    <w:rsid w:val="76422F7A"/>
    <w:rsid w:val="764EE09B"/>
    <w:rsid w:val="7650CA0B"/>
    <w:rsid w:val="765A4A46"/>
    <w:rsid w:val="76810EFB"/>
    <w:rsid w:val="7686B15C"/>
    <w:rsid w:val="76BCAAA5"/>
    <w:rsid w:val="76D46977"/>
    <w:rsid w:val="77271517"/>
    <w:rsid w:val="77326CB4"/>
    <w:rsid w:val="774149B0"/>
    <w:rsid w:val="778A2F46"/>
    <w:rsid w:val="7796B00B"/>
    <w:rsid w:val="77C75D1F"/>
    <w:rsid w:val="77CC6F0F"/>
    <w:rsid w:val="77CF0E91"/>
    <w:rsid w:val="77D4C63E"/>
    <w:rsid w:val="77E7E7A1"/>
    <w:rsid w:val="77F498EC"/>
    <w:rsid w:val="77FBE436"/>
    <w:rsid w:val="781E7379"/>
    <w:rsid w:val="78227B42"/>
    <w:rsid w:val="782C615D"/>
    <w:rsid w:val="78403549"/>
    <w:rsid w:val="785AD807"/>
    <w:rsid w:val="786C860A"/>
    <w:rsid w:val="78A17D9B"/>
    <w:rsid w:val="78A502F8"/>
    <w:rsid w:val="78A517B8"/>
    <w:rsid w:val="78AE1C3F"/>
    <w:rsid w:val="78C1D814"/>
    <w:rsid w:val="78C7BF84"/>
    <w:rsid w:val="78CA271D"/>
    <w:rsid w:val="78CB4F60"/>
    <w:rsid w:val="78E8EA3E"/>
    <w:rsid w:val="7900D468"/>
    <w:rsid w:val="79176CB6"/>
    <w:rsid w:val="791DDF26"/>
    <w:rsid w:val="7932C073"/>
    <w:rsid w:val="79385697"/>
    <w:rsid w:val="794176CB"/>
    <w:rsid w:val="7947630B"/>
    <w:rsid w:val="797F98D2"/>
    <w:rsid w:val="79ADE607"/>
    <w:rsid w:val="79F2BDC5"/>
    <w:rsid w:val="7A05E8CD"/>
    <w:rsid w:val="7A0872E7"/>
    <w:rsid w:val="7A1A8E5C"/>
    <w:rsid w:val="7A2B7C76"/>
    <w:rsid w:val="7A4422BB"/>
    <w:rsid w:val="7A46075B"/>
    <w:rsid w:val="7AA89F01"/>
    <w:rsid w:val="7AB6F866"/>
    <w:rsid w:val="7AC4FFB6"/>
    <w:rsid w:val="7AC9FD66"/>
    <w:rsid w:val="7AF04669"/>
    <w:rsid w:val="7B029C63"/>
    <w:rsid w:val="7B051595"/>
    <w:rsid w:val="7B21BBEF"/>
    <w:rsid w:val="7B3A9114"/>
    <w:rsid w:val="7B46EDEC"/>
    <w:rsid w:val="7B598667"/>
    <w:rsid w:val="7B731A3D"/>
    <w:rsid w:val="7B815011"/>
    <w:rsid w:val="7B8B6768"/>
    <w:rsid w:val="7BC8341D"/>
    <w:rsid w:val="7BFC39F8"/>
    <w:rsid w:val="7C045BCB"/>
    <w:rsid w:val="7C1969C2"/>
    <w:rsid w:val="7C390BF2"/>
    <w:rsid w:val="7C47D19E"/>
    <w:rsid w:val="7C4DF5BF"/>
    <w:rsid w:val="7C547273"/>
    <w:rsid w:val="7C554212"/>
    <w:rsid w:val="7C5E20C3"/>
    <w:rsid w:val="7C877905"/>
    <w:rsid w:val="7CA53F97"/>
    <w:rsid w:val="7CBBC6A0"/>
    <w:rsid w:val="7CC9ECC1"/>
    <w:rsid w:val="7CF611B8"/>
    <w:rsid w:val="7D1A1C38"/>
    <w:rsid w:val="7D3444BB"/>
    <w:rsid w:val="7D5CDDED"/>
    <w:rsid w:val="7D5F4A42"/>
    <w:rsid w:val="7D9031C5"/>
    <w:rsid w:val="7D95AB40"/>
    <w:rsid w:val="7DA1A020"/>
    <w:rsid w:val="7DE80930"/>
    <w:rsid w:val="7DEE255A"/>
    <w:rsid w:val="7DFC3662"/>
    <w:rsid w:val="7E00B96D"/>
    <w:rsid w:val="7E14C52C"/>
    <w:rsid w:val="7E4754C6"/>
    <w:rsid w:val="7E497821"/>
    <w:rsid w:val="7E5E549C"/>
    <w:rsid w:val="7E68F714"/>
    <w:rsid w:val="7E7BAE1E"/>
    <w:rsid w:val="7E97291F"/>
    <w:rsid w:val="7EB73E7B"/>
    <w:rsid w:val="7ED57E4A"/>
    <w:rsid w:val="7EDAB9D6"/>
    <w:rsid w:val="7EDC766A"/>
    <w:rsid w:val="7EDCFAB7"/>
    <w:rsid w:val="7EE00635"/>
    <w:rsid w:val="7EE46A6E"/>
    <w:rsid w:val="7F0F93C9"/>
    <w:rsid w:val="7F8F8697"/>
    <w:rsid w:val="7FB396DD"/>
    <w:rsid w:val="7FC79874"/>
    <w:rsid w:val="7FEF76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C0C1C8"/>
  <w15:docId w15:val="{AD78E157-B018-4F08-AE43-790B6708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sz w:val="22"/>
        <w:szCs w:val="22"/>
        <w:lang w:val="en-AU" w:eastAsia="en-AU" w:bidi="ar-SA"/>
      </w:rPr>
    </w:rPrDefault>
    <w:pPrDefault>
      <w:pPr>
        <w:spacing w:line="264" w:lineRule="auto"/>
      </w:pPr>
    </w:pPrDefault>
  </w:docDefaults>
  <w:latentStyles w:defLockedState="0" w:defUIPriority="0" w:defSemiHidden="0" w:defUnhideWhenUsed="0" w:defQFormat="0" w:count="371">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1" w:qFormat="1"/>
    <w:lsdException w:name="heading 6" w:semiHidden="1" w:uiPriority="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99"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3" w:qFormat="1"/>
    <w:lsdException w:name="Emphasis" w:uiPriority="20" w:qFormat="1"/>
    <w:lsdException w:name="Document Map" w:semiHidden="1" w:uiPriority="39" w:unhideWhenUsed="1"/>
    <w:lsdException w:name="Plain Text" w:semiHidden="1" w:uiPriority="3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4C9"/>
    <w:pPr>
      <w:spacing w:before="240"/>
    </w:pPr>
    <w:rPr>
      <w:rFonts w:ascii="Arial" w:hAnsi="Arial"/>
    </w:rPr>
  </w:style>
  <w:style w:type="paragraph" w:styleId="Heading1">
    <w:name w:val="heading 1"/>
    <w:basedOn w:val="Normal"/>
    <w:next w:val="BodyText"/>
    <w:link w:val="Heading1Char"/>
    <w:uiPriority w:val="1"/>
    <w:qFormat/>
    <w:rsid w:val="00C57CF8"/>
    <w:pPr>
      <w:keepNext/>
      <w:keepLines/>
      <w:pageBreakBefore/>
      <w:numPr>
        <w:numId w:val="8"/>
      </w:numPr>
      <w:spacing w:after="240"/>
      <w:outlineLvl w:val="0"/>
    </w:pPr>
    <w:rPr>
      <w:rFonts w:asciiTheme="majorHAnsi" w:eastAsiaTheme="minorEastAsia" w:hAnsiTheme="majorHAnsi" w:cstheme="majorBidi"/>
      <w:b/>
      <w:bCs/>
      <w:color w:val="005595"/>
      <w:sz w:val="32"/>
      <w:szCs w:val="32"/>
    </w:rPr>
  </w:style>
  <w:style w:type="paragraph" w:styleId="Heading2">
    <w:name w:val="heading 2"/>
    <w:basedOn w:val="Normal"/>
    <w:next w:val="BodyText"/>
    <w:link w:val="Heading2Char"/>
    <w:uiPriority w:val="1"/>
    <w:qFormat/>
    <w:rsid w:val="00825A18"/>
    <w:pPr>
      <w:keepNext/>
      <w:keepLines/>
      <w:numPr>
        <w:ilvl w:val="1"/>
        <w:numId w:val="8"/>
      </w:numPr>
      <w:spacing w:before="360" w:after="240"/>
      <w:ind w:left="567"/>
      <w:outlineLvl w:val="1"/>
    </w:pPr>
    <w:rPr>
      <w:rFonts w:asciiTheme="majorHAnsi" w:eastAsiaTheme="majorEastAsia" w:hAnsiTheme="majorHAnsi" w:cstheme="majorBidi"/>
      <w:b/>
      <w:bCs/>
      <w:color w:val="005595"/>
      <w:sz w:val="28"/>
      <w:szCs w:val="26"/>
    </w:rPr>
  </w:style>
  <w:style w:type="paragraph" w:styleId="Heading3">
    <w:name w:val="heading 3"/>
    <w:basedOn w:val="Normal"/>
    <w:next w:val="BodyText"/>
    <w:link w:val="Heading3Char"/>
    <w:uiPriority w:val="1"/>
    <w:qFormat/>
    <w:rsid w:val="00C57CF8"/>
    <w:pPr>
      <w:keepNext/>
      <w:keepLines/>
      <w:numPr>
        <w:ilvl w:val="2"/>
        <w:numId w:val="8"/>
      </w:numPr>
      <w:spacing w:before="360" w:after="240"/>
      <w:ind w:left="851"/>
      <w:contextualSpacing/>
      <w:outlineLvl w:val="2"/>
    </w:pPr>
    <w:rPr>
      <w:rFonts w:asciiTheme="majorHAnsi" w:eastAsiaTheme="majorEastAsia" w:hAnsiTheme="majorHAnsi" w:cstheme="majorBidi"/>
      <w:b/>
      <w:bCs/>
      <w:color w:val="005595"/>
      <w:sz w:val="24"/>
    </w:rPr>
  </w:style>
  <w:style w:type="paragraph" w:styleId="Heading4">
    <w:name w:val="heading 4"/>
    <w:basedOn w:val="Normal"/>
    <w:next w:val="BodyText"/>
    <w:link w:val="Heading4Char"/>
    <w:uiPriority w:val="1"/>
    <w:qFormat/>
    <w:rsid w:val="00DE2084"/>
    <w:pPr>
      <w:keepNext/>
      <w:keepLines/>
      <w:numPr>
        <w:ilvl w:val="3"/>
        <w:numId w:val="8"/>
      </w:numPr>
      <w:spacing w:before="360" w:after="240"/>
      <w:outlineLvl w:val="3"/>
    </w:pPr>
    <w:rPr>
      <w:rFonts w:asciiTheme="majorHAnsi" w:eastAsiaTheme="majorEastAsia" w:hAnsiTheme="majorHAnsi" w:cstheme="majorBidi"/>
      <w:b/>
      <w:bCs/>
      <w:i/>
      <w:iCs/>
      <w:color w:val="007BC1"/>
    </w:rPr>
  </w:style>
  <w:style w:type="paragraph" w:styleId="Heading5">
    <w:name w:val="heading 5"/>
    <w:basedOn w:val="Normal"/>
    <w:next w:val="Normal"/>
    <w:link w:val="Heading5Char"/>
    <w:uiPriority w:val="1"/>
    <w:qFormat/>
    <w:rsid w:val="00A014E2"/>
    <w:pPr>
      <w:keepNext/>
      <w:keepLines/>
      <w:numPr>
        <w:ilvl w:val="4"/>
        <w:numId w:val="8"/>
      </w:numPr>
      <w:spacing w:before="360" w:after="240"/>
      <w:outlineLvl w:val="4"/>
    </w:pPr>
    <w:rPr>
      <w:rFonts w:asciiTheme="majorHAnsi" w:eastAsiaTheme="majorEastAsia" w:hAnsiTheme="majorHAnsi" w:cstheme="majorBidi"/>
      <w:i/>
      <w:color w:val="214C90" w:themeColor="text2"/>
    </w:rPr>
  </w:style>
  <w:style w:type="paragraph" w:styleId="Heading6">
    <w:name w:val="heading 6"/>
    <w:basedOn w:val="Normal"/>
    <w:next w:val="BodyText"/>
    <w:link w:val="Heading6Char"/>
    <w:uiPriority w:val="1"/>
    <w:qFormat/>
    <w:rsid w:val="00C57CF8"/>
    <w:pPr>
      <w:keepNext/>
      <w:keepLines/>
      <w:spacing w:after="120"/>
      <w:outlineLvl w:val="5"/>
    </w:pPr>
    <w:rPr>
      <w:rFonts w:asciiTheme="majorHAnsi" w:eastAsiaTheme="majorEastAsia" w:hAnsiTheme="majorHAnsi" w:cstheme="majorBidi"/>
      <w:b/>
      <w:iCs/>
      <w:color w:val="005595"/>
      <w:lang w:eastAsia="en-US"/>
    </w:rPr>
  </w:style>
  <w:style w:type="paragraph" w:styleId="Heading7">
    <w:name w:val="heading 7"/>
    <w:basedOn w:val="Normal"/>
    <w:next w:val="BodyText"/>
    <w:link w:val="Heading7Char"/>
    <w:qFormat/>
    <w:rsid w:val="00D31696"/>
    <w:pPr>
      <w:keepNext/>
      <w:keepLines/>
      <w:pageBreakBefore/>
      <w:spacing w:before="120" w:after="120"/>
      <w:outlineLvl w:val="6"/>
    </w:pPr>
    <w:rPr>
      <w:rFonts w:asciiTheme="majorHAnsi" w:eastAsiaTheme="majorEastAsia" w:hAnsiTheme="majorHAnsi" w:cstheme="majorBidi"/>
      <w:b/>
      <w:iCs/>
      <w:color w:val="214C90" w:themeColor="text2"/>
    </w:rPr>
  </w:style>
  <w:style w:type="paragraph" w:styleId="Heading8">
    <w:name w:val="heading 8"/>
    <w:basedOn w:val="Normal"/>
    <w:next w:val="BodyText"/>
    <w:link w:val="Heading8Char"/>
    <w:qFormat/>
    <w:rsid w:val="00FB10A0"/>
    <w:pPr>
      <w:keepNext/>
      <w:keepLines/>
      <w:pageBreakBefore/>
      <w:tabs>
        <w:tab w:val="right" w:pos="9639"/>
      </w:tabs>
      <w:spacing w:after="120"/>
      <w:outlineLvl w:val="7"/>
    </w:pPr>
    <w:rPr>
      <w:rFonts w:asciiTheme="majorHAnsi" w:eastAsiaTheme="majorEastAsia" w:hAnsiTheme="majorHAnsi" w:cstheme="majorBidi"/>
      <w:caps/>
      <w:color w:val="214C90" w:themeColor="text2"/>
      <w:sz w:val="28"/>
      <w:lang w:eastAsia="en-US"/>
    </w:rPr>
  </w:style>
  <w:style w:type="paragraph" w:styleId="Heading9">
    <w:name w:val="heading 9"/>
    <w:aliases w:val="Appendix Heading 1"/>
    <w:basedOn w:val="Normal"/>
    <w:next w:val="BodyText"/>
    <w:link w:val="Heading9Char"/>
    <w:rsid w:val="007D7FFC"/>
    <w:pPr>
      <w:keepNext/>
      <w:keepLines/>
      <w:pageBreakBefore/>
      <w:numPr>
        <w:numId w:val="5"/>
      </w:numPr>
      <w:spacing w:after="240"/>
      <w:outlineLvl w:val="8"/>
    </w:pPr>
    <w:rPr>
      <w:rFonts w:asciiTheme="majorHAnsi" w:eastAsiaTheme="minorEastAsia" w:hAnsiTheme="majorHAnsi" w:cs="Arial"/>
      <w:b/>
      <w:color w:val="007BC1"/>
      <w:sz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Heading">
    <w:name w:val="Bold Heading"/>
    <w:basedOn w:val="Normal"/>
    <w:rsid w:val="00782365"/>
    <w:pPr>
      <w:spacing w:after="120"/>
    </w:pPr>
    <w:rPr>
      <w:b/>
    </w:rPr>
  </w:style>
  <w:style w:type="paragraph" w:customStyle="1" w:styleId="Image">
    <w:name w:val="Image"/>
    <w:basedOn w:val="Normal"/>
    <w:next w:val="BodyText"/>
    <w:rsid w:val="00965A70"/>
    <w:pPr>
      <w:keepNext/>
    </w:pPr>
  </w:style>
  <w:style w:type="paragraph" w:styleId="BodyText">
    <w:name w:val="Body Text"/>
    <w:basedOn w:val="Normal"/>
    <w:link w:val="BodyTextChar"/>
    <w:qFormat/>
    <w:rsid w:val="00AD6695"/>
    <w:pPr>
      <w:tabs>
        <w:tab w:val="left" w:pos="2268"/>
        <w:tab w:val="left" w:pos="4536"/>
        <w:tab w:val="left" w:pos="6804"/>
        <w:tab w:val="right" w:pos="9638"/>
      </w:tabs>
      <w:spacing w:after="120"/>
    </w:pPr>
  </w:style>
  <w:style w:type="character" w:customStyle="1" w:styleId="BodyTextChar">
    <w:name w:val="Body Text Char"/>
    <w:basedOn w:val="DefaultParagraphFont"/>
    <w:link w:val="BodyText"/>
    <w:rsid w:val="00AD6695"/>
    <w:rPr>
      <w:rFonts w:ascii="Arial" w:hAnsi="Arial"/>
    </w:rPr>
  </w:style>
  <w:style w:type="paragraph" w:styleId="BlockText">
    <w:name w:val="Block Text"/>
    <w:basedOn w:val="BodyText"/>
    <w:semiHidden/>
    <w:unhideWhenUsed/>
    <w:rsid w:val="00EF3AA0"/>
    <w:rPr>
      <w:rFonts w:eastAsiaTheme="minorEastAsia" w:cstheme="minorBidi"/>
      <w:iCs/>
    </w:rPr>
  </w:style>
  <w:style w:type="paragraph" w:styleId="Caption">
    <w:name w:val="caption"/>
    <w:basedOn w:val="Normal"/>
    <w:next w:val="BodyText"/>
    <w:link w:val="CaptionChar"/>
    <w:qFormat/>
    <w:rsid w:val="0013752B"/>
    <w:pPr>
      <w:keepNext/>
      <w:keepLines/>
      <w:spacing w:after="120"/>
    </w:pPr>
    <w:rPr>
      <w:rFonts w:eastAsiaTheme="minorHAnsi" w:cstheme="minorBidi"/>
      <w:b/>
      <w:bCs/>
      <w:lang w:eastAsia="fr-CA"/>
    </w:rPr>
  </w:style>
  <w:style w:type="paragraph" w:styleId="BalloonText">
    <w:name w:val="Balloon Text"/>
    <w:basedOn w:val="Normal"/>
    <w:link w:val="BalloonTextChar"/>
    <w:uiPriority w:val="99"/>
    <w:semiHidden/>
    <w:unhideWhenUsed/>
    <w:rsid w:val="005542F9"/>
    <w:rPr>
      <w:rFonts w:ascii="Tahoma" w:hAnsi="Tahoma" w:cs="Tahoma"/>
      <w:sz w:val="16"/>
      <w:szCs w:val="16"/>
    </w:rPr>
  </w:style>
  <w:style w:type="paragraph" w:styleId="TOCHeading">
    <w:name w:val="TOC Heading"/>
    <w:next w:val="Normal"/>
    <w:uiPriority w:val="39"/>
    <w:unhideWhenUsed/>
    <w:qFormat/>
    <w:rsid w:val="00DE2084"/>
    <w:pPr>
      <w:pageBreakBefore/>
      <w:spacing w:after="600" w:line="240" w:lineRule="auto"/>
      <w:outlineLvl w:val="3"/>
    </w:pPr>
    <w:rPr>
      <w:rFonts w:asciiTheme="majorHAnsi" w:eastAsiaTheme="minorEastAsia" w:hAnsiTheme="majorHAnsi" w:cstheme="majorBidi"/>
      <w:b/>
      <w:bCs/>
      <w:color w:val="007BC1"/>
      <w:sz w:val="32"/>
      <w:szCs w:val="28"/>
    </w:rPr>
  </w:style>
  <w:style w:type="character" w:customStyle="1" w:styleId="BalloonTextChar">
    <w:name w:val="Balloon Text Char"/>
    <w:basedOn w:val="DefaultParagraphFont"/>
    <w:link w:val="BalloonText"/>
    <w:uiPriority w:val="99"/>
    <w:semiHidden/>
    <w:rsid w:val="00475145"/>
    <w:rPr>
      <w:rFonts w:ascii="Tahoma" w:hAnsi="Tahoma" w:cs="Tahoma"/>
      <w:color w:val="000000" w:themeColor="text1"/>
      <w:sz w:val="16"/>
      <w:szCs w:val="16"/>
    </w:rPr>
  </w:style>
  <w:style w:type="paragraph" w:styleId="Footer">
    <w:name w:val="footer"/>
    <w:basedOn w:val="Normal"/>
    <w:link w:val="FooterChar"/>
    <w:uiPriority w:val="99"/>
    <w:rsid w:val="003B6692"/>
    <w:pPr>
      <w:tabs>
        <w:tab w:val="left" w:pos="1077"/>
        <w:tab w:val="center" w:pos="4320"/>
        <w:tab w:val="right" w:pos="8640"/>
      </w:tabs>
      <w:jc w:val="center"/>
    </w:pPr>
    <w:rPr>
      <w:rFonts w:eastAsia="Cambria" w:cstheme="minorBidi"/>
      <w:sz w:val="18"/>
      <w:lang w:eastAsia="en-US"/>
    </w:rPr>
  </w:style>
  <w:style w:type="character" w:customStyle="1" w:styleId="FooterChar">
    <w:name w:val="Footer Char"/>
    <w:basedOn w:val="DefaultParagraphFont"/>
    <w:link w:val="Footer"/>
    <w:uiPriority w:val="99"/>
    <w:rsid w:val="003B6692"/>
    <w:rPr>
      <w:rFonts w:eastAsia="Cambria" w:cstheme="minorBidi"/>
      <w:sz w:val="18"/>
      <w:lang w:eastAsia="en-US"/>
    </w:rPr>
  </w:style>
  <w:style w:type="numbering" w:customStyle="1" w:styleId="HangingList">
    <w:name w:val="HangingList"/>
    <w:uiPriority w:val="99"/>
    <w:rsid w:val="00DD7311"/>
    <w:pPr>
      <w:numPr>
        <w:numId w:val="1"/>
      </w:numPr>
    </w:pPr>
  </w:style>
  <w:style w:type="paragraph" w:styleId="Header">
    <w:name w:val="header"/>
    <w:basedOn w:val="Normal"/>
    <w:link w:val="HeaderChar"/>
    <w:rsid w:val="00294804"/>
    <w:pPr>
      <w:tabs>
        <w:tab w:val="left" w:pos="7796"/>
      </w:tabs>
    </w:pPr>
    <w:rPr>
      <w:rFonts w:eastAsiaTheme="minorHAnsi" w:cstheme="minorBidi"/>
      <w:sz w:val="18"/>
      <w:lang w:eastAsia="fr-CA"/>
    </w:rPr>
  </w:style>
  <w:style w:type="character" w:customStyle="1" w:styleId="HeaderChar">
    <w:name w:val="Header Char"/>
    <w:basedOn w:val="DefaultParagraphFont"/>
    <w:link w:val="Header"/>
    <w:rsid w:val="00294804"/>
    <w:rPr>
      <w:rFonts w:eastAsiaTheme="minorHAnsi" w:cstheme="minorBidi"/>
      <w:sz w:val="18"/>
      <w:lang w:eastAsia="fr-CA"/>
    </w:rPr>
  </w:style>
  <w:style w:type="paragraph" w:customStyle="1" w:styleId="AppendixHeading2">
    <w:name w:val="Appendix Heading 2"/>
    <w:basedOn w:val="Normal"/>
    <w:next w:val="BodyText"/>
    <w:uiPriority w:val="4"/>
    <w:rsid w:val="007D7FFC"/>
    <w:pPr>
      <w:keepNext/>
      <w:numPr>
        <w:ilvl w:val="1"/>
        <w:numId w:val="5"/>
      </w:numPr>
      <w:tabs>
        <w:tab w:val="num" w:pos="539"/>
      </w:tabs>
      <w:spacing w:before="360" w:after="240"/>
      <w:ind w:left="539" w:hanging="227"/>
    </w:pPr>
    <w:rPr>
      <w:rFonts w:asciiTheme="majorHAnsi" w:eastAsiaTheme="minorEastAsia" w:hAnsiTheme="majorHAnsi"/>
      <w:b/>
      <w:color w:val="007BC1"/>
      <w:sz w:val="28"/>
      <w:lang w:eastAsia="en-US"/>
    </w:rPr>
  </w:style>
  <w:style w:type="paragraph" w:customStyle="1" w:styleId="AppendixHeading3">
    <w:name w:val="Appendix Heading 3"/>
    <w:basedOn w:val="Normal"/>
    <w:next w:val="BodyText"/>
    <w:uiPriority w:val="4"/>
    <w:rsid w:val="007D7FFC"/>
    <w:pPr>
      <w:keepNext/>
      <w:numPr>
        <w:ilvl w:val="2"/>
        <w:numId w:val="5"/>
      </w:numPr>
      <w:tabs>
        <w:tab w:val="left" w:pos="1559"/>
        <w:tab w:val="left" w:pos="1843"/>
        <w:tab w:val="left" w:pos="2126"/>
        <w:tab w:val="left" w:pos="2410"/>
        <w:tab w:val="left" w:pos="6804"/>
        <w:tab w:val="right" w:pos="9639"/>
      </w:tabs>
      <w:spacing w:before="360" w:after="240"/>
    </w:pPr>
    <w:rPr>
      <w:rFonts w:asciiTheme="majorHAnsi" w:hAnsiTheme="majorHAnsi"/>
      <w:b/>
      <w:color w:val="007BC1"/>
      <w:lang w:eastAsia="en-US"/>
    </w:rPr>
  </w:style>
  <w:style w:type="character" w:customStyle="1" w:styleId="Italics">
    <w:name w:val="Italics"/>
    <w:uiPriority w:val="1"/>
    <w:rsid w:val="00C34E9D"/>
    <w:rPr>
      <w:i/>
      <w:lang w:eastAsia="en-US"/>
    </w:rPr>
  </w:style>
  <w:style w:type="character" w:customStyle="1" w:styleId="Heading1Char">
    <w:name w:val="Heading 1 Char"/>
    <w:basedOn w:val="DefaultParagraphFont"/>
    <w:link w:val="Heading1"/>
    <w:uiPriority w:val="1"/>
    <w:rsid w:val="00C57CF8"/>
    <w:rPr>
      <w:rFonts w:asciiTheme="majorHAnsi" w:eastAsiaTheme="minorEastAsia" w:hAnsiTheme="majorHAnsi" w:cstheme="majorBidi"/>
      <w:b/>
      <w:bCs/>
      <w:color w:val="005595"/>
      <w:sz w:val="32"/>
      <w:szCs w:val="32"/>
    </w:rPr>
  </w:style>
  <w:style w:type="character" w:customStyle="1" w:styleId="Heading2Char">
    <w:name w:val="Heading 2 Char"/>
    <w:basedOn w:val="DefaultParagraphFont"/>
    <w:link w:val="Heading2"/>
    <w:uiPriority w:val="1"/>
    <w:rsid w:val="00825A18"/>
    <w:rPr>
      <w:rFonts w:asciiTheme="majorHAnsi" w:eastAsiaTheme="majorEastAsia" w:hAnsiTheme="majorHAnsi" w:cstheme="majorBidi"/>
      <w:b/>
      <w:bCs/>
      <w:color w:val="005595"/>
      <w:sz w:val="28"/>
      <w:szCs w:val="26"/>
    </w:rPr>
  </w:style>
  <w:style w:type="character" w:customStyle="1" w:styleId="Heading3Char">
    <w:name w:val="Heading 3 Char"/>
    <w:basedOn w:val="DefaultParagraphFont"/>
    <w:link w:val="Heading3"/>
    <w:uiPriority w:val="1"/>
    <w:rsid w:val="00C57CF8"/>
    <w:rPr>
      <w:rFonts w:asciiTheme="majorHAnsi" w:eastAsiaTheme="majorEastAsia" w:hAnsiTheme="majorHAnsi" w:cstheme="majorBidi"/>
      <w:b/>
      <w:bCs/>
      <w:color w:val="005595"/>
      <w:sz w:val="24"/>
    </w:rPr>
  </w:style>
  <w:style w:type="character" w:customStyle="1" w:styleId="Heading4Char">
    <w:name w:val="Heading 4 Char"/>
    <w:basedOn w:val="DefaultParagraphFont"/>
    <w:link w:val="Heading4"/>
    <w:uiPriority w:val="1"/>
    <w:rsid w:val="00DE2084"/>
    <w:rPr>
      <w:rFonts w:asciiTheme="majorHAnsi" w:eastAsiaTheme="majorEastAsia" w:hAnsiTheme="majorHAnsi" w:cstheme="majorBidi"/>
      <w:b/>
      <w:bCs/>
      <w:i/>
      <w:iCs/>
      <w:color w:val="007BC1"/>
    </w:rPr>
  </w:style>
  <w:style w:type="character" w:customStyle="1" w:styleId="Heading7Char">
    <w:name w:val="Heading 7 Char"/>
    <w:basedOn w:val="DefaultParagraphFont"/>
    <w:link w:val="Heading7"/>
    <w:rsid w:val="000D5E74"/>
    <w:rPr>
      <w:rFonts w:asciiTheme="majorHAnsi" w:eastAsiaTheme="majorEastAsia" w:hAnsiTheme="majorHAnsi" w:cstheme="majorBidi"/>
      <w:b/>
      <w:iCs/>
      <w:color w:val="214C90" w:themeColor="text2"/>
    </w:rPr>
  </w:style>
  <w:style w:type="character" w:customStyle="1" w:styleId="Heading8Char">
    <w:name w:val="Heading 8 Char"/>
    <w:basedOn w:val="DefaultParagraphFont"/>
    <w:link w:val="Heading8"/>
    <w:rsid w:val="000D5E74"/>
    <w:rPr>
      <w:rFonts w:asciiTheme="majorHAnsi" w:eastAsiaTheme="majorEastAsia" w:hAnsiTheme="majorHAnsi" w:cstheme="majorBidi"/>
      <w:caps/>
      <w:color w:val="214C90" w:themeColor="text2"/>
      <w:sz w:val="28"/>
      <w:lang w:eastAsia="en-US"/>
    </w:rPr>
  </w:style>
  <w:style w:type="character" w:customStyle="1" w:styleId="Heading9Char">
    <w:name w:val="Heading 9 Char"/>
    <w:aliases w:val="Appendix Heading 1 Char"/>
    <w:basedOn w:val="DefaultParagraphFont"/>
    <w:link w:val="Heading9"/>
    <w:rsid w:val="007D7FFC"/>
    <w:rPr>
      <w:rFonts w:asciiTheme="majorHAnsi" w:eastAsiaTheme="minorEastAsia" w:hAnsiTheme="majorHAnsi" w:cs="Arial"/>
      <w:b/>
      <w:color w:val="007BC1"/>
      <w:sz w:val="32"/>
      <w:lang w:eastAsia="en-US"/>
    </w:rPr>
  </w:style>
  <w:style w:type="character" w:styleId="Hyperlink">
    <w:name w:val="Hyperlink"/>
    <w:basedOn w:val="DefaultParagraphFont"/>
    <w:uiPriority w:val="99"/>
    <w:unhideWhenUsed/>
    <w:rsid w:val="002778AD"/>
    <w:rPr>
      <w:color w:val="000000" w:themeColor="text1"/>
      <w:u w:val="single"/>
    </w:rPr>
  </w:style>
  <w:style w:type="character" w:styleId="FollowedHyperlink">
    <w:name w:val="FollowedHyperlink"/>
    <w:basedOn w:val="DefaultParagraphFont"/>
    <w:uiPriority w:val="99"/>
    <w:rsid w:val="002778AD"/>
    <w:rPr>
      <w:color w:val="000000" w:themeColor="text1"/>
      <w:u w:val="single"/>
    </w:rPr>
  </w:style>
  <w:style w:type="paragraph" w:styleId="ListBullet">
    <w:name w:val="List Bullet"/>
    <w:basedOn w:val="BodyText"/>
    <w:link w:val="ListBulletChar"/>
    <w:qFormat/>
    <w:rsid w:val="00742AFE"/>
    <w:pPr>
      <w:numPr>
        <w:numId w:val="11"/>
      </w:numPr>
      <w:tabs>
        <w:tab w:val="clear" w:pos="2268"/>
        <w:tab w:val="clear" w:pos="4536"/>
        <w:tab w:val="clear" w:pos="6804"/>
        <w:tab w:val="clear" w:pos="9638"/>
      </w:tabs>
      <w:spacing w:before="120"/>
      <w:ind w:left="357" w:hanging="357"/>
    </w:pPr>
  </w:style>
  <w:style w:type="paragraph" w:styleId="ListBullet2">
    <w:name w:val="List Bullet 2"/>
    <w:basedOn w:val="ListBullet"/>
    <w:link w:val="ListBullet2Char"/>
    <w:uiPriority w:val="99"/>
    <w:rsid w:val="0053255F"/>
    <w:pPr>
      <w:numPr>
        <w:numId w:val="12"/>
      </w:numPr>
    </w:pPr>
  </w:style>
  <w:style w:type="paragraph" w:styleId="ListBullet3">
    <w:name w:val="List Bullet 3"/>
    <w:basedOn w:val="ListBullet2"/>
    <w:uiPriority w:val="99"/>
    <w:rsid w:val="000709D4"/>
  </w:style>
  <w:style w:type="paragraph" w:styleId="ListContinue">
    <w:name w:val="List Continue"/>
    <w:basedOn w:val="Normal"/>
    <w:rsid w:val="0013752B"/>
    <w:pPr>
      <w:spacing w:before="120" w:after="120"/>
      <w:ind w:left="357"/>
    </w:pPr>
    <w:rPr>
      <w:rFonts w:eastAsiaTheme="minorEastAsia"/>
    </w:rPr>
  </w:style>
  <w:style w:type="paragraph" w:styleId="ListNumber">
    <w:name w:val="List Number"/>
    <w:basedOn w:val="BodyText"/>
    <w:uiPriority w:val="99"/>
    <w:unhideWhenUsed/>
    <w:qFormat/>
    <w:rsid w:val="001C06D5"/>
    <w:pPr>
      <w:numPr>
        <w:numId w:val="20"/>
      </w:numPr>
      <w:tabs>
        <w:tab w:val="clear" w:pos="2268"/>
        <w:tab w:val="clear" w:pos="4536"/>
        <w:tab w:val="clear" w:pos="6804"/>
        <w:tab w:val="clear" w:pos="9638"/>
      </w:tabs>
      <w:spacing w:before="120"/>
    </w:pPr>
  </w:style>
  <w:style w:type="paragraph" w:styleId="ListNumber2">
    <w:name w:val="List Number 2"/>
    <w:basedOn w:val="ListNumber"/>
    <w:uiPriority w:val="99"/>
    <w:unhideWhenUsed/>
    <w:rsid w:val="002E0889"/>
    <w:pPr>
      <w:numPr>
        <w:ilvl w:val="1"/>
        <w:numId w:val="14"/>
      </w:numPr>
      <w:ind w:left="1080" w:hanging="360"/>
    </w:pPr>
  </w:style>
  <w:style w:type="paragraph" w:styleId="ListNumber3">
    <w:name w:val="List Number 3"/>
    <w:basedOn w:val="ListNumber2"/>
    <w:uiPriority w:val="99"/>
    <w:unhideWhenUsed/>
    <w:rsid w:val="00D33D2C"/>
    <w:pPr>
      <w:numPr>
        <w:ilvl w:val="2"/>
      </w:numPr>
    </w:pPr>
  </w:style>
  <w:style w:type="numbering" w:customStyle="1" w:styleId="MyListNumbering">
    <w:name w:val="MyListNumbering"/>
    <w:uiPriority w:val="99"/>
    <w:rsid w:val="000C70ED"/>
    <w:pPr>
      <w:numPr>
        <w:numId w:val="2"/>
      </w:numPr>
    </w:pPr>
  </w:style>
  <w:style w:type="character" w:styleId="PlaceholderText">
    <w:name w:val="Placeholder Text"/>
    <w:basedOn w:val="DefaultParagraphFont"/>
    <w:uiPriority w:val="99"/>
    <w:semiHidden/>
    <w:rsid w:val="00DD7311"/>
    <w:rPr>
      <w:color w:val="808080"/>
    </w:rPr>
  </w:style>
  <w:style w:type="paragraph" w:customStyle="1" w:styleId="TableBodyText">
    <w:name w:val="Table Body Text"/>
    <w:basedOn w:val="Normal"/>
    <w:link w:val="TableBodyTextChar"/>
    <w:qFormat/>
    <w:rsid w:val="008619F8"/>
    <w:pPr>
      <w:spacing w:before="60" w:after="60"/>
      <w:ind w:left="85" w:right="85"/>
    </w:pPr>
    <w:rPr>
      <w:rFonts w:cs="Arial"/>
      <w:sz w:val="18"/>
    </w:rPr>
  </w:style>
  <w:style w:type="paragraph" w:customStyle="1" w:styleId="TableBodyTextBold">
    <w:name w:val="Table Body Text Bold"/>
    <w:basedOn w:val="TableBodyText"/>
    <w:rsid w:val="0013752B"/>
    <w:rPr>
      <w:b/>
    </w:rPr>
  </w:style>
  <w:style w:type="table" w:styleId="TableGrid">
    <w:name w:val="Table Grid"/>
    <w:basedOn w:val="TableNormal"/>
    <w:uiPriority w:val="59"/>
    <w:rsid w:val="00D837B7"/>
    <w:pPr>
      <w:spacing w:before="60" w:after="60"/>
      <w:ind w:left="85" w:right="85"/>
    </w:pPr>
    <w:rPr>
      <w:sz w:val="18"/>
    </w:rPr>
    <w:tblPr>
      <w:tblStyleRowBandSize w:val="1"/>
      <w:tblBorders>
        <w:top w:val="single" w:sz="4" w:space="0" w:color="auto"/>
        <w:bottom w:val="single" w:sz="4" w:space="0" w:color="auto"/>
        <w:insideH w:val="single" w:sz="4" w:space="0" w:color="auto"/>
        <w:insideV w:val="single" w:sz="4" w:space="0" w:color="auto"/>
      </w:tblBorders>
      <w:tblCellMar>
        <w:left w:w="0" w:type="dxa"/>
        <w:right w:w="0" w:type="dxa"/>
      </w:tblCellMar>
    </w:tblPr>
    <w:tblStylePr w:type="firstRow">
      <w:rPr>
        <w:b/>
        <w:color w:val="FFFFFF"/>
      </w:rPr>
      <w:tblPr/>
      <w:tcPr>
        <w:shd w:val="clear" w:color="auto" w:fill="214C90" w:themeFill="text2"/>
      </w:tcPr>
    </w:tblStylePr>
    <w:tblStylePr w:type="band2Horz">
      <w:tblPr/>
      <w:tcPr>
        <w:shd w:val="clear" w:color="auto" w:fill="E1E2E7" w:themeFill="background2"/>
      </w:tcPr>
    </w:tblStylePr>
  </w:style>
  <w:style w:type="paragraph" w:customStyle="1" w:styleId="TableHeading">
    <w:name w:val="Table Heading"/>
    <w:basedOn w:val="TableBodyText"/>
    <w:uiPriority w:val="99"/>
    <w:qFormat/>
    <w:rsid w:val="0013752B"/>
    <w:rPr>
      <w:color w:val="FFFFFF"/>
    </w:rPr>
  </w:style>
  <w:style w:type="paragraph" w:customStyle="1" w:styleId="TableBullet10">
    <w:name w:val="Table Bullet 1"/>
    <w:basedOn w:val="TableBodyText"/>
    <w:qFormat/>
    <w:rsid w:val="0013752B"/>
    <w:pPr>
      <w:ind w:left="0"/>
    </w:pPr>
  </w:style>
  <w:style w:type="paragraph" w:customStyle="1" w:styleId="TableBullet2">
    <w:name w:val="Table Bullet 2"/>
    <w:basedOn w:val="TableBullet10"/>
    <w:qFormat/>
    <w:rsid w:val="0013752B"/>
  </w:style>
  <w:style w:type="paragraph" w:customStyle="1" w:styleId="TableBullet3">
    <w:name w:val="Table Bullet 3"/>
    <w:basedOn w:val="TableBullet2"/>
    <w:qFormat/>
    <w:rsid w:val="0013752B"/>
    <w:pPr>
      <w:numPr>
        <w:ilvl w:val="2"/>
      </w:numPr>
    </w:pPr>
  </w:style>
  <w:style w:type="paragraph" w:customStyle="1" w:styleId="TableListNumber">
    <w:name w:val="Table List Number"/>
    <w:basedOn w:val="TableBodyText"/>
    <w:qFormat/>
    <w:rsid w:val="0013752B"/>
    <w:pPr>
      <w:ind w:left="0"/>
    </w:pPr>
    <w:rPr>
      <w:rFonts w:eastAsiaTheme="minorEastAsia"/>
    </w:rPr>
  </w:style>
  <w:style w:type="paragraph" w:customStyle="1" w:styleId="TableListNumber2">
    <w:name w:val="Table List Number 2"/>
    <w:basedOn w:val="TableListNumber"/>
    <w:qFormat/>
    <w:rsid w:val="0013752B"/>
    <w:pPr>
      <w:numPr>
        <w:ilvl w:val="1"/>
      </w:numPr>
    </w:pPr>
  </w:style>
  <w:style w:type="paragraph" w:customStyle="1" w:styleId="TableListNumber3">
    <w:name w:val="Table List Number 3"/>
    <w:basedOn w:val="TableListNumber2"/>
    <w:qFormat/>
    <w:rsid w:val="0013752B"/>
    <w:pPr>
      <w:numPr>
        <w:ilvl w:val="2"/>
      </w:numPr>
    </w:pPr>
  </w:style>
  <w:style w:type="paragraph" w:styleId="TableofFigures">
    <w:name w:val="table of figures"/>
    <w:basedOn w:val="Normal"/>
    <w:next w:val="Normal"/>
    <w:uiPriority w:val="99"/>
    <w:rsid w:val="00844AB7"/>
    <w:pPr>
      <w:tabs>
        <w:tab w:val="right" w:leader="dot" w:pos="8165"/>
      </w:tabs>
      <w:spacing w:before="120" w:after="60"/>
      <w:ind w:left="1134" w:right="737" w:hanging="1134"/>
    </w:pPr>
    <w:rPr>
      <w:rFonts w:eastAsiaTheme="minorHAnsi" w:cstheme="minorBidi"/>
      <w:noProof/>
      <w:lang w:eastAsia="fr-CA"/>
    </w:rPr>
  </w:style>
  <w:style w:type="paragraph" w:customStyle="1" w:styleId="Source">
    <w:name w:val="Source"/>
    <w:basedOn w:val="Normal"/>
    <w:next w:val="BodyText"/>
    <w:rsid w:val="0013752B"/>
    <w:pPr>
      <w:spacing w:before="60" w:after="120" w:line="180" w:lineRule="atLeast"/>
    </w:pPr>
    <w:rPr>
      <w:rFonts w:cs="Arial"/>
      <w:sz w:val="18"/>
      <w:szCs w:val="18"/>
      <w:lang w:eastAsia="fr-CA"/>
    </w:rPr>
  </w:style>
  <w:style w:type="numbering" w:customStyle="1" w:styleId="TableBullets">
    <w:name w:val="TableBullets"/>
    <w:uiPriority w:val="99"/>
    <w:rsid w:val="00DD7311"/>
    <w:pPr>
      <w:numPr>
        <w:numId w:val="3"/>
      </w:numPr>
    </w:pPr>
  </w:style>
  <w:style w:type="numbering" w:customStyle="1" w:styleId="TableFootnotes">
    <w:name w:val="TableFootnotes"/>
    <w:uiPriority w:val="99"/>
    <w:rsid w:val="00DD7311"/>
    <w:pPr>
      <w:numPr>
        <w:numId w:val="4"/>
      </w:numPr>
    </w:pPr>
  </w:style>
  <w:style w:type="paragraph" w:styleId="Title">
    <w:name w:val="Title"/>
    <w:basedOn w:val="Normal"/>
    <w:link w:val="TitleChar"/>
    <w:qFormat/>
    <w:rsid w:val="00D32EA5"/>
    <w:pPr>
      <w:spacing w:before="120" w:after="500" w:line="620" w:lineRule="exact"/>
      <w:ind w:left="227" w:right="1134"/>
    </w:pPr>
    <w:rPr>
      <w:rFonts w:asciiTheme="majorHAnsi" w:eastAsiaTheme="minorEastAsia" w:hAnsiTheme="majorHAnsi"/>
      <w:b/>
      <w:color w:val="214C90" w:themeColor="text2"/>
      <w:sz w:val="56"/>
      <w:szCs w:val="48"/>
    </w:rPr>
  </w:style>
  <w:style w:type="character" w:customStyle="1" w:styleId="TitleChar">
    <w:name w:val="Title Char"/>
    <w:basedOn w:val="DefaultParagraphFont"/>
    <w:link w:val="Title"/>
    <w:rsid w:val="00D32EA5"/>
    <w:rPr>
      <w:rFonts w:asciiTheme="majorHAnsi" w:eastAsiaTheme="minorEastAsia" w:hAnsiTheme="majorHAnsi"/>
      <w:b/>
      <w:color w:val="214C90" w:themeColor="text2"/>
      <w:sz w:val="56"/>
      <w:szCs w:val="48"/>
    </w:rPr>
  </w:style>
  <w:style w:type="paragraph" w:styleId="Subtitle">
    <w:name w:val="Subtitle"/>
    <w:basedOn w:val="Title"/>
    <w:next w:val="Normal"/>
    <w:link w:val="SubtitleChar"/>
    <w:uiPriority w:val="1"/>
    <w:rsid w:val="00D32EA5"/>
    <w:pPr>
      <w:spacing w:before="0" w:after="720" w:line="400" w:lineRule="exact"/>
      <w:contextualSpacing/>
    </w:pPr>
    <w:rPr>
      <w:rFonts w:asciiTheme="minorHAnsi" w:hAnsiTheme="minorHAnsi"/>
      <w:b w:val="0"/>
      <w:color w:val="5D89B4" w:themeColor="accent3"/>
      <w:spacing w:val="4"/>
      <w:sz w:val="40"/>
    </w:rPr>
  </w:style>
  <w:style w:type="paragraph" w:styleId="TOC1">
    <w:name w:val="toc 1"/>
    <w:basedOn w:val="Normal"/>
    <w:next w:val="Normal"/>
    <w:autoRedefine/>
    <w:uiPriority w:val="39"/>
    <w:rsid w:val="00717A36"/>
    <w:pPr>
      <w:tabs>
        <w:tab w:val="left" w:pos="851"/>
        <w:tab w:val="right" w:pos="8505"/>
      </w:tabs>
      <w:spacing w:after="60"/>
      <w:ind w:left="851" w:right="737" w:hanging="851"/>
    </w:pPr>
    <w:rPr>
      <w:rFonts w:eastAsiaTheme="minorHAnsi" w:cstheme="minorBidi"/>
      <w:b/>
      <w:noProof/>
      <w:lang w:eastAsia="en-US"/>
    </w:rPr>
  </w:style>
  <w:style w:type="paragraph" w:styleId="TOC2">
    <w:name w:val="toc 2"/>
    <w:basedOn w:val="Normal"/>
    <w:next w:val="Normal"/>
    <w:autoRedefine/>
    <w:uiPriority w:val="39"/>
    <w:rsid w:val="00BD48CF"/>
    <w:pPr>
      <w:tabs>
        <w:tab w:val="right" w:pos="8505"/>
      </w:tabs>
      <w:spacing w:before="60" w:after="60"/>
      <w:ind w:left="851" w:right="737" w:hanging="851"/>
    </w:pPr>
    <w:rPr>
      <w:rFonts w:eastAsiaTheme="minorHAnsi" w:cstheme="minorBidi"/>
      <w:noProof/>
      <w:lang w:eastAsia="fr-CA"/>
    </w:rPr>
  </w:style>
  <w:style w:type="paragraph" w:styleId="TOC3">
    <w:name w:val="toc 3"/>
    <w:basedOn w:val="Normal"/>
    <w:next w:val="Normal"/>
    <w:autoRedefine/>
    <w:rsid w:val="00717A36"/>
    <w:pPr>
      <w:tabs>
        <w:tab w:val="left" w:pos="851"/>
        <w:tab w:val="right" w:leader="dot" w:pos="8165"/>
      </w:tabs>
      <w:spacing w:before="120" w:after="60"/>
      <w:ind w:left="851" w:right="737" w:hanging="851"/>
    </w:pPr>
    <w:rPr>
      <w:rFonts w:eastAsiaTheme="minorHAnsi" w:cstheme="minorBidi"/>
      <w:noProof/>
      <w:szCs w:val="18"/>
      <w:lang w:eastAsia="fr-CA"/>
    </w:rPr>
  </w:style>
  <w:style w:type="character" w:customStyle="1" w:styleId="SubtitleChar">
    <w:name w:val="Subtitle Char"/>
    <w:basedOn w:val="DefaultParagraphFont"/>
    <w:link w:val="Subtitle"/>
    <w:uiPriority w:val="1"/>
    <w:rsid w:val="00D32EA5"/>
    <w:rPr>
      <w:rFonts w:eastAsiaTheme="minorEastAsia"/>
      <w:color w:val="5D89B4" w:themeColor="accent3"/>
      <w:spacing w:val="4"/>
      <w:sz w:val="40"/>
      <w:szCs w:val="48"/>
    </w:rPr>
  </w:style>
  <w:style w:type="paragraph" w:styleId="NormalWeb">
    <w:name w:val="Normal (Web)"/>
    <w:basedOn w:val="Normal"/>
    <w:uiPriority w:val="99"/>
    <w:rsid w:val="003255DA"/>
    <w:rPr>
      <w:szCs w:val="24"/>
    </w:rPr>
  </w:style>
  <w:style w:type="paragraph" w:styleId="ListContinue2">
    <w:name w:val="List Continue 2"/>
    <w:basedOn w:val="Normal"/>
    <w:rsid w:val="0013752B"/>
    <w:pPr>
      <w:spacing w:before="120" w:after="120"/>
      <w:ind w:left="714"/>
    </w:pPr>
    <w:rPr>
      <w:rFonts w:eastAsiaTheme="minorEastAsia"/>
    </w:rPr>
  </w:style>
  <w:style w:type="paragraph" w:styleId="ListContinue3">
    <w:name w:val="List Continue 3"/>
    <w:basedOn w:val="Normal"/>
    <w:rsid w:val="0013752B"/>
    <w:pPr>
      <w:spacing w:before="120" w:after="120"/>
      <w:ind w:left="1072"/>
    </w:pPr>
    <w:rPr>
      <w:rFonts w:eastAsiaTheme="minorEastAsia"/>
    </w:rPr>
  </w:style>
  <w:style w:type="paragraph" w:styleId="NoSpacing">
    <w:name w:val="No Spacing"/>
    <w:next w:val="BodyText"/>
    <w:rsid w:val="00B85B75"/>
    <w:pPr>
      <w:spacing w:line="240" w:lineRule="auto"/>
    </w:pPr>
  </w:style>
  <w:style w:type="paragraph" w:customStyle="1" w:styleId="TableofFiguresHeading">
    <w:name w:val="Table of Figures Heading"/>
    <w:basedOn w:val="Normal"/>
    <w:rsid w:val="006E2604"/>
    <w:pPr>
      <w:spacing w:before="120" w:after="120"/>
    </w:pPr>
    <w:rPr>
      <w:rFonts w:asciiTheme="majorHAnsi" w:eastAsiaTheme="minorEastAsia" w:hAnsiTheme="majorHAnsi"/>
      <w:b/>
      <w:bCs/>
      <w:color w:val="214C90" w:themeColor="text2"/>
    </w:rPr>
  </w:style>
  <w:style w:type="paragraph" w:customStyle="1" w:styleId="SideNote">
    <w:name w:val="Side Note"/>
    <w:basedOn w:val="BodyText"/>
    <w:qFormat/>
    <w:rsid w:val="00B651D5"/>
    <w:pPr>
      <w:framePr w:w="1418" w:h="397" w:wrap="around" w:vAnchor="text" w:hAnchor="page" w:x="568" w:y="143"/>
      <w:spacing w:before="0" w:line="247" w:lineRule="auto"/>
    </w:pPr>
    <w:rPr>
      <w:i/>
      <w:sz w:val="20"/>
    </w:rPr>
  </w:style>
  <w:style w:type="paragraph" w:customStyle="1" w:styleId="Address">
    <w:name w:val="Address"/>
    <w:basedOn w:val="Normal"/>
    <w:rsid w:val="00C6084A"/>
    <w:pPr>
      <w:framePr w:hSpace="181" w:wrap="around" w:vAnchor="page" w:hAnchor="page" w:xAlign="right" w:yAlign="bottom"/>
      <w:tabs>
        <w:tab w:val="left" w:pos="227"/>
      </w:tabs>
      <w:spacing w:line="220" w:lineRule="atLeast"/>
      <w:suppressOverlap/>
    </w:pPr>
    <w:rPr>
      <w:noProof/>
      <w:color w:val="FFFFFF"/>
    </w:rPr>
  </w:style>
  <w:style w:type="character" w:customStyle="1" w:styleId="Heading5Char">
    <w:name w:val="Heading 5 Char"/>
    <w:basedOn w:val="DefaultParagraphFont"/>
    <w:link w:val="Heading5"/>
    <w:uiPriority w:val="1"/>
    <w:rsid w:val="00A014E2"/>
    <w:rPr>
      <w:rFonts w:asciiTheme="majorHAnsi" w:eastAsiaTheme="majorEastAsia" w:hAnsiTheme="majorHAnsi" w:cstheme="majorBidi"/>
      <w:i/>
      <w:color w:val="214C90" w:themeColor="text2"/>
    </w:rPr>
  </w:style>
  <w:style w:type="character" w:customStyle="1" w:styleId="Heading6Char">
    <w:name w:val="Heading 6 Char"/>
    <w:basedOn w:val="DefaultParagraphFont"/>
    <w:link w:val="Heading6"/>
    <w:uiPriority w:val="1"/>
    <w:rsid w:val="00C57CF8"/>
    <w:rPr>
      <w:rFonts w:asciiTheme="majorHAnsi" w:eastAsiaTheme="majorEastAsia" w:hAnsiTheme="majorHAnsi" w:cstheme="majorBidi"/>
      <w:b/>
      <w:iCs/>
      <w:color w:val="005595"/>
      <w:lang w:eastAsia="en-US"/>
    </w:rPr>
  </w:style>
  <w:style w:type="paragraph" w:styleId="Revision">
    <w:name w:val="Revision"/>
    <w:hidden/>
    <w:uiPriority w:val="99"/>
    <w:semiHidden/>
    <w:rsid w:val="009E7348"/>
    <w:rPr>
      <w:rFonts w:ascii="Calibri" w:eastAsia="Calibri" w:hAnsi="Calibri"/>
      <w:lang w:eastAsia="en-US"/>
    </w:rPr>
  </w:style>
  <w:style w:type="table" w:customStyle="1" w:styleId="TablePlaceholder">
    <w:name w:val="Table Placeholder"/>
    <w:basedOn w:val="TableNormal"/>
    <w:uiPriority w:val="99"/>
    <w:rsid w:val="00480149"/>
    <w:pPr>
      <w:spacing w:line="240" w:lineRule="auto"/>
    </w:pPr>
    <w:tblPr>
      <w:tblCellMar>
        <w:left w:w="45" w:type="dxa"/>
        <w:right w:w="45" w:type="dxa"/>
      </w:tblCellMar>
    </w:tblPr>
  </w:style>
  <w:style w:type="paragraph" w:styleId="Quote">
    <w:name w:val="Quote"/>
    <w:basedOn w:val="Normal"/>
    <w:next w:val="Normal"/>
    <w:link w:val="QuoteChar"/>
    <w:qFormat/>
    <w:rsid w:val="002778AD"/>
    <w:pPr>
      <w:spacing w:before="200" w:after="160"/>
      <w:ind w:left="357" w:right="357"/>
    </w:pPr>
    <w:rPr>
      <w:i/>
      <w:iCs/>
      <w:sz w:val="20"/>
    </w:rPr>
  </w:style>
  <w:style w:type="character" w:customStyle="1" w:styleId="QuoteChar">
    <w:name w:val="Quote Char"/>
    <w:basedOn w:val="DefaultParagraphFont"/>
    <w:link w:val="Quote"/>
    <w:rsid w:val="002778AD"/>
    <w:rPr>
      <w:i/>
      <w:iCs/>
      <w:sz w:val="20"/>
    </w:rPr>
  </w:style>
  <w:style w:type="paragraph" w:customStyle="1" w:styleId="PullOutBoxBodyText">
    <w:name w:val="Pull Out Box Body Text"/>
    <w:basedOn w:val="Normal"/>
    <w:rsid w:val="00D115DB"/>
    <w:pPr>
      <w:spacing w:before="120"/>
    </w:pPr>
    <w:rPr>
      <w:rFonts w:eastAsiaTheme="minorEastAsia" w:cstheme="minorBidi"/>
      <w:color w:val="000000" w:themeColor="text1"/>
      <w:lang w:eastAsia="fr-CA"/>
    </w:rPr>
  </w:style>
  <w:style w:type="paragraph" w:customStyle="1" w:styleId="PullOutBoxHeading">
    <w:name w:val="Pull Out Box Heading"/>
    <w:basedOn w:val="Normal"/>
    <w:next w:val="PullOutBoxBodyText"/>
    <w:rsid w:val="00782365"/>
    <w:pPr>
      <w:spacing w:before="120"/>
    </w:pPr>
    <w:rPr>
      <w:rFonts w:eastAsiaTheme="minorHAnsi" w:cstheme="minorBidi"/>
      <w:b/>
      <w:color w:val="214C90" w:themeColor="text2"/>
      <w:szCs w:val="24"/>
      <w:lang w:eastAsia="fr-CA"/>
    </w:rPr>
  </w:style>
  <w:style w:type="table" w:customStyle="1" w:styleId="PullOutBoxTable">
    <w:name w:val="Pull Out Box Table"/>
    <w:basedOn w:val="TableNormal"/>
    <w:uiPriority w:val="99"/>
    <w:rsid w:val="004B3F0E"/>
    <w:pPr>
      <w:spacing w:line="240" w:lineRule="auto"/>
    </w:pPr>
    <w:tblPr>
      <w:tblCellMar>
        <w:top w:w="142" w:type="dxa"/>
        <w:left w:w="170" w:type="dxa"/>
        <w:bottom w:w="142" w:type="dxa"/>
        <w:right w:w="170" w:type="dxa"/>
      </w:tblCellMar>
    </w:tblPr>
    <w:tcPr>
      <w:shd w:val="clear" w:color="auto" w:fill="E1E2E7" w:themeFill="background2"/>
    </w:tcPr>
  </w:style>
  <w:style w:type="character" w:customStyle="1" w:styleId="Bold">
    <w:name w:val="Bold"/>
    <w:uiPriority w:val="99"/>
    <w:rsid w:val="00C34E9D"/>
    <w:rPr>
      <w:rFonts w:eastAsiaTheme="minorEastAsia"/>
      <w:b/>
      <w:i w:val="0"/>
      <w:strike w:val="0"/>
      <w:vertAlign w:val="baseline"/>
    </w:rPr>
  </w:style>
  <w:style w:type="character" w:customStyle="1" w:styleId="BoldAndItalics">
    <w:name w:val="Bold And Italics"/>
    <w:uiPriority w:val="99"/>
    <w:rsid w:val="00C34E9D"/>
    <w:rPr>
      <w:rFonts w:eastAsiaTheme="minorEastAsia"/>
      <w:b/>
      <w:i/>
      <w:strike w:val="0"/>
      <w:vertAlign w:val="baseline"/>
    </w:rPr>
  </w:style>
  <w:style w:type="paragraph" w:customStyle="1" w:styleId="TableHeadingBold">
    <w:name w:val="Table Heading Bold"/>
    <w:basedOn w:val="TableHeading"/>
    <w:qFormat/>
    <w:rsid w:val="0013752B"/>
    <w:rPr>
      <w:b/>
    </w:rPr>
  </w:style>
  <w:style w:type="paragraph" w:customStyle="1" w:styleId="AppendixHeading4">
    <w:name w:val="Appendix Heading 4"/>
    <w:basedOn w:val="Normal"/>
    <w:next w:val="BodyText"/>
    <w:uiPriority w:val="4"/>
    <w:rsid w:val="007D7FFC"/>
    <w:pPr>
      <w:keepNext/>
      <w:numPr>
        <w:ilvl w:val="3"/>
        <w:numId w:val="5"/>
      </w:numPr>
      <w:spacing w:before="360" w:after="240"/>
    </w:pPr>
    <w:rPr>
      <w:rFonts w:asciiTheme="majorHAnsi" w:eastAsiaTheme="minorEastAsia" w:hAnsiTheme="majorHAnsi"/>
      <w:b/>
      <w:i/>
      <w:color w:val="007BC1"/>
      <w:lang w:eastAsia="en-US"/>
    </w:rPr>
  </w:style>
  <w:style w:type="paragraph" w:customStyle="1" w:styleId="xPageNumberHeading">
    <w:name w:val="xPage Number Heading"/>
    <w:basedOn w:val="Normal"/>
    <w:next w:val="BodyText"/>
    <w:rsid w:val="002778AD"/>
    <w:pPr>
      <w:keepNext/>
      <w:keepLines/>
      <w:tabs>
        <w:tab w:val="right" w:pos="9639"/>
      </w:tabs>
      <w:spacing w:after="360"/>
      <w:jc w:val="right"/>
    </w:pPr>
    <w:rPr>
      <w:lang w:eastAsia="en-US"/>
    </w:rPr>
  </w:style>
  <w:style w:type="paragraph" w:customStyle="1" w:styleId="Notes">
    <w:name w:val="Notes"/>
    <w:basedOn w:val="Normal"/>
    <w:rsid w:val="00782365"/>
    <w:pPr>
      <w:spacing w:before="120" w:after="120"/>
    </w:pPr>
    <w:rPr>
      <w:rFonts w:cs="Arial"/>
      <w:sz w:val="18"/>
    </w:rPr>
  </w:style>
  <w:style w:type="paragraph" w:styleId="Date">
    <w:name w:val="Date"/>
    <w:basedOn w:val="Normal"/>
    <w:next w:val="Normal"/>
    <w:link w:val="DateChar"/>
    <w:rsid w:val="007F2042"/>
    <w:pPr>
      <w:ind w:left="227"/>
    </w:pPr>
    <w:rPr>
      <w:rFonts w:eastAsiaTheme="minorEastAsia"/>
      <w:sz w:val="32"/>
    </w:rPr>
  </w:style>
  <w:style w:type="character" w:customStyle="1" w:styleId="DateChar">
    <w:name w:val="Date Char"/>
    <w:basedOn w:val="DefaultParagraphFont"/>
    <w:link w:val="Date"/>
    <w:rsid w:val="007F2042"/>
    <w:rPr>
      <w:rFonts w:eastAsiaTheme="minorEastAsia"/>
      <w:sz w:val="32"/>
    </w:rPr>
  </w:style>
  <w:style w:type="paragraph" w:customStyle="1" w:styleId="NotesNumbered">
    <w:name w:val="Notes Numbered"/>
    <w:basedOn w:val="Normal"/>
    <w:qFormat/>
    <w:rsid w:val="00323279"/>
    <w:pPr>
      <w:numPr>
        <w:numId w:val="6"/>
      </w:numPr>
      <w:spacing w:before="120" w:after="240" w:line="240" w:lineRule="auto"/>
      <w:contextualSpacing/>
    </w:pPr>
    <w:rPr>
      <w:sz w:val="18"/>
      <w:szCs w:val="20"/>
      <w:lang w:eastAsia="fr-CA"/>
    </w:rPr>
  </w:style>
  <w:style w:type="paragraph" w:styleId="FootnoteText">
    <w:name w:val="footnote text"/>
    <w:aliases w:val="BG Footnote Text,TBG Style,ALTS FOOTNOTE,(NECG) Footnote Text,Footnote text,AR Footnote Text,AR Footnote Text Char Char Char Char Char,ALTS FOOTNOTE Char1,Footnote Text Char1 Char,Footnote Text Char Char Char,fn,Footnote Text1,f"/>
    <w:basedOn w:val="Normal"/>
    <w:link w:val="FootnoteTextChar"/>
    <w:qFormat/>
    <w:rsid w:val="007A3600"/>
    <w:pPr>
      <w:tabs>
        <w:tab w:val="left" w:pos="340"/>
      </w:tabs>
      <w:spacing w:before="60" w:after="60" w:line="240" w:lineRule="auto"/>
      <w:ind w:left="340" w:hanging="340"/>
    </w:pPr>
    <w:rPr>
      <w:sz w:val="16"/>
      <w:szCs w:val="20"/>
    </w:rPr>
  </w:style>
  <w:style w:type="character" w:customStyle="1" w:styleId="FootnoteTextChar">
    <w:name w:val="Footnote Text Char"/>
    <w:aliases w:val="BG Footnote Text Char,TBG Style Char,ALTS FOOTNOTE Char,(NECG) Footnote Text Char,Footnote text Char,AR Footnote Text Char,AR Footnote Text Char Char Char Char Char Char,ALTS FOOTNOTE Char1 Char,Footnote Text Char1 Char Char,fn Char"/>
    <w:basedOn w:val="DefaultParagraphFont"/>
    <w:link w:val="FootnoteText"/>
    <w:rsid w:val="007A3600"/>
    <w:rPr>
      <w:rFonts w:ascii="Arial" w:hAnsi="Arial"/>
      <w:sz w:val="16"/>
      <w:szCs w:val="20"/>
    </w:rPr>
  </w:style>
  <w:style w:type="character" w:styleId="FootnoteReference">
    <w:name w:val="footnote reference"/>
    <w:aliases w:val="(NECG) Footnote Reference,fr,o,Style 6 + 12 pt,(NECG) Footnote Reference1,(NECG) Footnote Reference2,(NECG) Footnote Reference3,(NECG) Footnote Reference4,(NECG) Footnote Reference5,(NECG) Footnote Reference6"/>
    <w:basedOn w:val="DefaultParagraphFont"/>
    <w:unhideWhenUsed/>
    <w:rsid w:val="00A176B6"/>
    <w:rPr>
      <w:vertAlign w:val="superscript"/>
    </w:rPr>
  </w:style>
  <w:style w:type="paragraph" w:styleId="ListNumber4">
    <w:name w:val="List Number 4"/>
    <w:basedOn w:val="Normal"/>
    <w:uiPriority w:val="99"/>
    <w:unhideWhenUsed/>
    <w:rsid w:val="00D33D2C"/>
    <w:pPr>
      <w:numPr>
        <w:ilvl w:val="3"/>
        <w:numId w:val="14"/>
      </w:numPr>
      <w:spacing w:before="120" w:after="120"/>
    </w:pPr>
  </w:style>
  <w:style w:type="paragraph" w:styleId="ListNumber5">
    <w:name w:val="List Number 5"/>
    <w:basedOn w:val="Normal"/>
    <w:uiPriority w:val="99"/>
    <w:unhideWhenUsed/>
    <w:rsid w:val="00D33D2C"/>
    <w:pPr>
      <w:numPr>
        <w:ilvl w:val="4"/>
        <w:numId w:val="14"/>
      </w:numPr>
      <w:spacing w:before="120" w:after="120"/>
    </w:pPr>
  </w:style>
  <w:style w:type="paragraph" w:styleId="ListBullet4">
    <w:name w:val="List Bullet 4"/>
    <w:basedOn w:val="Normal"/>
    <w:uiPriority w:val="99"/>
    <w:unhideWhenUsed/>
    <w:rsid w:val="001122BF"/>
    <w:pPr>
      <w:spacing w:before="120" w:after="120"/>
    </w:pPr>
  </w:style>
  <w:style w:type="paragraph" w:styleId="ListBullet5">
    <w:name w:val="List Bullet 5"/>
    <w:basedOn w:val="Normal"/>
    <w:uiPriority w:val="99"/>
    <w:unhideWhenUsed/>
    <w:rsid w:val="001122BF"/>
    <w:pPr>
      <w:contextualSpacing/>
    </w:pPr>
  </w:style>
  <w:style w:type="paragraph" w:customStyle="1" w:styleId="PageNumberinFrame">
    <w:name w:val="Page Number in Frame"/>
    <w:basedOn w:val="Normal"/>
    <w:qFormat/>
    <w:rsid w:val="00A13A74"/>
    <w:pPr>
      <w:framePr w:w="1701" w:h="1701" w:hRule="exact" w:wrap="around" w:vAnchor="text" w:hAnchor="margin" w:xAlign="right" w:y="1"/>
      <w:jc w:val="center"/>
    </w:pPr>
    <w:rPr>
      <w:sz w:val="18"/>
    </w:rPr>
  </w:style>
  <w:style w:type="paragraph" w:customStyle="1" w:styleId="BodyTextSmall">
    <w:name w:val="Body Text Small"/>
    <w:basedOn w:val="Normal"/>
    <w:qFormat/>
    <w:rsid w:val="00AD6695"/>
    <w:pPr>
      <w:spacing w:after="120"/>
    </w:pPr>
    <w:rPr>
      <w:sz w:val="18"/>
    </w:rPr>
  </w:style>
  <w:style w:type="paragraph" w:styleId="ListContinue4">
    <w:name w:val="List Continue 4"/>
    <w:basedOn w:val="Normal"/>
    <w:semiHidden/>
    <w:unhideWhenUsed/>
    <w:rsid w:val="0013752B"/>
    <w:pPr>
      <w:spacing w:before="120" w:after="120"/>
      <w:ind w:left="1429"/>
    </w:pPr>
  </w:style>
  <w:style w:type="paragraph" w:styleId="ListContinue5">
    <w:name w:val="List Continue 5"/>
    <w:basedOn w:val="Normal"/>
    <w:semiHidden/>
    <w:unhideWhenUsed/>
    <w:rsid w:val="0013752B"/>
    <w:pPr>
      <w:spacing w:before="120" w:after="120"/>
      <w:ind w:left="1786"/>
    </w:pPr>
  </w:style>
  <w:style w:type="paragraph" w:customStyle="1" w:styleId="ExecSummHeading1">
    <w:name w:val="Exec Summ Heading 1"/>
    <w:basedOn w:val="Normal"/>
    <w:next w:val="BodyText"/>
    <w:qFormat/>
    <w:rsid w:val="00DE2084"/>
    <w:pPr>
      <w:pageBreakBefore/>
      <w:spacing w:after="240"/>
      <w:ind w:left="851" w:hanging="851"/>
      <w:outlineLvl w:val="0"/>
    </w:pPr>
    <w:rPr>
      <w:rFonts w:asciiTheme="majorHAnsi" w:hAnsiTheme="majorHAnsi"/>
      <w:b/>
      <w:color w:val="007BC1"/>
      <w:sz w:val="32"/>
    </w:rPr>
  </w:style>
  <w:style w:type="paragraph" w:customStyle="1" w:styleId="ExecSummHeading2">
    <w:name w:val="Exec Summ Heading 2"/>
    <w:basedOn w:val="ExecSummHeading1"/>
    <w:next w:val="BodyText"/>
    <w:qFormat/>
    <w:rsid w:val="00DE2084"/>
    <w:pPr>
      <w:pageBreakBefore w:val="0"/>
      <w:spacing w:before="360"/>
      <w:outlineLvl w:val="9"/>
    </w:pPr>
    <w:rPr>
      <w:sz w:val="28"/>
    </w:rPr>
  </w:style>
  <w:style w:type="paragraph" w:customStyle="1" w:styleId="ExecSummHeading3">
    <w:name w:val="Exec Summ Heading 3"/>
    <w:basedOn w:val="ExecSummHeading2"/>
    <w:next w:val="BodyText"/>
    <w:qFormat/>
    <w:rsid w:val="001B7F01"/>
    <w:pPr>
      <w:keepNext/>
    </w:pPr>
    <w:rPr>
      <w:sz w:val="22"/>
    </w:rPr>
  </w:style>
  <w:style w:type="paragraph" w:customStyle="1" w:styleId="ExecSummBodyText">
    <w:name w:val="Exec Summ Body Text"/>
    <w:basedOn w:val="Normal"/>
    <w:qFormat/>
    <w:rsid w:val="004B4F74"/>
    <w:pPr>
      <w:spacing w:after="120"/>
    </w:pPr>
  </w:style>
  <w:style w:type="paragraph" w:styleId="TOC4">
    <w:name w:val="toc 4"/>
    <w:basedOn w:val="Normal"/>
    <w:next w:val="Normal"/>
    <w:autoRedefine/>
    <w:unhideWhenUsed/>
    <w:rsid w:val="00774723"/>
    <w:pPr>
      <w:tabs>
        <w:tab w:val="right" w:leader="dot" w:pos="8165"/>
      </w:tabs>
      <w:spacing w:before="120" w:after="60"/>
      <w:ind w:right="737"/>
    </w:pPr>
  </w:style>
  <w:style w:type="character" w:customStyle="1" w:styleId="MyUnderlineStrikethrough">
    <w:name w:val="MyUnderline&amp;Strikethrough"/>
    <w:semiHidden/>
    <w:rsid w:val="00C34E9D"/>
    <w:rPr>
      <w:b w:val="0"/>
      <w:i w:val="0"/>
      <w:strike/>
      <w:dstrike w:val="0"/>
      <w:u w:val="single"/>
      <w:vertAlign w:val="baseline"/>
    </w:rPr>
  </w:style>
  <w:style w:type="character" w:customStyle="1" w:styleId="MyStrikethrough">
    <w:name w:val="MyStrikethrough"/>
    <w:semiHidden/>
    <w:rsid w:val="00C34E9D"/>
    <w:rPr>
      <w:b w:val="0"/>
      <w:i w:val="0"/>
      <w:strike/>
      <w:dstrike w:val="0"/>
      <w:vertAlign w:val="baseline"/>
    </w:rPr>
  </w:style>
  <w:style w:type="character" w:customStyle="1" w:styleId="MySuperscriptItalics">
    <w:name w:val="MySuperscript&amp;Italics"/>
    <w:semiHidden/>
    <w:rsid w:val="00C34E9D"/>
    <w:rPr>
      <w:b w:val="0"/>
      <w:i/>
      <w:strike w:val="0"/>
      <w:vertAlign w:val="superscript"/>
    </w:rPr>
  </w:style>
  <w:style w:type="character" w:customStyle="1" w:styleId="MySubscriptItalics">
    <w:name w:val="MySubscript&amp;Italics"/>
    <w:semiHidden/>
    <w:rsid w:val="00C34E9D"/>
    <w:rPr>
      <w:b w:val="0"/>
      <w:i/>
      <w:strike w:val="0"/>
      <w:vertAlign w:val="subscript"/>
    </w:rPr>
  </w:style>
  <w:style w:type="character" w:customStyle="1" w:styleId="MySuperscript">
    <w:name w:val="MySuperscript"/>
    <w:semiHidden/>
    <w:rsid w:val="00C34E9D"/>
    <w:rPr>
      <w:b w:val="0"/>
      <w:i w:val="0"/>
      <w:strike w:val="0"/>
      <w:vertAlign w:val="superscript"/>
    </w:rPr>
  </w:style>
  <w:style w:type="character" w:customStyle="1" w:styleId="MySubscript">
    <w:name w:val="MySubscript"/>
    <w:semiHidden/>
    <w:rsid w:val="00C34E9D"/>
    <w:rPr>
      <w:b w:val="0"/>
      <w:i w:val="0"/>
      <w:strike w:val="0"/>
      <w:vertAlign w:val="subscript"/>
    </w:rPr>
  </w:style>
  <w:style w:type="character" w:customStyle="1" w:styleId="MyBoldItalicsUnderline">
    <w:name w:val="MyBoldItalicsUnderline"/>
    <w:semiHidden/>
    <w:rsid w:val="00C34E9D"/>
    <w:rPr>
      <w:b/>
      <w:i/>
      <w:strike w:val="0"/>
      <w:u w:val="single"/>
      <w:vertAlign w:val="baseline"/>
    </w:rPr>
  </w:style>
  <w:style w:type="character" w:customStyle="1" w:styleId="MyBoldUnderline">
    <w:name w:val="MyBoldUnderline"/>
    <w:semiHidden/>
    <w:rsid w:val="00C34E9D"/>
    <w:rPr>
      <w:b/>
      <w:i/>
      <w:strike w:val="0"/>
      <w:u w:val="single"/>
      <w:vertAlign w:val="baseline"/>
    </w:rPr>
  </w:style>
  <w:style w:type="character" w:customStyle="1" w:styleId="MyItalicsUnderline">
    <w:name w:val="MyItalicsUnderline"/>
    <w:semiHidden/>
    <w:rsid w:val="00C34E9D"/>
    <w:rPr>
      <w:b/>
      <w:i/>
      <w:strike w:val="0"/>
      <w:u w:val="single"/>
      <w:vertAlign w:val="baseline"/>
    </w:rPr>
  </w:style>
  <w:style w:type="character" w:customStyle="1" w:styleId="MyUnderline">
    <w:name w:val="MyUnderline"/>
    <w:semiHidden/>
    <w:rsid w:val="00C34E9D"/>
    <w:rPr>
      <w:b w:val="0"/>
      <w:i w:val="0"/>
      <w:strike w:val="0"/>
      <w:u w:val="single"/>
      <w:vertAlign w:val="baseline"/>
    </w:rPr>
  </w:style>
  <w:style w:type="paragraph" w:styleId="CommentText">
    <w:name w:val="annotation text"/>
    <w:basedOn w:val="Normal"/>
    <w:link w:val="CommentTextChar"/>
    <w:uiPriority w:val="99"/>
    <w:unhideWhenUsed/>
    <w:rsid w:val="00130333"/>
    <w:pPr>
      <w:spacing w:after="160" w:line="240" w:lineRule="auto"/>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130333"/>
    <w:rPr>
      <w:rFonts w:eastAsiaTheme="minorHAnsi" w:cstheme="minorBidi"/>
      <w:sz w:val="20"/>
      <w:szCs w:val="20"/>
      <w:lang w:eastAsia="en-US"/>
    </w:rPr>
  </w:style>
  <w:style w:type="character" w:customStyle="1" w:styleId="ListParagraphChar">
    <w:name w:val="List Paragraph Char"/>
    <w:aliases w:val="Question paragraph Char,List Paragraph11 Char,Recommendation Char,List Paragraph1 Char,Bullet point Char,1 heading Char,Dot point 1.5 line spacing Char,L Char,List Paragraph - bullets Char,NFP GP Bulleted List Char,LP-DO NOT USE Char"/>
    <w:basedOn w:val="DefaultParagraphFont"/>
    <w:link w:val="ListParagraph"/>
    <w:uiPriority w:val="34"/>
    <w:locked/>
    <w:rsid w:val="00130333"/>
  </w:style>
  <w:style w:type="paragraph" w:styleId="ListParagraph">
    <w:name w:val="List Paragraph"/>
    <w:aliases w:val="Question paragraph,List Paragraph11,Recommendation,List Paragraph1,Bullet point,1 heading,Dot point 1.5 line spacing,L,List Paragraph - bullets,NFP GP Bulleted List,bullet point list,LP-DO NOT USE,Bulleted Para,CV text,Dot pt,FooterText"/>
    <w:basedOn w:val="Normal"/>
    <w:link w:val="ListParagraphChar"/>
    <w:uiPriority w:val="34"/>
    <w:qFormat/>
    <w:rsid w:val="00130333"/>
    <w:pPr>
      <w:spacing w:after="160" w:line="256" w:lineRule="auto"/>
      <w:ind w:left="720"/>
      <w:contextualSpacing/>
    </w:pPr>
    <w:rPr>
      <w:rFonts w:asciiTheme="minorHAnsi" w:hAnsiTheme="minorHAnsi"/>
    </w:rPr>
  </w:style>
  <w:style w:type="paragraph" w:customStyle="1" w:styleId="Default">
    <w:name w:val="Default"/>
    <w:rsid w:val="00130333"/>
    <w:pPr>
      <w:autoSpaceDE w:val="0"/>
      <w:autoSpaceDN w:val="0"/>
      <w:adjustRightInd w:val="0"/>
      <w:spacing w:line="240" w:lineRule="auto"/>
    </w:pPr>
    <w:rPr>
      <w:rFonts w:ascii="Arial" w:eastAsia="Calibri" w:hAnsi="Arial" w:cs="Arial"/>
      <w:color w:val="000000"/>
      <w:sz w:val="24"/>
      <w:szCs w:val="24"/>
    </w:rPr>
  </w:style>
  <w:style w:type="character" w:styleId="CommentReference">
    <w:name w:val="annotation reference"/>
    <w:basedOn w:val="DefaultParagraphFont"/>
    <w:uiPriority w:val="99"/>
    <w:semiHidden/>
    <w:unhideWhenUsed/>
    <w:rsid w:val="00130333"/>
    <w:rPr>
      <w:sz w:val="16"/>
      <w:szCs w:val="16"/>
    </w:rPr>
  </w:style>
  <w:style w:type="numbering" w:customStyle="1" w:styleId="BulletList">
    <w:name w:val="Bullet List"/>
    <w:uiPriority w:val="99"/>
    <w:rsid w:val="00130333"/>
    <w:pPr>
      <w:numPr>
        <w:numId w:val="9"/>
      </w:numPr>
    </w:pPr>
  </w:style>
  <w:style w:type="paragraph" w:customStyle="1" w:styleId="Pa9">
    <w:name w:val="Pa9"/>
    <w:basedOn w:val="Default"/>
    <w:next w:val="Default"/>
    <w:uiPriority w:val="99"/>
    <w:rsid w:val="00CE1750"/>
    <w:pPr>
      <w:spacing w:line="201" w:lineRule="atLeast"/>
    </w:pPr>
    <w:rPr>
      <w:rFonts w:ascii="Gotham Light" w:eastAsia="Times New Roman" w:hAnsi="Gotham Light" w:cs="Times New Roman"/>
      <w:color w:val="auto"/>
    </w:rPr>
  </w:style>
  <w:style w:type="character" w:customStyle="1" w:styleId="A8">
    <w:name w:val="A8"/>
    <w:uiPriority w:val="99"/>
    <w:rsid w:val="00CE1750"/>
    <w:rPr>
      <w:rFonts w:cs="Gotham Light"/>
      <w:color w:val="000000"/>
      <w:sz w:val="11"/>
      <w:szCs w:val="11"/>
    </w:rPr>
  </w:style>
  <w:style w:type="character" w:customStyle="1" w:styleId="Mention1">
    <w:name w:val="Mention1"/>
    <w:basedOn w:val="DefaultParagraphFont"/>
    <w:uiPriority w:val="99"/>
    <w:semiHidden/>
    <w:unhideWhenUsed/>
    <w:rsid w:val="00823FB3"/>
    <w:rPr>
      <w:color w:val="2B579A"/>
      <w:shd w:val="clear" w:color="auto" w:fill="E6E6E6"/>
    </w:rPr>
  </w:style>
  <w:style w:type="paragraph" w:styleId="PlainText">
    <w:name w:val="Plain Text"/>
    <w:basedOn w:val="Normal"/>
    <w:link w:val="PlainTextChar"/>
    <w:uiPriority w:val="39"/>
    <w:semiHidden/>
    <w:unhideWhenUsed/>
    <w:rsid w:val="007617DF"/>
    <w:pPr>
      <w:spacing w:line="240" w:lineRule="auto"/>
    </w:pPr>
    <w:rPr>
      <w:rFonts w:ascii="Calibri" w:hAnsi="Calibri"/>
      <w:szCs w:val="21"/>
    </w:rPr>
  </w:style>
  <w:style w:type="character" w:customStyle="1" w:styleId="PlainTextChar">
    <w:name w:val="Plain Text Char"/>
    <w:basedOn w:val="DefaultParagraphFont"/>
    <w:link w:val="PlainText"/>
    <w:uiPriority w:val="39"/>
    <w:semiHidden/>
    <w:rsid w:val="007617DF"/>
    <w:rPr>
      <w:rFonts w:ascii="Calibri" w:hAnsi="Calibri"/>
      <w:szCs w:val="21"/>
    </w:rPr>
  </w:style>
  <w:style w:type="paragraph" w:styleId="CommentSubject">
    <w:name w:val="annotation subject"/>
    <w:basedOn w:val="CommentText"/>
    <w:next w:val="CommentText"/>
    <w:link w:val="CommentSubjectChar"/>
    <w:uiPriority w:val="39"/>
    <w:semiHidden/>
    <w:unhideWhenUsed/>
    <w:rsid w:val="0023587F"/>
    <w:pPr>
      <w:spacing w:after="0"/>
    </w:pPr>
    <w:rPr>
      <w:rFonts w:ascii="Arial" w:eastAsia="Times New Roman" w:hAnsi="Arial" w:cs="Times New Roman"/>
      <w:b/>
      <w:bCs/>
      <w:lang w:eastAsia="en-AU"/>
    </w:rPr>
  </w:style>
  <w:style w:type="character" w:customStyle="1" w:styleId="CommentSubjectChar">
    <w:name w:val="Comment Subject Char"/>
    <w:basedOn w:val="CommentTextChar"/>
    <w:link w:val="CommentSubject"/>
    <w:uiPriority w:val="39"/>
    <w:semiHidden/>
    <w:rsid w:val="0023587F"/>
    <w:rPr>
      <w:rFonts w:ascii="Arial" w:eastAsiaTheme="minorHAnsi" w:hAnsi="Arial" w:cstheme="minorBidi"/>
      <w:b/>
      <w:bCs/>
      <w:sz w:val="20"/>
      <w:szCs w:val="20"/>
      <w:lang w:eastAsia="en-US"/>
    </w:rPr>
  </w:style>
  <w:style w:type="paragraph" w:customStyle="1" w:styleId="Bullet2a">
    <w:name w:val="Bullet2a"/>
    <w:basedOn w:val="ListBullet2"/>
    <w:link w:val="Bullet2aChar"/>
    <w:rsid w:val="005B1992"/>
  </w:style>
  <w:style w:type="paragraph" w:customStyle="1" w:styleId="Bullet2b">
    <w:name w:val="Bullet2b"/>
    <w:basedOn w:val="ListBullet2"/>
    <w:link w:val="Bullet2bChar"/>
    <w:rsid w:val="005B1992"/>
  </w:style>
  <w:style w:type="character" w:customStyle="1" w:styleId="ListBulletChar">
    <w:name w:val="List Bullet Char"/>
    <w:basedOn w:val="BodyTextChar"/>
    <w:link w:val="ListBullet"/>
    <w:rsid w:val="00742AFE"/>
    <w:rPr>
      <w:rFonts w:ascii="Arial" w:hAnsi="Arial"/>
    </w:rPr>
  </w:style>
  <w:style w:type="character" w:customStyle="1" w:styleId="ListBullet2Char">
    <w:name w:val="List Bullet 2 Char"/>
    <w:basedOn w:val="ListBulletChar"/>
    <w:link w:val="ListBullet2"/>
    <w:uiPriority w:val="99"/>
    <w:rsid w:val="0053255F"/>
    <w:rPr>
      <w:rFonts w:ascii="Arial" w:hAnsi="Arial"/>
    </w:rPr>
  </w:style>
  <w:style w:type="character" w:customStyle="1" w:styleId="Bullet2aChar">
    <w:name w:val="Bullet2a Char"/>
    <w:basedOn w:val="ListBullet2Char"/>
    <w:link w:val="Bullet2a"/>
    <w:rsid w:val="005B1992"/>
    <w:rPr>
      <w:rFonts w:ascii="Arial" w:hAnsi="Arial"/>
    </w:rPr>
  </w:style>
  <w:style w:type="character" w:customStyle="1" w:styleId="Bullet2bChar">
    <w:name w:val="Bullet2b Char"/>
    <w:basedOn w:val="ListBullet2Char"/>
    <w:link w:val="Bullet2b"/>
    <w:rsid w:val="005B1992"/>
    <w:rPr>
      <w:rFonts w:ascii="Arial" w:hAnsi="Arial"/>
    </w:rPr>
  </w:style>
  <w:style w:type="paragraph" w:customStyle="1" w:styleId="text">
    <w:name w:val="text"/>
    <w:basedOn w:val="Normal"/>
    <w:uiPriority w:val="99"/>
    <w:rsid w:val="008E05C4"/>
    <w:pPr>
      <w:widowControl w:val="0"/>
      <w:suppressAutoHyphens/>
      <w:autoSpaceDE w:val="0"/>
      <w:autoSpaceDN w:val="0"/>
      <w:adjustRightInd w:val="0"/>
      <w:spacing w:after="170" w:line="210" w:lineRule="atLeast"/>
      <w:textAlignment w:val="center"/>
    </w:pPr>
    <w:rPr>
      <w:rFonts w:ascii="ArialMT" w:eastAsia="Cambria" w:hAnsi="ArialMT" w:cs="ArialMT"/>
      <w:color w:val="000000"/>
      <w:sz w:val="17"/>
      <w:szCs w:val="17"/>
      <w:lang w:val="en-GB" w:eastAsia="en-US"/>
    </w:rPr>
  </w:style>
  <w:style w:type="character" w:styleId="Emphasis">
    <w:name w:val="Emphasis"/>
    <w:uiPriority w:val="20"/>
    <w:qFormat/>
    <w:rsid w:val="00E164A7"/>
    <w:rPr>
      <w:i/>
    </w:rPr>
  </w:style>
  <w:style w:type="character" w:styleId="Strong">
    <w:name w:val="Strong"/>
    <w:aliases w:val="AER text bold"/>
    <w:basedOn w:val="DefaultParagraphFont"/>
    <w:uiPriority w:val="3"/>
    <w:qFormat/>
    <w:rsid w:val="00057416"/>
    <w:rPr>
      <w:b/>
      <w:bCs/>
    </w:rPr>
  </w:style>
  <w:style w:type="character" w:customStyle="1" w:styleId="caps1">
    <w:name w:val="caps1"/>
    <w:basedOn w:val="DefaultParagraphFont"/>
    <w:rsid w:val="00057416"/>
    <w:rPr>
      <w:sz w:val="22"/>
      <w:szCs w:val="22"/>
    </w:rPr>
  </w:style>
  <w:style w:type="character" w:customStyle="1" w:styleId="tgc">
    <w:name w:val="_tgc"/>
    <w:basedOn w:val="DefaultParagraphFont"/>
    <w:rsid w:val="00057416"/>
  </w:style>
  <w:style w:type="table" w:styleId="ListTable4-Accent1">
    <w:name w:val="List Table 4 Accent 1"/>
    <w:basedOn w:val="TableNormal"/>
    <w:uiPriority w:val="49"/>
    <w:rsid w:val="00742868"/>
    <w:pPr>
      <w:spacing w:line="240" w:lineRule="auto"/>
    </w:pPr>
    <w:rPr>
      <w:rFonts w:eastAsiaTheme="minorHAnsi" w:cstheme="minorBidi"/>
      <w:lang w:eastAsia="en-US"/>
    </w:rPr>
    <w:tblPr>
      <w:tblStyleRowBandSize w:val="1"/>
      <w:tblStyleColBandSize w:val="1"/>
      <w:tblInd w:w="0" w:type="nil"/>
      <w:tblBorders>
        <w:top w:val="single" w:sz="4" w:space="0" w:color="5C8CD9" w:themeColor="accent1" w:themeTint="99"/>
        <w:left w:val="single" w:sz="4" w:space="0" w:color="5C8CD9" w:themeColor="accent1" w:themeTint="99"/>
        <w:bottom w:val="single" w:sz="4" w:space="0" w:color="5C8CD9" w:themeColor="accent1" w:themeTint="99"/>
        <w:right w:val="single" w:sz="4" w:space="0" w:color="5C8CD9" w:themeColor="accent1" w:themeTint="99"/>
        <w:insideH w:val="single" w:sz="4" w:space="0" w:color="5C8CD9" w:themeColor="accent1" w:themeTint="99"/>
      </w:tblBorders>
    </w:tblPr>
    <w:tblStylePr w:type="firstRow">
      <w:rPr>
        <w:b/>
        <w:bCs/>
        <w:color w:val="FFFFFF" w:themeColor="background1"/>
      </w:rPr>
      <w:tblPr/>
      <w:tcPr>
        <w:tcBorders>
          <w:top w:val="single" w:sz="4" w:space="0" w:color="214C90" w:themeColor="accent1"/>
          <w:left w:val="single" w:sz="4" w:space="0" w:color="214C90" w:themeColor="accent1"/>
          <w:bottom w:val="single" w:sz="4" w:space="0" w:color="214C90" w:themeColor="accent1"/>
          <w:right w:val="single" w:sz="4" w:space="0" w:color="214C90" w:themeColor="accent1"/>
          <w:insideH w:val="nil"/>
        </w:tcBorders>
        <w:shd w:val="clear" w:color="auto" w:fill="214C90" w:themeFill="accent1"/>
      </w:tcPr>
    </w:tblStylePr>
    <w:tblStylePr w:type="lastRow">
      <w:rPr>
        <w:b/>
        <w:bCs/>
      </w:rPr>
      <w:tblPr/>
      <w:tcPr>
        <w:tcBorders>
          <w:top w:val="double" w:sz="4" w:space="0" w:color="5C8CD9" w:themeColor="accent1" w:themeTint="99"/>
        </w:tcBorders>
      </w:tcPr>
    </w:tblStylePr>
    <w:tblStylePr w:type="firstCol">
      <w:rPr>
        <w:b/>
        <w:bCs/>
      </w:rPr>
    </w:tblStylePr>
    <w:tblStylePr w:type="lastCol">
      <w:rPr>
        <w:b/>
        <w:bCs/>
      </w:rPr>
    </w:tblStylePr>
    <w:tblStylePr w:type="band1Vert">
      <w:tblPr/>
      <w:tcPr>
        <w:shd w:val="clear" w:color="auto" w:fill="C8D8F2" w:themeFill="accent1" w:themeFillTint="33"/>
      </w:tcPr>
    </w:tblStylePr>
    <w:tblStylePr w:type="band1Horz">
      <w:tblPr/>
      <w:tcPr>
        <w:shd w:val="clear" w:color="auto" w:fill="C8D8F2" w:themeFill="accent1" w:themeFillTint="33"/>
      </w:tcPr>
    </w:tblStylePr>
  </w:style>
  <w:style w:type="character" w:customStyle="1" w:styleId="med11">
    <w:name w:val="med11"/>
    <w:basedOn w:val="DefaultParagraphFont"/>
    <w:rsid w:val="00742868"/>
    <w:rPr>
      <w:sz w:val="18"/>
      <w:szCs w:val="18"/>
    </w:rPr>
  </w:style>
  <w:style w:type="paragraph" w:customStyle="1" w:styleId="paragraph">
    <w:name w:val="paragraph"/>
    <w:basedOn w:val="Normal"/>
    <w:rsid w:val="00797E66"/>
    <w:pPr>
      <w:spacing w:before="100" w:beforeAutospacing="1" w:after="100" w:afterAutospacing="1" w:line="240" w:lineRule="auto"/>
    </w:pPr>
    <w:rPr>
      <w:rFonts w:ascii="Times New Roman" w:hAnsi="Times New Roman"/>
      <w:sz w:val="24"/>
      <w:szCs w:val="24"/>
    </w:rPr>
  </w:style>
  <w:style w:type="paragraph" w:customStyle="1" w:styleId="paragraphsub">
    <w:name w:val="paragraphsub"/>
    <w:basedOn w:val="Normal"/>
    <w:rsid w:val="00797E66"/>
    <w:pPr>
      <w:spacing w:before="100" w:beforeAutospacing="1" w:after="100" w:afterAutospacing="1" w:line="240" w:lineRule="auto"/>
    </w:pPr>
    <w:rPr>
      <w:rFonts w:ascii="Times New Roman" w:hAnsi="Times New Roman"/>
      <w:sz w:val="24"/>
      <w:szCs w:val="24"/>
    </w:rPr>
  </w:style>
  <w:style w:type="paragraph" w:customStyle="1" w:styleId="subsection">
    <w:name w:val="subsection"/>
    <w:basedOn w:val="Normal"/>
    <w:rsid w:val="006F250E"/>
    <w:pPr>
      <w:spacing w:before="100" w:beforeAutospacing="1" w:after="100" w:afterAutospacing="1" w:line="240" w:lineRule="auto"/>
    </w:pPr>
    <w:rPr>
      <w:rFonts w:ascii="Times New Roman" w:hAnsi="Times New Roman"/>
      <w:sz w:val="24"/>
      <w:szCs w:val="24"/>
    </w:rPr>
  </w:style>
  <w:style w:type="numbering" w:customStyle="1" w:styleId="KeyPoints">
    <w:name w:val="Key Points"/>
    <w:basedOn w:val="NoList"/>
    <w:uiPriority w:val="99"/>
    <w:rsid w:val="006F250E"/>
    <w:pPr>
      <w:numPr>
        <w:numId w:val="10"/>
      </w:numPr>
    </w:pPr>
  </w:style>
  <w:style w:type="paragraph" w:customStyle="1" w:styleId="subsectionhead">
    <w:name w:val="subsectionhead"/>
    <w:basedOn w:val="Normal"/>
    <w:rsid w:val="00153551"/>
    <w:pPr>
      <w:spacing w:before="100" w:beforeAutospacing="1" w:after="100" w:afterAutospacing="1" w:line="240" w:lineRule="auto"/>
    </w:pPr>
    <w:rPr>
      <w:rFonts w:ascii="Times New Roman" w:hAnsi="Times New Roman"/>
      <w:sz w:val="24"/>
      <w:szCs w:val="24"/>
    </w:rPr>
  </w:style>
  <w:style w:type="paragraph" w:customStyle="1" w:styleId="indenta-p">
    <w:name w:val="indenta-p"/>
    <w:basedOn w:val="Normal"/>
    <w:rsid w:val="00153551"/>
    <w:pPr>
      <w:spacing w:before="100" w:beforeAutospacing="1" w:after="100" w:afterAutospacing="1" w:line="240" w:lineRule="auto"/>
    </w:pPr>
    <w:rPr>
      <w:rFonts w:ascii="Times New Roman" w:eastAsiaTheme="minorHAnsi" w:hAnsi="Times New Roman"/>
      <w:sz w:val="24"/>
      <w:szCs w:val="24"/>
    </w:rPr>
  </w:style>
  <w:style w:type="character" w:customStyle="1" w:styleId="indenta-h">
    <w:name w:val="indenta-h"/>
    <w:basedOn w:val="DefaultParagraphFont"/>
    <w:rsid w:val="00153551"/>
  </w:style>
  <w:style w:type="character" w:customStyle="1" w:styleId="charsectno">
    <w:name w:val="charsectno"/>
    <w:basedOn w:val="DefaultParagraphFont"/>
    <w:rsid w:val="00DC48D1"/>
  </w:style>
  <w:style w:type="paragraph" w:customStyle="1" w:styleId="acthead5">
    <w:name w:val="acthead5"/>
    <w:basedOn w:val="Normal"/>
    <w:rsid w:val="00DC48D1"/>
    <w:pPr>
      <w:spacing w:before="100" w:beforeAutospacing="1" w:after="100" w:afterAutospacing="1" w:line="240" w:lineRule="auto"/>
    </w:pPr>
    <w:rPr>
      <w:rFonts w:ascii="Times New Roman" w:hAnsi="Times New Roman"/>
      <w:sz w:val="24"/>
      <w:szCs w:val="24"/>
    </w:rPr>
  </w:style>
  <w:style w:type="character" w:customStyle="1" w:styleId="sectionlabel">
    <w:name w:val="sectionlabel"/>
    <w:basedOn w:val="DefaultParagraphFont"/>
    <w:rsid w:val="007E1D14"/>
    <w:rPr>
      <w:b/>
      <w:bCs/>
      <w:color w:val="000000"/>
    </w:rPr>
  </w:style>
  <w:style w:type="character" w:customStyle="1" w:styleId="lawlabel2">
    <w:name w:val="lawlabel2"/>
    <w:basedOn w:val="DefaultParagraphFont"/>
    <w:rsid w:val="007E1D14"/>
    <w:rPr>
      <w:b/>
      <w:bCs/>
      <w:color w:val="000000"/>
    </w:rPr>
  </w:style>
  <w:style w:type="paragraph" w:customStyle="1" w:styleId="CM3">
    <w:name w:val="CM3"/>
    <w:basedOn w:val="Default"/>
    <w:next w:val="Default"/>
    <w:uiPriority w:val="99"/>
    <w:rsid w:val="003258F0"/>
    <w:pPr>
      <w:spacing w:line="280" w:lineRule="atLeast"/>
    </w:pPr>
    <w:rPr>
      <w:rFonts w:ascii="Myriad Pro" w:eastAsia="Times New Roman" w:hAnsi="Myriad Pro" w:cs="Times New Roman"/>
      <w:color w:val="auto"/>
    </w:rPr>
  </w:style>
  <w:style w:type="paragraph" w:customStyle="1" w:styleId="Footerclassification">
    <w:name w:val="Footer classification"/>
    <w:basedOn w:val="Normal"/>
    <w:rsid w:val="00D5384A"/>
    <w:pPr>
      <w:tabs>
        <w:tab w:val="center" w:pos="4536"/>
        <w:tab w:val="center" w:pos="4819"/>
        <w:tab w:val="right" w:pos="9356"/>
      </w:tabs>
      <w:spacing w:line="276" w:lineRule="auto"/>
      <w:jc w:val="center"/>
    </w:pPr>
    <w:rPr>
      <w:rFonts w:cs="Arial"/>
      <w:color w:val="FF0000"/>
      <w:sz w:val="28"/>
      <w:szCs w:val="28"/>
    </w:rPr>
  </w:style>
  <w:style w:type="paragraph" w:customStyle="1" w:styleId="Tabletext">
    <w:name w:val="Table text"/>
    <w:basedOn w:val="Normal"/>
    <w:uiPriority w:val="9"/>
    <w:qFormat/>
    <w:rsid w:val="00D5384A"/>
    <w:pPr>
      <w:spacing w:line="276" w:lineRule="auto"/>
    </w:pPr>
    <w:rPr>
      <w:rFonts w:eastAsia="Calibri"/>
      <w:lang w:eastAsia="en-US"/>
    </w:rPr>
  </w:style>
  <w:style w:type="paragraph" w:customStyle="1" w:styleId="Classificationsensitivity">
    <w:name w:val="Classification sensitivity"/>
    <w:basedOn w:val="Normal"/>
    <w:rsid w:val="00D5384A"/>
    <w:pPr>
      <w:tabs>
        <w:tab w:val="center" w:pos="4536"/>
        <w:tab w:val="center" w:pos="4819"/>
        <w:tab w:val="right" w:pos="9356"/>
      </w:tabs>
      <w:spacing w:after="240" w:line="276" w:lineRule="auto"/>
      <w:jc w:val="center"/>
    </w:pPr>
    <w:rPr>
      <w:rFonts w:cs="Arial"/>
      <w:color w:val="FF0000"/>
      <w:szCs w:val="28"/>
    </w:rPr>
  </w:style>
  <w:style w:type="character" w:customStyle="1" w:styleId="Numbered1Char">
    <w:name w:val="Numbered 1 Char"/>
    <w:basedOn w:val="DefaultParagraphFont"/>
    <w:link w:val="Numbered1"/>
    <w:locked/>
    <w:rsid w:val="00BE301F"/>
    <w:rPr>
      <w:sz w:val="24"/>
      <w:szCs w:val="24"/>
    </w:rPr>
  </w:style>
  <w:style w:type="paragraph" w:customStyle="1" w:styleId="Numbered1">
    <w:name w:val="Numbered 1"/>
    <w:basedOn w:val="Normal"/>
    <w:link w:val="Numbered1Char"/>
    <w:qFormat/>
    <w:rsid w:val="00BE301F"/>
    <w:pPr>
      <w:spacing w:after="200" w:line="276" w:lineRule="auto"/>
    </w:pPr>
    <w:rPr>
      <w:rFonts w:asciiTheme="minorHAnsi" w:hAnsiTheme="minorHAnsi"/>
      <w:sz w:val="24"/>
      <w:szCs w:val="24"/>
    </w:rPr>
  </w:style>
  <w:style w:type="paragraph" w:customStyle="1" w:styleId="Footnote">
    <w:name w:val="Footnote"/>
    <w:basedOn w:val="FootnoteText"/>
    <w:link w:val="FootnoteChar"/>
    <w:qFormat/>
    <w:rsid w:val="002634B1"/>
    <w:pPr>
      <w:tabs>
        <w:tab w:val="left" w:pos="720"/>
        <w:tab w:val="left" w:pos="1077"/>
      </w:tabs>
      <w:spacing w:before="0" w:after="0"/>
      <w:ind w:left="720" w:hanging="720"/>
    </w:pPr>
    <w:rPr>
      <w:rFonts w:ascii="Times New Roman" w:eastAsia="MS Mincho" w:hAnsi="Times New Roman" w:cstheme="minorBidi"/>
      <w:sz w:val="20"/>
      <w:lang w:eastAsia="en-US"/>
    </w:rPr>
  </w:style>
  <w:style w:type="character" w:customStyle="1" w:styleId="FootnoteChar">
    <w:name w:val="Footnote Char"/>
    <w:basedOn w:val="FootnoteTextChar"/>
    <w:link w:val="Footnote"/>
    <w:rsid w:val="002634B1"/>
    <w:rPr>
      <w:rFonts w:ascii="Times New Roman" w:eastAsia="MS Mincho" w:hAnsi="Times New Roman" w:cstheme="minorBidi"/>
      <w:sz w:val="20"/>
      <w:szCs w:val="20"/>
      <w:lang w:eastAsia="en-US"/>
    </w:rPr>
  </w:style>
  <w:style w:type="paragraph" w:customStyle="1" w:styleId="AppendixLevel1">
    <w:name w:val="Appendix Level 1"/>
    <w:basedOn w:val="Heading1"/>
    <w:next w:val="Normal"/>
    <w:rsid w:val="007D7FFC"/>
    <w:pPr>
      <w:numPr>
        <w:numId w:val="13"/>
      </w:numPr>
      <w:tabs>
        <w:tab w:val="num" w:pos="360"/>
      </w:tabs>
      <w:spacing w:line="256" w:lineRule="auto"/>
      <w:ind w:left="0" w:right="1134" w:firstLine="0"/>
    </w:pPr>
    <w:rPr>
      <w:rFonts w:ascii="Franklin Gothic Demi Cond" w:eastAsiaTheme="majorEastAsia" w:hAnsi="Franklin Gothic Demi Cond"/>
      <w:b w:val="0"/>
      <w:bCs w:val="0"/>
      <w:color w:val="1C376B"/>
      <w:lang w:eastAsia="en-US"/>
    </w:rPr>
  </w:style>
  <w:style w:type="paragraph" w:customStyle="1" w:styleId="AppendixLevel2">
    <w:name w:val="Appendix Level 2"/>
    <w:basedOn w:val="Heading1"/>
    <w:next w:val="Normal"/>
    <w:rsid w:val="007D7FFC"/>
    <w:pPr>
      <w:numPr>
        <w:ilvl w:val="1"/>
        <w:numId w:val="13"/>
      </w:numPr>
      <w:tabs>
        <w:tab w:val="num" w:pos="360"/>
      </w:tabs>
      <w:spacing w:line="256" w:lineRule="auto"/>
      <w:ind w:left="0" w:firstLine="0"/>
    </w:pPr>
    <w:rPr>
      <w:rFonts w:ascii="Franklin Gothic Demi Cond" w:eastAsiaTheme="majorEastAsia" w:hAnsi="Franklin Gothic Demi Cond"/>
      <w:b w:val="0"/>
      <w:bCs w:val="0"/>
      <w:color w:val="1C376B"/>
      <w:lang w:eastAsia="en-US"/>
    </w:rPr>
  </w:style>
  <w:style w:type="paragraph" w:customStyle="1" w:styleId="AppendixLevel3">
    <w:name w:val="Appendix Level 3"/>
    <w:basedOn w:val="AppendixLevel2"/>
    <w:next w:val="Normal"/>
    <w:qFormat/>
    <w:rsid w:val="007D7FFC"/>
    <w:pPr>
      <w:numPr>
        <w:ilvl w:val="2"/>
      </w:numPr>
      <w:tabs>
        <w:tab w:val="num" w:pos="360"/>
      </w:tabs>
    </w:pPr>
  </w:style>
  <w:style w:type="character" w:customStyle="1" w:styleId="Mention2">
    <w:name w:val="Mention2"/>
    <w:basedOn w:val="DefaultParagraphFont"/>
    <w:uiPriority w:val="99"/>
    <w:semiHidden/>
    <w:unhideWhenUsed/>
    <w:rsid w:val="00C76364"/>
    <w:rPr>
      <w:color w:val="2B579A"/>
      <w:shd w:val="clear" w:color="auto" w:fill="E6E6E6"/>
    </w:rPr>
  </w:style>
  <w:style w:type="paragraph" w:customStyle="1" w:styleId="Pa4">
    <w:name w:val="Pa4"/>
    <w:basedOn w:val="Default"/>
    <w:next w:val="Default"/>
    <w:uiPriority w:val="99"/>
    <w:rsid w:val="006B1D5E"/>
    <w:pPr>
      <w:spacing w:line="161" w:lineRule="atLeast"/>
    </w:pPr>
    <w:rPr>
      <w:rFonts w:ascii="Myriad Pro" w:eastAsia="Times New Roman" w:hAnsi="Myriad Pro" w:cs="Times New Roman"/>
      <w:color w:val="auto"/>
    </w:rPr>
  </w:style>
  <w:style w:type="character" w:customStyle="1" w:styleId="Mention3">
    <w:name w:val="Mention3"/>
    <w:basedOn w:val="DefaultParagraphFont"/>
    <w:uiPriority w:val="99"/>
    <w:semiHidden/>
    <w:unhideWhenUsed/>
    <w:rsid w:val="00581557"/>
    <w:rPr>
      <w:color w:val="2B579A"/>
      <w:shd w:val="clear" w:color="auto" w:fill="E6E6E6"/>
    </w:rPr>
  </w:style>
  <w:style w:type="table" w:customStyle="1" w:styleId="AxiomAgendaMinutes">
    <w:name w:val="Axiom Agenda/Minutes"/>
    <w:basedOn w:val="TableNormal"/>
    <w:uiPriority w:val="99"/>
    <w:rsid w:val="00906A08"/>
    <w:pPr>
      <w:spacing w:line="240" w:lineRule="auto"/>
    </w:pPr>
    <w:tblPr>
      <w:tblBorders>
        <w:top w:val="single" w:sz="4" w:space="0" w:color="auto"/>
        <w:bottom w:val="single" w:sz="4" w:space="0" w:color="auto"/>
        <w:insideV w:val="single" w:sz="4" w:space="0" w:color="auto"/>
      </w:tblBorders>
      <w:tblCellMar>
        <w:top w:w="57" w:type="dxa"/>
        <w:left w:w="45" w:type="dxa"/>
        <w:bottom w:w="57" w:type="dxa"/>
        <w:right w:w="45" w:type="dxa"/>
      </w:tblCellMar>
    </w:tblPr>
    <w:tblStylePr w:type="firstRow">
      <w:tblPr/>
      <w:trPr>
        <w:cantSplit/>
        <w:tblHeader/>
      </w:trPr>
      <w:tcPr>
        <w:tcBorders>
          <w:top w:val="single" w:sz="4" w:space="0" w:color="auto"/>
          <w:left w:val="nil"/>
          <w:bottom w:val="single" w:sz="4" w:space="0" w:color="auto"/>
          <w:right w:val="nil"/>
          <w:insideH w:val="nil"/>
          <w:insideV w:val="single" w:sz="4" w:space="0" w:color="auto"/>
          <w:tl2br w:val="nil"/>
          <w:tr2bl w:val="nil"/>
        </w:tcBorders>
      </w:tcPr>
    </w:tblStylePr>
  </w:style>
  <w:style w:type="paragraph" w:customStyle="1" w:styleId="Bullet1a">
    <w:name w:val="Bullet 1a"/>
    <w:basedOn w:val="ListBullet"/>
    <w:link w:val="Bullet1aChar"/>
    <w:qFormat/>
    <w:rsid w:val="00A82787"/>
    <w:pPr>
      <w:numPr>
        <w:numId w:val="0"/>
      </w:numPr>
      <w:ind w:left="2268" w:hanging="2268"/>
    </w:pPr>
    <w:rPr>
      <w:rFonts w:cs="Arial"/>
    </w:rPr>
  </w:style>
  <w:style w:type="character" w:customStyle="1" w:styleId="Bullet1aChar">
    <w:name w:val="Bullet 1a Char"/>
    <w:basedOn w:val="ListBulletChar"/>
    <w:link w:val="Bullet1a"/>
    <w:rsid w:val="00A82787"/>
    <w:rPr>
      <w:rFonts w:ascii="Arial" w:hAnsi="Arial" w:cs="Arial"/>
    </w:rPr>
  </w:style>
  <w:style w:type="paragraph" w:customStyle="1" w:styleId="Bullet2a0">
    <w:name w:val="Bullet 2a"/>
    <w:basedOn w:val="ListBullet2"/>
    <w:link w:val="Bullet2aChar0"/>
    <w:qFormat/>
    <w:rsid w:val="009E1889"/>
    <w:pPr>
      <w:numPr>
        <w:numId w:val="0"/>
      </w:numPr>
      <w:ind w:left="851" w:hanging="851"/>
    </w:pPr>
    <w:rPr>
      <w:rFonts w:cs="Arial"/>
    </w:rPr>
  </w:style>
  <w:style w:type="character" w:customStyle="1" w:styleId="Bullet2aChar0">
    <w:name w:val="Bullet 2a Char"/>
    <w:basedOn w:val="DefaultParagraphFont"/>
    <w:link w:val="Bullet2a0"/>
    <w:rsid w:val="009E1889"/>
    <w:rPr>
      <w:rFonts w:ascii="Arial" w:hAnsi="Arial" w:cs="Arial"/>
    </w:rPr>
  </w:style>
  <w:style w:type="character" w:customStyle="1" w:styleId="UnresolvedMention1">
    <w:name w:val="Unresolved Mention1"/>
    <w:basedOn w:val="DefaultParagraphFont"/>
    <w:uiPriority w:val="99"/>
    <w:semiHidden/>
    <w:unhideWhenUsed/>
    <w:rsid w:val="00616B0F"/>
    <w:rPr>
      <w:color w:val="808080"/>
      <w:shd w:val="clear" w:color="auto" w:fill="E6E6E6"/>
    </w:rPr>
  </w:style>
  <w:style w:type="paragraph" w:customStyle="1" w:styleId="AERbulletlistfirststyle">
    <w:name w:val="AER bullet list (first style)"/>
    <w:basedOn w:val="ListBullet"/>
    <w:uiPriority w:val="99"/>
    <w:qFormat/>
    <w:rsid w:val="00D128A9"/>
    <w:pPr>
      <w:numPr>
        <w:numId w:val="15"/>
      </w:numPr>
      <w:tabs>
        <w:tab w:val="left" w:pos="340"/>
      </w:tabs>
      <w:spacing w:after="0" w:line="276" w:lineRule="auto"/>
      <w:ind w:left="357" w:hanging="357"/>
    </w:pPr>
    <w:rPr>
      <w:rFonts w:eastAsiaTheme="minorHAnsi"/>
      <w:lang w:eastAsia="en-US"/>
    </w:rPr>
  </w:style>
  <w:style w:type="character" w:customStyle="1" w:styleId="None">
    <w:name w:val="None"/>
    <w:rsid w:val="00BB42E0"/>
  </w:style>
  <w:style w:type="paragraph" w:customStyle="1" w:styleId="Bullet2b0">
    <w:name w:val="Bullet 2b"/>
    <w:basedOn w:val="ListBullet2"/>
    <w:link w:val="Bullet2bChar0"/>
    <w:qFormat/>
    <w:rsid w:val="00B13F44"/>
    <w:pPr>
      <w:spacing w:line="240" w:lineRule="auto"/>
    </w:pPr>
    <w:rPr>
      <w:rFonts w:eastAsiaTheme="majorEastAsia"/>
      <w:sz w:val="21"/>
      <w:szCs w:val="21"/>
    </w:rPr>
  </w:style>
  <w:style w:type="character" w:customStyle="1" w:styleId="Bullet2bChar0">
    <w:name w:val="Bullet 2b Char"/>
    <w:basedOn w:val="ListBullet2Char"/>
    <w:link w:val="Bullet2b0"/>
    <w:rsid w:val="00B13F44"/>
    <w:rPr>
      <w:rFonts w:ascii="Arial" w:eastAsiaTheme="majorEastAsia" w:hAnsi="Arial"/>
      <w:sz w:val="21"/>
      <w:szCs w:val="21"/>
    </w:rPr>
  </w:style>
  <w:style w:type="paragraph" w:customStyle="1" w:styleId="Footnotes">
    <w:name w:val="Footnotes"/>
    <w:basedOn w:val="Normal"/>
    <w:rsid w:val="00C34E9D"/>
    <w:pPr>
      <w:tabs>
        <w:tab w:val="num" w:pos="425"/>
      </w:tabs>
      <w:spacing w:before="180" w:after="180" w:line="240" w:lineRule="auto"/>
      <w:ind w:left="425" w:hanging="425"/>
      <w:contextualSpacing/>
    </w:pPr>
    <w:rPr>
      <w:rFonts w:cs="Arial"/>
      <w:sz w:val="18"/>
      <w:szCs w:val="20"/>
    </w:rPr>
  </w:style>
  <w:style w:type="paragraph" w:styleId="TOC5">
    <w:name w:val="toc 5"/>
    <w:basedOn w:val="Normal"/>
    <w:next w:val="Normal"/>
    <w:autoRedefine/>
    <w:semiHidden/>
    <w:unhideWhenUsed/>
    <w:rsid w:val="00C34E9D"/>
    <w:pPr>
      <w:tabs>
        <w:tab w:val="right" w:leader="dot" w:pos="9015"/>
      </w:tabs>
      <w:spacing w:before="120" w:after="80"/>
    </w:pPr>
    <w:rPr>
      <w:rFonts w:asciiTheme="minorHAnsi" w:hAnsiTheme="minorHAnsi"/>
    </w:rPr>
  </w:style>
  <w:style w:type="paragraph" w:styleId="NoteHeading">
    <w:name w:val="Note Heading"/>
    <w:basedOn w:val="Normal"/>
    <w:next w:val="Normal"/>
    <w:link w:val="NoteHeadingChar"/>
    <w:semiHidden/>
    <w:unhideWhenUsed/>
    <w:rsid w:val="00C34E9D"/>
    <w:pPr>
      <w:spacing w:line="240" w:lineRule="auto"/>
    </w:pPr>
    <w:rPr>
      <w:rFonts w:asciiTheme="minorHAnsi" w:hAnsiTheme="minorHAnsi"/>
    </w:rPr>
  </w:style>
  <w:style w:type="character" w:customStyle="1" w:styleId="NoteHeadingChar">
    <w:name w:val="Note Heading Char"/>
    <w:basedOn w:val="DefaultParagraphFont"/>
    <w:link w:val="NoteHeading"/>
    <w:semiHidden/>
    <w:rsid w:val="00C34E9D"/>
  </w:style>
  <w:style w:type="paragraph" w:styleId="DocumentMap">
    <w:name w:val="Document Map"/>
    <w:basedOn w:val="Normal"/>
    <w:link w:val="DocumentMapChar"/>
    <w:uiPriority w:val="39"/>
    <w:semiHidden/>
    <w:unhideWhenUsed/>
    <w:rsid w:val="00C34E9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39"/>
    <w:semiHidden/>
    <w:rsid w:val="00C34E9D"/>
    <w:rPr>
      <w:rFonts w:ascii="Segoe UI" w:hAnsi="Segoe UI" w:cs="Segoe UI"/>
      <w:sz w:val="16"/>
      <w:szCs w:val="16"/>
    </w:rPr>
  </w:style>
  <w:style w:type="paragraph" w:styleId="BodyText3">
    <w:name w:val="Body Text 3"/>
    <w:basedOn w:val="Normal"/>
    <w:link w:val="BodyText3Char"/>
    <w:semiHidden/>
    <w:unhideWhenUsed/>
    <w:rsid w:val="00732ECD"/>
    <w:pPr>
      <w:spacing w:after="120"/>
    </w:pPr>
    <w:rPr>
      <w:sz w:val="16"/>
      <w:szCs w:val="16"/>
    </w:rPr>
  </w:style>
  <w:style w:type="character" w:customStyle="1" w:styleId="BodyText3Char">
    <w:name w:val="Body Text 3 Char"/>
    <w:basedOn w:val="DefaultParagraphFont"/>
    <w:link w:val="BodyText3"/>
    <w:semiHidden/>
    <w:rsid w:val="00732ECD"/>
    <w:rPr>
      <w:rFonts w:ascii="Arial" w:hAnsi="Arial"/>
      <w:sz w:val="16"/>
      <w:szCs w:val="16"/>
    </w:rPr>
  </w:style>
  <w:style w:type="table" w:styleId="DarkList-Accent1">
    <w:name w:val="Dark List Accent 1"/>
    <w:basedOn w:val="TableNormal"/>
    <w:uiPriority w:val="70"/>
    <w:rsid w:val="004154A3"/>
    <w:pPr>
      <w:spacing w:line="240" w:lineRule="auto"/>
    </w:pPr>
    <w:rPr>
      <w:rFonts w:ascii="Times New Roman" w:hAnsi="Times New Roman"/>
      <w:color w:val="FFFFFF" w:themeColor="background1"/>
      <w:sz w:val="20"/>
      <w:szCs w:val="20"/>
      <w:lang w:val="en-US" w:eastAsia="zh-CN"/>
    </w:rPr>
    <w:tblPr>
      <w:tblStyleRowBandSize w:val="1"/>
      <w:tblStyleColBandSize w:val="1"/>
    </w:tblPr>
    <w:tcPr>
      <w:shd w:val="clear" w:color="auto" w:fill="214C9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0254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8386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8386B" w:themeFill="accent1" w:themeFillShade="BF"/>
      </w:tcPr>
    </w:tblStylePr>
    <w:tblStylePr w:type="band1Vert">
      <w:tblPr/>
      <w:tcPr>
        <w:tcBorders>
          <w:top w:val="nil"/>
          <w:left w:val="nil"/>
          <w:bottom w:val="nil"/>
          <w:right w:val="nil"/>
          <w:insideH w:val="nil"/>
          <w:insideV w:val="nil"/>
        </w:tcBorders>
        <w:shd w:val="clear" w:color="auto" w:fill="18386B" w:themeFill="accent1" w:themeFillShade="BF"/>
      </w:tcPr>
    </w:tblStylePr>
    <w:tblStylePr w:type="band1Horz">
      <w:tblPr/>
      <w:tcPr>
        <w:tcBorders>
          <w:top w:val="nil"/>
          <w:left w:val="nil"/>
          <w:bottom w:val="nil"/>
          <w:right w:val="nil"/>
          <w:insideH w:val="nil"/>
          <w:insideV w:val="nil"/>
        </w:tcBorders>
        <w:shd w:val="clear" w:color="auto" w:fill="18386B" w:themeFill="accent1" w:themeFillShade="BF"/>
      </w:tcPr>
    </w:tblStylePr>
  </w:style>
  <w:style w:type="table" w:customStyle="1" w:styleId="NERATable">
    <w:name w:val="NERA Table"/>
    <w:basedOn w:val="TableNormal"/>
    <w:uiPriority w:val="99"/>
    <w:rsid w:val="004154A3"/>
    <w:pPr>
      <w:spacing w:line="240" w:lineRule="auto"/>
    </w:pPr>
    <w:rPr>
      <w:rFonts w:ascii="Times New Roman" w:eastAsia="MS Mincho" w:hAnsi="Times New Roman"/>
      <w:sz w:val="20"/>
      <w:szCs w:val="20"/>
      <w:lang w:val="en-US" w:eastAsia="zh-CN"/>
    </w:rPr>
    <w:tblPr>
      <w:jc w:val="center"/>
    </w:tblPr>
    <w:trPr>
      <w:jc w:val="center"/>
    </w:trPr>
    <w:tblStylePr w:type="firstRow">
      <w:pPr>
        <w:wordWrap/>
        <w:spacing w:afterLines="0" w:after="60" w:afterAutospacing="0"/>
      </w:pPr>
      <w:rPr>
        <w:b/>
      </w:rPr>
      <w:tblPr/>
      <w:tcPr>
        <w:tcBorders>
          <w:bottom w:val="single" w:sz="4" w:space="0" w:color="auto"/>
        </w:tcBorders>
      </w:tcPr>
    </w:tblStylePr>
    <w:tblStylePr w:type="lastRow">
      <w:tblPr/>
      <w:tcPr>
        <w:tcBorders>
          <w:bottom w:val="single" w:sz="4" w:space="0" w:color="auto"/>
        </w:tcBorders>
      </w:tcPr>
    </w:tblStylePr>
    <w:tblStylePr w:type="firstCol">
      <w:rPr>
        <w:b w:val="0"/>
      </w:rPr>
      <w:tblPr/>
      <w:tcPr>
        <w:tcBorders>
          <w:top w:val="nil"/>
          <w:left w:val="nil"/>
          <w:bottom w:val="nil"/>
          <w:right w:val="nil"/>
          <w:insideH w:val="nil"/>
          <w:insideV w:val="nil"/>
          <w:tl2br w:val="nil"/>
          <w:tr2bl w:val="nil"/>
        </w:tcBorders>
      </w:tcPr>
    </w:tblStylePr>
  </w:style>
  <w:style w:type="paragraph" w:customStyle="1" w:styleId="Exhibit">
    <w:name w:val="Exhibit"/>
    <w:basedOn w:val="Normal"/>
    <w:next w:val="Normal"/>
    <w:qFormat/>
    <w:rsid w:val="00A94C5D"/>
    <w:pPr>
      <w:keepLines/>
      <w:numPr>
        <w:numId w:val="16"/>
      </w:numPr>
      <w:spacing w:after="260" w:line="240" w:lineRule="auto"/>
    </w:pPr>
    <w:rPr>
      <w:rFonts w:asciiTheme="minorHAnsi" w:eastAsiaTheme="minorEastAsia" w:hAnsiTheme="minorHAnsi" w:cstheme="minorBidi"/>
      <w:i/>
      <w:sz w:val="24"/>
      <w:szCs w:val="24"/>
      <w:lang w:val="en-GB" w:eastAsia="ja-JP"/>
    </w:rPr>
  </w:style>
  <w:style w:type="numbering" w:customStyle="1" w:styleId="HeadingsList">
    <w:name w:val="Headings List"/>
    <w:uiPriority w:val="99"/>
    <w:rsid w:val="00735C04"/>
    <w:pPr>
      <w:numPr>
        <w:numId w:val="17"/>
      </w:numPr>
    </w:pPr>
  </w:style>
  <w:style w:type="character" w:customStyle="1" w:styleId="UnresolvedMention2">
    <w:name w:val="Unresolved Mention2"/>
    <w:basedOn w:val="DefaultParagraphFont"/>
    <w:uiPriority w:val="99"/>
    <w:semiHidden/>
    <w:unhideWhenUsed/>
    <w:rsid w:val="008F3C8D"/>
    <w:rPr>
      <w:color w:val="808080"/>
      <w:shd w:val="clear" w:color="auto" w:fill="E6E6E6"/>
    </w:rPr>
  </w:style>
  <w:style w:type="paragraph" w:customStyle="1" w:styleId="Bullet1">
    <w:name w:val="Bullet 1"/>
    <w:basedOn w:val="ListParagraph"/>
    <w:link w:val="Bullet1Char"/>
    <w:qFormat/>
    <w:rsid w:val="00525115"/>
    <w:pPr>
      <w:numPr>
        <w:numId w:val="18"/>
      </w:numPr>
      <w:spacing w:after="240" w:line="276" w:lineRule="auto"/>
      <w:contextualSpacing w:val="0"/>
      <w:jc w:val="both"/>
    </w:pPr>
    <w:rPr>
      <w:rFonts w:ascii="Times New Roman" w:eastAsia="MS Mincho" w:hAnsi="Times New Roman"/>
      <w:sz w:val="24"/>
      <w:szCs w:val="20"/>
      <w:lang w:val="en-GB" w:eastAsia="ja-JP"/>
    </w:rPr>
  </w:style>
  <w:style w:type="character" w:customStyle="1" w:styleId="Bullet1Char">
    <w:name w:val="Bullet 1 Char"/>
    <w:basedOn w:val="ListParagraphChar"/>
    <w:link w:val="Bullet1"/>
    <w:rsid w:val="00525115"/>
    <w:rPr>
      <w:rFonts w:ascii="Times New Roman" w:eastAsia="MS Mincho" w:hAnsi="Times New Roman"/>
      <w:sz w:val="24"/>
      <w:szCs w:val="20"/>
      <w:lang w:val="en-GB" w:eastAsia="ja-JP"/>
    </w:rPr>
  </w:style>
  <w:style w:type="character" w:customStyle="1" w:styleId="CaptionChar">
    <w:name w:val="Caption Char"/>
    <w:basedOn w:val="DefaultParagraphFont"/>
    <w:link w:val="Caption"/>
    <w:rsid w:val="00525115"/>
    <w:rPr>
      <w:rFonts w:ascii="Arial" w:eastAsiaTheme="minorHAnsi" w:hAnsi="Arial" w:cstheme="minorBidi"/>
      <w:b/>
      <w:bCs/>
      <w:lang w:eastAsia="fr-CA"/>
    </w:rPr>
  </w:style>
  <w:style w:type="paragraph" w:customStyle="1" w:styleId="ListBullets">
    <w:name w:val="List Bullets"/>
    <w:basedOn w:val="List"/>
    <w:link w:val="ListBulletsChar"/>
    <w:rsid w:val="00525115"/>
    <w:pPr>
      <w:widowControl w:val="0"/>
      <w:numPr>
        <w:numId w:val="19"/>
      </w:numPr>
      <w:autoSpaceDE w:val="0"/>
      <w:autoSpaceDN w:val="0"/>
      <w:adjustRightInd w:val="0"/>
      <w:spacing w:after="240" w:line="240" w:lineRule="auto"/>
      <w:contextualSpacing w:val="0"/>
      <w:textboxTightWrap w:val="allLines"/>
    </w:pPr>
    <w:rPr>
      <w:rFonts w:ascii="Times New Roman" w:hAnsi="Times New Roman"/>
      <w:sz w:val="24"/>
      <w:szCs w:val="24"/>
      <w:lang w:eastAsia="en-US"/>
    </w:rPr>
  </w:style>
  <w:style w:type="character" w:customStyle="1" w:styleId="ListBulletsChar">
    <w:name w:val="List Bullets Char"/>
    <w:basedOn w:val="DefaultParagraphFont"/>
    <w:link w:val="ListBullets"/>
    <w:rsid w:val="00525115"/>
    <w:rPr>
      <w:rFonts w:ascii="Times New Roman" w:hAnsi="Times New Roman"/>
      <w:sz w:val="24"/>
      <w:szCs w:val="24"/>
      <w:lang w:eastAsia="en-US"/>
    </w:rPr>
  </w:style>
  <w:style w:type="paragraph" w:styleId="List">
    <w:name w:val="List"/>
    <w:basedOn w:val="Normal"/>
    <w:semiHidden/>
    <w:unhideWhenUsed/>
    <w:rsid w:val="00525115"/>
    <w:pPr>
      <w:ind w:left="283" w:hanging="283"/>
      <w:contextualSpacing/>
    </w:pPr>
  </w:style>
  <w:style w:type="paragraph" w:customStyle="1" w:styleId="Indent2">
    <w:name w:val="Indent 2"/>
    <w:basedOn w:val="Normal"/>
    <w:uiPriority w:val="3"/>
    <w:qFormat/>
    <w:locked/>
    <w:rsid w:val="00025F54"/>
    <w:pPr>
      <w:spacing w:before="120" w:after="120" w:line="269" w:lineRule="auto"/>
      <w:ind w:left="1134"/>
      <w:jc w:val="both"/>
    </w:pPr>
    <w:rPr>
      <w:rFonts w:ascii="Times New Roman" w:hAnsi="Times New Roman"/>
      <w:sz w:val="24"/>
      <w:szCs w:val="20"/>
      <w:lang w:eastAsia="en-US"/>
    </w:rPr>
  </w:style>
  <w:style w:type="paragraph" w:customStyle="1" w:styleId="Definitionsubparagraph">
    <w:name w:val="Definition subparagraph"/>
    <w:basedOn w:val="Indent2"/>
    <w:qFormat/>
    <w:rsid w:val="00025F54"/>
    <w:pPr>
      <w:ind w:left="1701" w:hanging="567"/>
    </w:pPr>
  </w:style>
  <w:style w:type="paragraph" w:customStyle="1" w:styleId="Definitonindent1">
    <w:name w:val="Definiton indent (1)"/>
    <w:basedOn w:val="Indent2"/>
    <w:qFormat/>
    <w:rsid w:val="00025F54"/>
    <w:pPr>
      <w:ind w:left="1701" w:hanging="567"/>
    </w:pPr>
  </w:style>
  <w:style w:type="paragraph" w:customStyle="1" w:styleId="NoteHeading1">
    <w:name w:val="Note Heading1"/>
    <w:basedOn w:val="Indent2"/>
    <w:qFormat/>
    <w:rsid w:val="00036CDC"/>
    <w:pPr>
      <w:keepNext/>
    </w:pPr>
    <w:rPr>
      <w:rFonts w:ascii="Arial" w:hAnsi="Arial"/>
      <w:b/>
      <w:sz w:val="18"/>
    </w:rPr>
  </w:style>
  <w:style w:type="paragraph" w:customStyle="1" w:styleId="Definitionssubparagraph">
    <w:name w:val="Definitions sub paragraph"/>
    <w:basedOn w:val="Indent2"/>
    <w:qFormat/>
    <w:rsid w:val="00BB10A8"/>
    <w:pPr>
      <w:ind w:left="1701" w:hanging="567"/>
    </w:pPr>
  </w:style>
  <w:style w:type="paragraph" w:customStyle="1" w:styleId="Definitionindent2">
    <w:name w:val="Definition indent 2"/>
    <w:basedOn w:val="Definitionssubparagraph"/>
    <w:qFormat/>
    <w:rsid w:val="00BB10A8"/>
    <w:pPr>
      <w:ind w:left="2268"/>
    </w:pPr>
  </w:style>
  <w:style w:type="character" w:customStyle="1" w:styleId="EMR-Term-Local">
    <w:name w:val="EMR-Term-Local"/>
    <w:uiPriority w:val="99"/>
    <w:rsid w:val="00110FC0"/>
    <w:rPr>
      <w:b/>
      <w:bCs/>
      <w:w w:val="100"/>
    </w:rPr>
  </w:style>
  <w:style w:type="character" w:customStyle="1" w:styleId="UnresolvedMention3">
    <w:name w:val="Unresolved Mention3"/>
    <w:basedOn w:val="DefaultParagraphFont"/>
    <w:uiPriority w:val="99"/>
    <w:semiHidden/>
    <w:unhideWhenUsed/>
    <w:rsid w:val="00452066"/>
    <w:rPr>
      <w:color w:val="808080"/>
      <w:shd w:val="clear" w:color="auto" w:fill="E6E6E6"/>
    </w:rPr>
  </w:style>
  <w:style w:type="paragraph" w:customStyle="1" w:styleId="Indent3">
    <w:name w:val="Indent 3"/>
    <w:basedOn w:val="Normal"/>
    <w:uiPriority w:val="3"/>
    <w:qFormat/>
    <w:locked/>
    <w:rsid w:val="007174BC"/>
    <w:pPr>
      <w:spacing w:before="120" w:after="120" w:line="269" w:lineRule="auto"/>
      <w:ind w:left="1701"/>
      <w:jc w:val="both"/>
    </w:pPr>
    <w:rPr>
      <w:rFonts w:ascii="Times New Roman" w:hAnsi="Times New Roman"/>
      <w:sz w:val="24"/>
      <w:szCs w:val="20"/>
      <w:lang w:eastAsia="en-US"/>
    </w:rPr>
  </w:style>
  <w:style w:type="paragraph" w:customStyle="1" w:styleId="Noteexplain">
    <w:name w:val="Note explain"/>
    <w:basedOn w:val="Indent2"/>
    <w:qFormat/>
    <w:rsid w:val="00EE580F"/>
    <w:rPr>
      <w:sz w:val="20"/>
    </w:rPr>
  </w:style>
  <w:style w:type="character" w:customStyle="1" w:styleId="UnresolvedMention4">
    <w:name w:val="Unresolved Mention4"/>
    <w:basedOn w:val="DefaultParagraphFont"/>
    <w:uiPriority w:val="99"/>
    <w:semiHidden/>
    <w:unhideWhenUsed/>
    <w:rsid w:val="0055731F"/>
    <w:rPr>
      <w:color w:val="808080"/>
      <w:shd w:val="clear" w:color="auto" w:fill="E6E6E6"/>
    </w:rPr>
  </w:style>
  <w:style w:type="paragraph" w:customStyle="1" w:styleId="EMR-Explain-Para">
    <w:name w:val="EMR-Explain-Para"/>
    <w:basedOn w:val="Normal"/>
    <w:uiPriority w:val="99"/>
    <w:rsid w:val="00CF3C76"/>
    <w:pPr>
      <w:autoSpaceDE w:val="0"/>
      <w:autoSpaceDN w:val="0"/>
      <w:adjustRightInd w:val="0"/>
      <w:spacing w:before="120" w:after="120" w:line="240" w:lineRule="auto"/>
      <w:ind w:left="1134"/>
      <w:jc w:val="both"/>
    </w:pPr>
    <w:rPr>
      <w:rFonts w:ascii="Times New Roman" w:eastAsiaTheme="minorEastAsia" w:hAnsi="Times New Roman"/>
      <w:color w:val="000000"/>
      <w:sz w:val="20"/>
      <w:szCs w:val="20"/>
    </w:rPr>
  </w:style>
  <w:style w:type="paragraph" w:customStyle="1" w:styleId="Listalphabet5">
    <w:name w:val="List alphabet 5"/>
    <w:rsid w:val="00CA4C32"/>
    <w:pPr>
      <w:numPr>
        <w:numId w:val="22"/>
      </w:numPr>
      <w:tabs>
        <w:tab w:val="left" w:pos="1701"/>
      </w:tabs>
      <w:spacing w:before="120" w:line="240" w:lineRule="auto"/>
    </w:pPr>
    <w:rPr>
      <w:rFonts w:ascii="Arial" w:eastAsiaTheme="minorHAnsi" w:hAnsi="Arial" w:cstheme="minorBidi"/>
      <w:lang w:eastAsia="en-US"/>
    </w:rPr>
  </w:style>
  <w:style w:type="table" w:customStyle="1" w:styleId="PullOutBoxTable1">
    <w:name w:val="Pull Out Box Table1"/>
    <w:basedOn w:val="TableNormal"/>
    <w:uiPriority w:val="99"/>
    <w:rsid w:val="0073098E"/>
    <w:pPr>
      <w:spacing w:line="240" w:lineRule="auto"/>
    </w:pPr>
    <w:tblPr>
      <w:tblCellMar>
        <w:top w:w="142" w:type="dxa"/>
        <w:left w:w="170" w:type="dxa"/>
        <w:bottom w:w="142" w:type="dxa"/>
        <w:right w:w="170" w:type="dxa"/>
      </w:tblCellMar>
    </w:tblPr>
    <w:tcPr>
      <w:shd w:val="clear" w:color="auto" w:fill="E1E2E7" w:themeFill="background2"/>
    </w:tcPr>
  </w:style>
  <w:style w:type="table" w:customStyle="1" w:styleId="ACCCTable1">
    <w:name w:val="ACCC Table1"/>
    <w:basedOn w:val="TableNormal"/>
    <w:next w:val="TableGrid"/>
    <w:uiPriority w:val="59"/>
    <w:rsid w:val="0073098E"/>
    <w:pPr>
      <w:spacing w:before="60" w:after="60"/>
      <w:ind w:left="85" w:right="85"/>
    </w:pPr>
    <w:rPr>
      <w:sz w:val="18"/>
    </w:rPr>
    <w:tblPr>
      <w:tblStyleRowBandSize w:val="1"/>
      <w:tblBorders>
        <w:top w:val="single" w:sz="4" w:space="0" w:color="auto"/>
        <w:bottom w:val="single" w:sz="4" w:space="0" w:color="auto"/>
        <w:insideH w:val="single" w:sz="4" w:space="0" w:color="auto"/>
        <w:insideV w:val="single" w:sz="4" w:space="0" w:color="auto"/>
      </w:tblBorders>
      <w:tblCellMar>
        <w:left w:w="0" w:type="dxa"/>
        <w:right w:w="0" w:type="dxa"/>
      </w:tblCellMar>
    </w:tblPr>
    <w:tblStylePr w:type="firstRow">
      <w:rPr>
        <w:b/>
        <w:color w:val="FFFFFF"/>
      </w:rPr>
      <w:tblPr/>
      <w:tcPr>
        <w:shd w:val="clear" w:color="auto" w:fill="214C90" w:themeFill="text2"/>
      </w:tcPr>
    </w:tblStylePr>
    <w:tblStylePr w:type="band2Horz">
      <w:tblPr/>
      <w:tcPr>
        <w:shd w:val="clear" w:color="auto" w:fill="E1E2E7" w:themeFill="background2"/>
      </w:tcPr>
    </w:tblStylePr>
  </w:style>
  <w:style w:type="paragraph" w:customStyle="1" w:styleId="TableParagraph">
    <w:name w:val="Table Paragraph"/>
    <w:basedOn w:val="Normal"/>
    <w:uiPriority w:val="1"/>
    <w:qFormat/>
    <w:rsid w:val="008B66B4"/>
    <w:pPr>
      <w:widowControl w:val="0"/>
      <w:autoSpaceDE w:val="0"/>
      <w:autoSpaceDN w:val="0"/>
      <w:spacing w:line="240" w:lineRule="auto"/>
    </w:pPr>
    <w:rPr>
      <w:rFonts w:eastAsia="Arial" w:cs="Arial"/>
      <w:lang w:bidi="en-AU"/>
    </w:rPr>
  </w:style>
  <w:style w:type="table" w:customStyle="1" w:styleId="ACCCTable11">
    <w:name w:val="ACCC Table11"/>
    <w:basedOn w:val="TableNormal"/>
    <w:next w:val="TableGrid"/>
    <w:uiPriority w:val="59"/>
    <w:rsid w:val="008B66B4"/>
    <w:pPr>
      <w:spacing w:before="60" w:after="60"/>
      <w:ind w:left="85" w:right="85"/>
    </w:pPr>
    <w:rPr>
      <w:sz w:val="18"/>
    </w:rPr>
    <w:tblPr>
      <w:tblStyleRowBandSize w:val="1"/>
      <w:tblBorders>
        <w:top w:val="single" w:sz="4" w:space="0" w:color="auto"/>
        <w:bottom w:val="single" w:sz="4" w:space="0" w:color="auto"/>
        <w:insideH w:val="single" w:sz="4" w:space="0" w:color="auto"/>
        <w:insideV w:val="single" w:sz="4" w:space="0" w:color="auto"/>
      </w:tblBorders>
      <w:tblCellMar>
        <w:left w:w="0" w:type="dxa"/>
        <w:right w:w="0" w:type="dxa"/>
      </w:tblCellMar>
    </w:tblPr>
    <w:tblStylePr w:type="firstRow">
      <w:rPr>
        <w:b/>
        <w:color w:val="FFFFFF"/>
      </w:rPr>
      <w:tblPr/>
      <w:tcPr>
        <w:shd w:val="clear" w:color="auto" w:fill="214C90" w:themeFill="text2"/>
      </w:tcPr>
    </w:tblStylePr>
    <w:tblStylePr w:type="band2Horz">
      <w:tblPr/>
      <w:tcPr>
        <w:shd w:val="clear" w:color="auto" w:fill="E1E2E7" w:themeFill="background2"/>
      </w:tcPr>
    </w:tblStylePr>
  </w:style>
  <w:style w:type="paragraph" w:customStyle="1" w:styleId="Consultquestionparagraph">
    <w:name w:val="Consult question paragraph"/>
    <w:basedOn w:val="Normal"/>
    <w:qFormat/>
    <w:rsid w:val="00D115DB"/>
    <w:pPr>
      <w:keepNext/>
      <w:numPr>
        <w:numId w:val="21"/>
      </w:numPr>
      <w:tabs>
        <w:tab w:val="left" w:pos="340"/>
      </w:tabs>
      <w:spacing w:before="60" w:line="240" w:lineRule="auto"/>
      <w:ind w:left="369" w:right="85" w:hanging="284"/>
    </w:pPr>
    <w:rPr>
      <w:rFonts w:cstheme="majorBidi"/>
      <w:b/>
      <w:color w:val="000000" w:themeColor="text1"/>
      <w:sz w:val="20"/>
      <w:szCs w:val="20"/>
    </w:rPr>
  </w:style>
  <w:style w:type="table" w:customStyle="1" w:styleId="ACCCTable2">
    <w:name w:val="ACCC Table2"/>
    <w:basedOn w:val="TableNormal"/>
    <w:next w:val="TableGrid"/>
    <w:uiPriority w:val="59"/>
    <w:rsid w:val="00E27C9A"/>
    <w:pPr>
      <w:spacing w:before="60" w:after="60" w:line="240" w:lineRule="auto"/>
    </w:pPr>
    <w:rPr>
      <w:rFonts w:ascii="Arial" w:eastAsia="Arial" w:hAnsi="Arial"/>
      <w:sz w:val="20"/>
      <w:lang w:eastAsia="en-US"/>
    </w:rPr>
    <w:tblPr>
      <w:tblBorders>
        <w:top w:val="single" w:sz="4" w:space="0" w:color="BFBFBF"/>
        <w:bottom w:val="single" w:sz="4" w:space="0" w:color="BFBF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left w:val="nil"/>
          <w:bottom w:val="single" w:sz="4" w:space="0" w:color="BFBF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customStyle="1" w:styleId="PullOutBoxTable2">
    <w:name w:val="Pull Out Box Table2"/>
    <w:basedOn w:val="TableNormal"/>
    <w:uiPriority w:val="99"/>
    <w:rsid w:val="00E27C9A"/>
    <w:pPr>
      <w:spacing w:line="240" w:lineRule="auto"/>
    </w:pPr>
    <w:tblPr>
      <w:tblCellMar>
        <w:top w:w="142" w:type="dxa"/>
        <w:left w:w="170" w:type="dxa"/>
        <w:bottom w:w="142" w:type="dxa"/>
        <w:right w:w="170" w:type="dxa"/>
      </w:tblCellMar>
    </w:tblPr>
    <w:tcPr>
      <w:shd w:val="clear" w:color="auto" w:fill="D5D6D2"/>
    </w:tcPr>
  </w:style>
  <w:style w:type="paragraph" w:customStyle="1" w:styleId="Newtablebullet">
    <w:name w:val="New table bullet"/>
    <w:basedOn w:val="Normal"/>
    <w:qFormat/>
    <w:rsid w:val="008619F8"/>
    <w:pPr>
      <w:numPr>
        <w:numId w:val="7"/>
      </w:numPr>
      <w:spacing w:before="60" w:after="60"/>
      <w:ind w:right="85"/>
    </w:pPr>
    <w:rPr>
      <w:rFonts w:cs="Arial"/>
      <w:sz w:val="18"/>
    </w:rPr>
  </w:style>
  <w:style w:type="character" w:customStyle="1" w:styleId="Tabletext-centredChar">
    <w:name w:val="Table text - centred Char"/>
    <w:basedOn w:val="DefaultParagraphFont"/>
    <w:link w:val="Tabletext-centred"/>
    <w:locked/>
    <w:rsid w:val="00972537"/>
    <w:rPr>
      <w:rFonts w:ascii="Arial" w:hAnsi="Arial"/>
      <w:sz w:val="20"/>
      <w:szCs w:val="20"/>
    </w:rPr>
  </w:style>
  <w:style w:type="paragraph" w:customStyle="1" w:styleId="Tabletext-centred">
    <w:name w:val="Table text - centred"/>
    <w:basedOn w:val="Normal"/>
    <w:link w:val="Tabletext-centredChar"/>
    <w:rsid w:val="00972537"/>
    <w:pPr>
      <w:spacing w:before="120" w:after="60" w:line="240" w:lineRule="auto"/>
      <w:jc w:val="center"/>
    </w:pPr>
    <w:rPr>
      <w:sz w:val="20"/>
      <w:szCs w:val="20"/>
    </w:rPr>
  </w:style>
  <w:style w:type="paragraph" w:customStyle="1" w:styleId="Tablebullet1">
    <w:name w:val="Table bullet 1"/>
    <w:basedOn w:val="ListParagraph"/>
    <w:link w:val="Tablebullet1Char"/>
    <w:qFormat/>
    <w:rsid w:val="00972537"/>
    <w:pPr>
      <w:numPr>
        <w:numId w:val="23"/>
      </w:numPr>
      <w:spacing w:before="20" w:after="40" w:line="240" w:lineRule="auto"/>
      <w:ind w:left="369" w:hanging="284"/>
    </w:pPr>
    <w:rPr>
      <w:rFonts w:eastAsia="Arial"/>
      <w:sz w:val="20"/>
      <w:lang w:eastAsia="en-US"/>
    </w:rPr>
  </w:style>
  <w:style w:type="character" w:customStyle="1" w:styleId="Tablebullet1Char">
    <w:name w:val="Table bullet 1 Char"/>
    <w:basedOn w:val="DefaultParagraphFont"/>
    <w:link w:val="Tablebullet1"/>
    <w:rsid w:val="00972537"/>
    <w:rPr>
      <w:rFonts w:eastAsia="Arial"/>
      <w:sz w:val="20"/>
      <w:lang w:eastAsia="en-US"/>
    </w:rPr>
  </w:style>
  <w:style w:type="paragraph" w:customStyle="1" w:styleId="Table2">
    <w:name w:val="Table 2"/>
    <w:basedOn w:val="TableBullet10"/>
    <w:link w:val="Table2Char"/>
    <w:qFormat/>
    <w:rsid w:val="00621D15"/>
    <w:pPr>
      <w:numPr>
        <w:numId w:val="24"/>
      </w:numPr>
      <w:spacing w:before="40" w:after="40" w:line="252" w:lineRule="auto"/>
      <w:ind w:right="0"/>
    </w:pPr>
    <w:rPr>
      <w:rFonts w:eastAsia="Arial"/>
      <w:color w:val="000000" w:themeColor="text1"/>
      <w:szCs w:val="18"/>
      <w:lang w:eastAsia="fr-CA"/>
    </w:rPr>
  </w:style>
  <w:style w:type="character" w:customStyle="1" w:styleId="Table2Char">
    <w:name w:val="Table 2 Char"/>
    <w:basedOn w:val="Tablebullet1Char"/>
    <w:link w:val="Table2"/>
    <w:rsid w:val="00621D15"/>
    <w:rPr>
      <w:rFonts w:ascii="Arial" w:eastAsia="Arial" w:hAnsi="Arial" w:cs="Arial"/>
      <w:color w:val="000000" w:themeColor="text1"/>
      <w:sz w:val="18"/>
      <w:szCs w:val="18"/>
      <w:lang w:eastAsia="fr-CA"/>
    </w:rPr>
  </w:style>
  <w:style w:type="table" w:customStyle="1" w:styleId="TableGrid91">
    <w:name w:val="Table Grid91"/>
    <w:basedOn w:val="TableNormal"/>
    <w:next w:val="TableGrid"/>
    <w:uiPriority w:val="39"/>
    <w:rsid w:val="003F06EA"/>
    <w:pPr>
      <w:spacing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phasisItalics">
    <w:name w:val="Emphasis Italics"/>
    <w:uiPriority w:val="1"/>
    <w:rsid w:val="00C57CF8"/>
    <w:rPr>
      <w:i/>
      <w:lang w:eastAsia="en-US"/>
    </w:rPr>
  </w:style>
  <w:style w:type="character" w:customStyle="1" w:styleId="TableBodyTextChar">
    <w:name w:val="Table Body Text Char"/>
    <w:basedOn w:val="BodyTextChar"/>
    <w:link w:val="TableBodyText"/>
    <w:rsid w:val="008619F8"/>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3572">
      <w:bodyDiv w:val="1"/>
      <w:marLeft w:val="0"/>
      <w:marRight w:val="0"/>
      <w:marTop w:val="0"/>
      <w:marBottom w:val="0"/>
      <w:divBdr>
        <w:top w:val="none" w:sz="0" w:space="0" w:color="auto"/>
        <w:left w:val="none" w:sz="0" w:space="0" w:color="auto"/>
        <w:bottom w:val="none" w:sz="0" w:space="0" w:color="auto"/>
        <w:right w:val="none" w:sz="0" w:space="0" w:color="auto"/>
      </w:divBdr>
      <w:divsChild>
        <w:div w:id="1574465123">
          <w:marLeft w:val="0"/>
          <w:marRight w:val="0"/>
          <w:marTop w:val="0"/>
          <w:marBottom w:val="0"/>
          <w:divBdr>
            <w:top w:val="none" w:sz="0" w:space="0" w:color="auto"/>
            <w:left w:val="none" w:sz="0" w:space="0" w:color="auto"/>
            <w:bottom w:val="none" w:sz="0" w:space="0" w:color="auto"/>
            <w:right w:val="none" w:sz="0" w:space="0" w:color="auto"/>
          </w:divBdr>
          <w:divsChild>
            <w:div w:id="144627051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6514405">
      <w:bodyDiv w:val="1"/>
      <w:marLeft w:val="0"/>
      <w:marRight w:val="0"/>
      <w:marTop w:val="0"/>
      <w:marBottom w:val="0"/>
      <w:divBdr>
        <w:top w:val="none" w:sz="0" w:space="0" w:color="auto"/>
        <w:left w:val="none" w:sz="0" w:space="0" w:color="auto"/>
        <w:bottom w:val="none" w:sz="0" w:space="0" w:color="auto"/>
        <w:right w:val="none" w:sz="0" w:space="0" w:color="auto"/>
      </w:divBdr>
    </w:div>
    <w:div w:id="82846156">
      <w:bodyDiv w:val="1"/>
      <w:marLeft w:val="0"/>
      <w:marRight w:val="0"/>
      <w:marTop w:val="0"/>
      <w:marBottom w:val="0"/>
      <w:divBdr>
        <w:top w:val="none" w:sz="0" w:space="0" w:color="auto"/>
        <w:left w:val="none" w:sz="0" w:space="0" w:color="auto"/>
        <w:bottom w:val="none" w:sz="0" w:space="0" w:color="auto"/>
        <w:right w:val="none" w:sz="0" w:space="0" w:color="auto"/>
      </w:divBdr>
    </w:div>
    <w:div w:id="91779223">
      <w:bodyDiv w:val="1"/>
      <w:marLeft w:val="0"/>
      <w:marRight w:val="0"/>
      <w:marTop w:val="0"/>
      <w:marBottom w:val="0"/>
      <w:divBdr>
        <w:top w:val="none" w:sz="0" w:space="0" w:color="auto"/>
        <w:left w:val="none" w:sz="0" w:space="0" w:color="auto"/>
        <w:bottom w:val="none" w:sz="0" w:space="0" w:color="auto"/>
        <w:right w:val="none" w:sz="0" w:space="0" w:color="auto"/>
      </w:divBdr>
      <w:divsChild>
        <w:div w:id="801384474">
          <w:marLeft w:val="547"/>
          <w:marRight w:val="0"/>
          <w:marTop w:val="120"/>
          <w:marBottom w:val="120"/>
          <w:divBdr>
            <w:top w:val="none" w:sz="0" w:space="0" w:color="auto"/>
            <w:left w:val="none" w:sz="0" w:space="0" w:color="auto"/>
            <w:bottom w:val="none" w:sz="0" w:space="0" w:color="auto"/>
            <w:right w:val="none" w:sz="0" w:space="0" w:color="auto"/>
          </w:divBdr>
        </w:div>
        <w:div w:id="888569436">
          <w:marLeft w:val="547"/>
          <w:marRight w:val="0"/>
          <w:marTop w:val="120"/>
          <w:marBottom w:val="120"/>
          <w:divBdr>
            <w:top w:val="none" w:sz="0" w:space="0" w:color="auto"/>
            <w:left w:val="none" w:sz="0" w:space="0" w:color="auto"/>
            <w:bottom w:val="none" w:sz="0" w:space="0" w:color="auto"/>
            <w:right w:val="none" w:sz="0" w:space="0" w:color="auto"/>
          </w:divBdr>
        </w:div>
      </w:divsChild>
    </w:div>
    <w:div w:id="108211038">
      <w:bodyDiv w:val="1"/>
      <w:marLeft w:val="0"/>
      <w:marRight w:val="0"/>
      <w:marTop w:val="0"/>
      <w:marBottom w:val="0"/>
      <w:divBdr>
        <w:top w:val="none" w:sz="0" w:space="0" w:color="auto"/>
        <w:left w:val="none" w:sz="0" w:space="0" w:color="auto"/>
        <w:bottom w:val="none" w:sz="0" w:space="0" w:color="auto"/>
        <w:right w:val="none" w:sz="0" w:space="0" w:color="auto"/>
      </w:divBdr>
    </w:div>
    <w:div w:id="108933404">
      <w:bodyDiv w:val="1"/>
      <w:marLeft w:val="0"/>
      <w:marRight w:val="0"/>
      <w:marTop w:val="0"/>
      <w:marBottom w:val="0"/>
      <w:divBdr>
        <w:top w:val="none" w:sz="0" w:space="0" w:color="auto"/>
        <w:left w:val="none" w:sz="0" w:space="0" w:color="auto"/>
        <w:bottom w:val="none" w:sz="0" w:space="0" w:color="auto"/>
        <w:right w:val="none" w:sz="0" w:space="0" w:color="auto"/>
      </w:divBdr>
    </w:div>
    <w:div w:id="128862405">
      <w:bodyDiv w:val="1"/>
      <w:marLeft w:val="0"/>
      <w:marRight w:val="0"/>
      <w:marTop w:val="0"/>
      <w:marBottom w:val="0"/>
      <w:divBdr>
        <w:top w:val="none" w:sz="0" w:space="0" w:color="auto"/>
        <w:left w:val="none" w:sz="0" w:space="0" w:color="auto"/>
        <w:bottom w:val="none" w:sz="0" w:space="0" w:color="auto"/>
        <w:right w:val="none" w:sz="0" w:space="0" w:color="auto"/>
      </w:divBdr>
    </w:div>
    <w:div w:id="149255328">
      <w:bodyDiv w:val="1"/>
      <w:marLeft w:val="0"/>
      <w:marRight w:val="0"/>
      <w:marTop w:val="0"/>
      <w:marBottom w:val="0"/>
      <w:divBdr>
        <w:top w:val="none" w:sz="0" w:space="0" w:color="auto"/>
        <w:left w:val="none" w:sz="0" w:space="0" w:color="auto"/>
        <w:bottom w:val="none" w:sz="0" w:space="0" w:color="auto"/>
        <w:right w:val="none" w:sz="0" w:space="0" w:color="auto"/>
      </w:divBdr>
    </w:div>
    <w:div w:id="171145230">
      <w:bodyDiv w:val="1"/>
      <w:marLeft w:val="0"/>
      <w:marRight w:val="0"/>
      <w:marTop w:val="0"/>
      <w:marBottom w:val="0"/>
      <w:divBdr>
        <w:top w:val="none" w:sz="0" w:space="0" w:color="auto"/>
        <w:left w:val="none" w:sz="0" w:space="0" w:color="auto"/>
        <w:bottom w:val="none" w:sz="0" w:space="0" w:color="auto"/>
        <w:right w:val="none" w:sz="0" w:space="0" w:color="auto"/>
      </w:divBdr>
    </w:div>
    <w:div w:id="188567540">
      <w:bodyDiv w:val="1"/>
      <w:marLeft w:val="0"/>
      <w:marRight w:val="0"/>
      <w:marTop w:val="0"/>
      <w:marBottom w:val="0"/>
      <w:divBdr>
        <w:top w:val="none" w:sz="0" w:space="0" w:color="auto"/>
        <w:left w:val="none" w:sz="0" w:space="0" w:color="auto"/>
        <w:bottom w:val="none" w:sz="0" w:space="0" w:color="auto"/>
        <w:right w:val="none" w:sz="0" w:space="0" w:color="auto"/>
      </w:divBdr>
    </w:div>
    <w:div w:id="217205931">
      <w:bodyDiv w:val="1"/>
      <w:marLeft w:val="0"/>
      <w:marRight w:val="0"/>
      <w:marTop w:val="0"/>
      <w:marBottom w:val="0"/>
      <w:divBdr>
        <w:top w:val="none" w:sz="0" w:space="0" w:color="auto"/>
        <w:left w:val="none" w:sz="0" w:space="0" w:color="auto"/>
        <w:bottom w:val="none" w:sz="0" w:space="0" w:color="auto"/>
        <w:right w:val="none" w:sz="0" w:space="0" w:color="auto"/>
      </w:divBdr>
    </w:div>
    <w:div w:id="245505233">
      <w:bodyDiv w:val="1"/>
      <w:marLeft w:val="0"/>
      <w:marRight w:val="0"/>
      <w:marTop w:val="0"/>
      <w:marBottom w:val="0"/>
      <w:divBdr>
        <w:top w:val="none" w:sz="0" w:space="0" w:color="auto"/>
        <w:left w:val="none" w:sz="0" w:space="0" w:color="auto"/>
        <w:bottom w:val="none" w:sz="0" w:space="0" w:color="auto"/>
        <w:right w:val="none" w:sz="0" w:space="0" w:color="auto"/>
      </w:divBdr>
    </w:div>
    <w:div w:id="252278018">
      <w:bodyDiv w:val="1"/>
      <w:marLeft w:val="0"/>
      <w:marRight w:val="0"/>
      <w:marTop w:val="0"/>
      <w:marBottom w:val="0"/>
      <w:divBdr>
        <w:top w:val="none" w:sz="0" w:space="0" w:color="auto"/>
        <w:left w:val="none" w:sz="0" w:space="0" w:color="auto"/>
        <w:bottom w:val="none" w:sz="0" w:space="0" w:color="auto"/>
        <w:right w:val="none" w:sz="0" w:space="0" w:color="auto"/>
      </w:divBdr>
      <w:divsChild>
        <w:div w:id="73209317">
          <w:marLeft w:val="446"/>
          <w:marRight w:val="0"/>
          <w:marTop w:val="200"/>
          <w:marBottom w:val="200"/>
          <w:divBdr>
            <w:top w:val="none" w:sz="0" w:space="0" w:color="auto"/>
            <w:left w:val="none" w:sz="0" w:space="0" w:color="auto"/>
            <w:bottom w:val="none" w:sz="0" w:space="0" w:color="auto"/>
            <w:right w:val="none" w:sz="0" w:space="0" w:color="auto"/>
          </w:divBdr>
        </w:div>
        <w:div w:id="411244741">
          <w:marLeft w:val="446"/>
          <w:marRight w:val="0"/>
          <w:marTop w:val="200"/>
          <w:marBottom w:val="200"/>
          <w:divBdr>
            <w:top w:val="none" w:sz="0" w:space="0" w:color="auto"/>
            <w:left w:val="none" w:sz="0" w:space="0" w:color="auto"/>
            <w:bottom w:val="none" w:sz="0" w:space="0" w:color="auto"/>
            <w:right w:val="none" w:sz="0" w:space="0" w:color="auto"/>
          </w:divBdr>
        </w:div>
      </w:divsChild>
    </w:div>
    <w:div w:id="254674782">
      <w:bodyDiv w:val="1"/>
      <w:marLeft w:val="0"/>
      <w:marRight w:val="0"/>
      <w:marTop w:val="0"/>
      <w:marBottom w:val="0"/>
      <w:divBdr>
        <w:top w:val="none" w:sz="0" w:space="0" w:color="auto"/>
        <w:left w:val="none" w:sz="0" w:space="0" w:color="auto"/>
        <w:bottom w:val="none" w:sz="0" w:space="0" w:color="auto"/>
        <w:right w:val="none" w:sz="0" w:space="0" w:color="auto"/>
      </w:divBdr>
    </w:div>
    <w:div w:id="263197748">
      <w:bodyDiv w:val="1"/>
      <w:marLeft w:val="0"/>
      <w:marRight w:val="0"/>
      <w:marTop w:val="0"/>
      <w:marBottom w:val="0"/>
      <w:divBdr>
        <w:top w:val="none" w:sz="0" w:space="0" w:color="auto"/>
        <w:left w:val="none" w:sz="0" w:space="0" w:color="auto"/>
        <w:bottom w:val="none" w:sz="0" w:space="0" w:color="auto"/>
        <w:right w:val="none" w:sz="0" w:space="0" w:color="auto"/>
      </w:divBdr>
    </w:div>
    <w:div w:id="263879027">
      <w:bodyDiv w:val="1"/>
      <w:marLeft w:val="0"/>
      <w:marRight w:val="0"/>
      <w:marTop w:val="0"/>
      <w:marBottom w:val="0"/>
      <w:divBdr>
        <w:top w:val="none" w:sz="0" w:space="0" w:color="auto"/>
        <w:left w:val="none" w:sz="0" w:space="0" w:color="auto"/>
        <w:bottom w:val="none" w:sz="0" w:space="0" w:color="auto"/>
        <w:right w:val="none" w:sz="0" w:space="0" w:color="auto"/>
      </w:divBdr>
    </w:div>
    <w:div w:id="288244801">
      <w:bodyDiv w:val="1"/>
      <w:marLeft w:val="0"/>
      <w:marRight w:val="0"/>
      <w:marTop w:val="0"/>
      <w:marBottom w:val="0"/>
      <w:divBdr>
        <w:top w:val="none" w:sz="0" w:space="0" w:color="auto"/>
        <w:left w:val="none" w:sz="0" w:space="0" w:color="auto"/>
        <w:bottom w:val="none" w:sz="0" w:space="0" w:color="auto"/>
        <w:right w:val="none" w:sz="0" w:space="0" w:color="auto"/>
      </w:divBdr>
      <w:divsChild>
        <w:div w:id="274605286">
          <w:marLeft w:val="446"/>
          <w:marRight w:val="0"/>
          <w:marTop w:val="180"/>
          <w:marBottom w:val="0"/>
          <w:divBdr>
            <w:top w:val="none" w:sz="0" w:space="0" w:color="auto"/>
            <w:left w:val="none" w:sz="0" w:space="0" w:color="auto"/>
            <w:bottom w:val="none" w:sz="0" w:space="0" w:color="auto"/>
            <w:right w:val="none" w:sz="0" w:space="0" w:color="auto"/>
          </w:divBdr>
        </w:div>
        <w:div w:id="850073378">
          <w:marLeft w:val="446"/>
          <w:marRight w:val="0"/>
          <w:marTop w:val="200"/>
          <w:marBottom w:val="0"/>
          <w:divBdr>
            <w:top w:val="none" w:sz="0" w:space="0" w:color="auto"/>
            <w:left w:val="none" w:sz="0" w:space="0" w:color="auto"/>
            <w:bottom w:val="none" w:sz="0" w:space="0" w:color="auto"/>
            <w:right w:val="none" w:sz="0" w:space="0" w:color="auto"/>
          </w:divBdr>
        </w:div>
        <w:div w:id="1120878842">
          <w:marLeft w:val="446"/>
          <w:marRight w:val="0"/>
          <w:marTop w:val="200"/>
          <w:marBottom w:val="0"/>
          <w:divBdr>
            <w:top w:val="none" w:sz="0" w:space="0" w:color="auto"/>
            <w:left w:val="none" w:sz="0" w:space="0" w:color="auto"/>
            <w:bottom w:val="none" w:sz="0" w:space="0" w:color="auto"/>
            <w:right w:val="none" w:sz="0" w:space="0" w:color="auto"/>
          </w:divBdr>
        </w:div>
        <w:div w:id="1251086855">
          <w:marLeft w:val="446"/>
          <w:marRight w:val="0"/>
          <w:marTop w:val="200"/>
          <w:marBottom w:val="0"/>
          <w:divBdr>
            <w:top w:val="none" w:sz="0" w:space="0" w:color="auto"/>
            <w:left w:val="none" w:sz="0" w:space="0" w:color="auto"/>
            <w:bottom w:val="none" w:sz="0" w:space="0" w:color="auto"/>
            <w:right w:val="none" w:sz="0" w:space="0" w:color="auto"/>
          </w:divBdr>
        </w:div>
        <w:div w:id="1352533981">
          <w:marLeft w:val="446"/>
          <w:marRight w:val="0"/>
          <w:marTop w:val="200"/>
          <w:marBottom w:val="200"/>
          <w:divBdr>
            <w:top w:val="none" w:sz="0" w:space="0" w:color="auto"/>
            <w:left w:val="none" w:sz="0" w:space="0" w:color="auto"/>
            <w:bottom w:val="none" w:sz="0" w:space="0" w:color="auto"/>
            <w:right w:val="none" w:sz="0" w:space="0" w:color="auto"/>
          </w:divBdr>
        </w:div>
        <w:div w:id="1967391334">
          <w:marLeft w:val="446"/>
          <w:marRight w:val="0"/>
          <w:marTop w:val="200"/>
          <w:marBottom w:val="0"/>
          <w:divBdr>
            <w:top w:val="none" w:sz="0" w:space="0" w:color="auto"/>
            <w:left w:val="none" w:sz="0" w:space="0" w:color="auto"/>
            <w:bottom w:val="none" w:sz="0" w:space="0" w:color="auto"/>
            <w:right w:val="none" w:sz="0" w:space="0" w:color="auto"/>
          </w:divBdr>
        </w:div>
      </w:divsChild>
    </w:div>
    <w:div w:id="294725872">
      <w:bodyDiv w:val="1"/>
      <w:marLeft w:val="0"/>
      <w:marRight w:val="0"/>
      <w:marTop w:val="0"/>
      <w:marBottom w:val="0"/>
      <w:divBdr>
        <w:top w:val="none" w:sz="0" w:space="0" w:color="auto"/>
        <w:left w:val="none" w:sz="0" w:space="0" w:color="auto"/>
        <w:bottom w:val="none" w:sz="0" w:space="0" w:color="auto"/>
        <w:right w:val="none" w:sz="0" w:space="0" w:color="auto"/>
      </w:divBdr>
    </w:div>
    <w:div w:id="311563272">
      <w:bodyDiv w:val="1"/>
      <w:marLeft w:val="0"/>
      <w:marRight w:val="0"/>
      <w:marTop w:val="0"/>
      <w:marBottom w:val="0"/>
      <w:divBdr>
        <w:top w:val="none" w:sz="0" w:space="0" w:color="auto"/>
        <w:left w:val="none" w:sz="0" w:space="0" w:color="auto"/>
        <w:bottom w:val="none" w:sz="0" w:space="0" w:color="auto"/>
        <w:right w:val="none" w:sz="0" w:space="0" w:color="auto"/>
      </w:divBdr>
    </w:div>
    <w:div w:id="316688687">
      <w:bodyDiv w:val="1"/>
      <w:marLeft w:val="0"/>
      <w:marRight w:val="0"/>
      <w:marTop w:val="0"/>
      <w:marBottom w:val="0"/>
      <w:divBdr>
        <w:top w:val="none" w:sz="0" w:space="0" w:color="auto"/>
        <w:left w:val="none" w:sz="0" w:space="0" w:color="auto"/>
        <w:bottom w:val="none" w:sz="0" w:space="0" w:color="auto"/>
        <w:right w:val="none" w:sz="0" w:space="0" w:color="auto"/>
      </w:divBdr>
    </w:div>
    <w:div w:id="321784575">
      <w:bodyDiv w:val="1"/>
      <w:marLeft w:val="0"/>
      <w:marRight w:val="0"/>
      <w:marTop w:val="0"/>
      <w:marBottom w:val="0"/>
      <w:divBdr>
        <w:top w:val="none" w:sz="0" w:space="0" w:color="auto"/>
        <w:left w:val="none" w:sz="0" w:space="0" w:color="auto"/>
        <w:bottom w:val="none" w:sz="0" w:space="0" w:color="auto"/>
        <w:right w:val="none" w:sz="0" w:space="0" w:color="auto"/>
      </w:divBdr>
      <w:divsChild>
        <w:div w:id="114712560">
          <w:marLeft w:val="446"/>
          <w:marRight w:val="0"/>
          <w:marTop w:val="200"/>
          <w:marBottom w:val="0"/>
          <w:divBdr>
            <w:top w:val="none" w:sz="0" w:space="0" w:color="auto"/>
            <w:left w:val="none" w:sz="0" w:space="0" w:color="auto"/>
            <w:bottom w:val="none" w:sz="0" w:space="0" w:color="auto"/>
            <w:right w:val="none" w:sz="0" w:space="0" w:color="auto"/>
          </w:divBdr>
        </w:div>
      </w:divsChild>
    </w:div>
    <w:div w:id="322588373">
      <w:bodyDiv w:val="1"/>
      <w:marLeft w:val="0"/>
      <w:marRight w:val="0"/>
      <w:marTop w:val="0"/>
      <w:marBottom w:val="0"/>
      <w:divBdr>
        <w:top w:val="none" w:sz="0" w:space="0" w:color="auto"/>
        <w:left w:val="none" w:sz="0" w:space="0" w:color="auto"/>
        <w:bottom w:val="none" w:sz="0" w:space="0" w:color="auto"/>
        <w:right w:val="none" w:sz="0" w:space="0" w:color="auto"/>
      </w:divBdr>
    </w:div>
    <w:div w:id="409888901">
      <w:bodyDiv w:val="1"/>
      <w:marLeft w:val="0"/>
      <w:marRight w:val="0"/>
      <w:marTop w:val="0"/>
      <w:marBottom w:val="0"/>
      <w:divBdr>
        <w:top w:val="none" w:sz="0" w:space="0" w:color="auto"/>
        <w:left w:val="none" w:sz="0" w:space="0" w:color="auto"/>
        <w:bottom w:val="none" w:sz="0" w:space="0" w:color="auto"/>
        <w:right w:val="none" w:sz="0" w:space="0" w:color="auto"/>
      </w:divBdr>
    </w:div>
    <w:div w:id="421492480">
      <w:bodyDiv w:val="1"/>
      <w:marLeft w:val="0"/>
      <w:marRight w:val="0"/>
      <w:marTop w:val="0"/>
      <w:marBottom w:val="0"/>
      <w:divBdr>
        <w:top w:val="none" w:sz="0" w:space="0" w:color="auto"/>
        <w:left w:val="none" w:sz="0" w:space="0" w:color="auto"/>
        <w:bottom w:val="none" w:sz="0" w:space="0" w:color="auto"/>
        <w:right w:val="none" w:sz="0" w:space="0" w:color="auto"/>
      </w:divBdr>
    </w:div>
    <w:div w:id="429859004">
      <w:bodyDiv w:val="1"/>
      <w:marLeft w:val="0"/>
      <w:marRight w:val="0"/>
      <w:marTop w:val="0"/>
      <w:marBottom w:val="0"/>
      <w:divBdr>
        <w:top w:val="none" w:sz="0" w:space="0" w:color="auto"/>
        <w:left w:val="none" w:sz="0" w:space="0" w:color="auto"/>
        <w:bottom w:val="none" w:sz="0" w:space="0" w:color="auto"/>
        <w:right w:val="none" w:sz="0" w:space="0" w:color="auto"/>
      </w:divBdr>
    </w:div>
    <w:div w:id="431633048">
      <w:bodyDiv w:val="1"/>
      <w:marLeft w:val="0"/>
      <w:marRight w:val="0"/>
      <w:marTop w:val="0"/>
      <w:marBottom w:val="0"/>
      <w:divBdr>
        <w:top w:val="none" w:sz="0" w:space="0" w:color="auto"/>
        <w:left w:val="none" w:sz="0" w:space="0" w:color="auto"/>
        <w:bottom w:val="none" w:sz="0" w:space="0" w:color="auto"/>
        <w:right w:val="none" w:sz="0" w:space="0" w:color="auto"/>
      </w:divBdr>
    </w:div>
    <w:div w:id="432239340">
      <w:bodyDiv w:val="1"/>
      <w:marLeft w:val="0"/>
      <w:marRight w:val="0"/>
      <w:marTop w:val="0"/>
      <w:marBottom w:val="0"/>
      <w:divBdr>
        <w:top w:val="none" w:sz="0" w:space="0" w:color="auto"/>
        <w:left w:val="none" w:sz="0" w:space="0" w:color="auto"/>
        <w:bottom w:val="none" w:sz="0" w:space="0" w:color="auto"/>
        <w:right w:val="none" w:sz="0" w:space="0" w:color="auto"/>
      </w:divBdr>
      <w:divsChild>
        <w:div w:id="1491100996">
          <w:marLeft w:val="0"/>
          <w:marRight w:val="0"/>
          <w:marTop w:val="180"/>
          <w:marBottom w:val="180"/>
          <w:divBdr>
            <w:top w:val="none" w:sz="0" w:space="0" w:color="auto"/>
            <w:left w:val="none" w:sz="0" w:space="0" w:color="auto"/>
            <w:bottom w:val="none" w:sz="0" w:space="0" w:color="auto"/>
            <w:right w:val="none" w:sz="0" w:space="0" w:color="auto"/>
          </w:divBdr>
          <w:divsChild>
            <w:div w:id="696081580">
              <w:marLeft w:val="-225"/>
              <w:marRight w:val="-225"/>
              <w:marTop w:val="0"/>
              <w:marBottom w:val="0"/>
              <w:divBdr>
                <w:top w:val="none" w:sz="0" w:space="0" w:color="auto"/>
                <w:left w:val="none" w:sz="0" w:space="0" w:color="auto"/>
                <w:bottom w:val="none" w:sz="0" w:space="0" w:color="auto"/>
                <w:right w:val="none" w:sz="0" w:space="0" w:color="auto"/>
              </w:divBdr>
              <w:divsChild>
                <w:div w:id="1273434157">
                  <w:marLeft w:val="0"/>
                  <w:marRight w:val="0"/>
                  <w:marTop w:val="0"/>
                  <w:marBottom w:val="0"/>
                  <w:divBdr>
                    <w:top w:val="none" w:sz="0" w:space="0" w:color="auto"/>
                    <w:left w:val="none" w:sz="0" w:space="0" w:color="auto"/>
                    <w:bottom w:val="none" w:sz="0" w:space="0" w:color="auto"/>
                    <w:right w:val="none" w:sz="0" w:space="0" w:color="auto"/>
                  </w:divBdr>
                  <w:divsChild>
                    <w:div w:id="1661808245">
                      <w:marLeft w:val="-225"/>
                      <w:marRight w:val="-225"/>
                      <w:marTop w:val="0"/>
                      <w:marBottom w:val="0"/>
                      <w:divBdr>
                        <w:top w:val="none" w:sz="0" w:space="0" w:color="auto"/>
                        <w:left w:val="none" w:sz="0" w:space="0" w:color="auto"/>
                        <w:bottom w:val="none" w:sz="0" w:space="0" w:color="auto"/>
                        <w:right w:val="none" w:sz="0" w:space="0" w:color="auto"/>
                      </w:divBdr>
                      <w:divsChild>
                        <w:div w:id="2135518722">
                          <w:marLeft w:val="0"/>
                          <w:marRight w:val="0"/>
                          <w:marTop w:val="0"/>
                          <w:marBottom w:val="0"/>
                          <w:divBdr>
                            <w:top w:val="none" w:sz="0" w:space="0" w:color="auto"/>
                            <w:left w:val="none" w:sz="0" w:space="0" w:color="auto"/>
                            <w:bottom w:val="none" w:sz="0" w:space="0" w:color="auto"/>
                            <w:right w:val="none" w:sz="0" w:space="0" w:color="auto"/>
                          </w:divBdr>
                          <w:divsChild>
                            <w:div w:id="437801079">
                              <w:marLeft w:val="0"/>
                              <w:marRight w:val="0"/>
                              <w:marTop w:val="0"/>
                              <w:marBottom w:val="0"/>
                              <w:divBdr>
                                <w:top w:val="none" w:sz="0" w:space="0" w:color="auto"/>
                                <w:left w:val="none" w:sz="0" w:space="0" w:color="auto"/>
                                <w:bottom w:val="none" w:sz="0" w:space="0" w:color="auto"/>
                                <w:right w:val="none" w:sz="0" w:space="0" w:color="auto"/>
                              </w:divBdr>
                              <w:divsChild>
                                <w:div w:id="1834174159">
                                  <w:marLeft w:val="0"/>
                                  <w:marRight w:val="0"/>
                                  <w:marTop w:val="0"/>
                                  <w:marBottom w:val="0"/>
                                  <w:divBdr>
                                    <w:top w:val="none" w:sz="0" w:space="0" w:color="auto"/>
                                    <w:left w:val="none" w:sz="0" w:space="0" w:color="auto"/>
                                    <w:bottom w:val="none" w:sz="0" w:space="0" w:color="auto"/>
                                    <w:right w:val="none" w:sz="0" w:space="0" w:color="auto"/>
                                  </w:divBdr>
                                  <w:divsChild>
                                    <w:div w:id="1711106365">
                                      <w:marLeft w:val="0"/>
                                      <w:marRight w:val="0"/>
                                      <w:marTop w:val="0"/>
                                      <w:marBottom w:val="0"/>
                                      <w:divBdr>
                                        <w:top w:val="none" w:sz="0" w:space="0" w:color="auto"/>
                                        <w:left w:val="none" w:sz="0" w:space="0" w:color="auto"/>
                                        <w:bottom w:val="none" w:sz="0" w:space="0" w:color="auto"/>
                                        <w:right w:val="none" w:sz="0" w:space="0" w:color="auto"/>
                                      </w:divBdr>
                                      <w:divsChild>
                                        <w:div w:id="1059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178875">
      <w:bodyDiv w:val="1"/>
      <w:marLeft w:val="0"/>
      <w:marRight w:val="0"/>
      <w:marTop w:val="0"/>
      <w:marBottom w:val="0"/>
      <w:divBdr>
        <w:top w:val="none" w:sz="0" w:space="0" w:color="auto"/>
        <w:left w:val="none" w:sz="0" w:space="0" w:color="auto"/>
        <w:bottom w:val="none" w:sz="0" w:space="0" w:color="auto"/>
        <w:right w:val="none" w:sz="0" w:space="0" w:color="auto"/>
      </w:divBdr>
      <w:divsChild>
        <w:div w:id="3675361">
          <w:marLeft w:val="446"/>
          <w:marRight w:val="0"/>
          <w:marTop w:val="200"/>
          <w:marBottom w:val="0"/>
          <w:divBdr>
            <w:top w:val="none" w:sz="0" w:space="0" w:color="auto"/>
            <w:left w:val="none" w:sz="0" w:space="0" w:color="auto"/>
            <w:bottom w:val="none" w:sz="0" w:space="0" w:color="auto"/>
            <w:right w:val="none" w:sz="0" w:space="0" w:color="auto"/>
          </w:divBdr>
        </w:div>
        <w:div w:id="379324096">
          <w:marLeft w:val="446"/>
          <w:marRight w:val="0"/>
          <w:marTop w:val="200"/>
          <w:marBottom w:val="0"/>
          <w:divBdr>
            <w:top w:val="none" w:sz="0" w:space="0" w:color="auto"/>
            <w:left w:val="none" w:sz="0" w:space="0" w:color="auto"/>
            <w:bottom w:val="none" w:sz="0" w:space="0" w:color="auto"/>
            <w:right w:val="none" w:sz="0" w:space="0" w:color="auto"/>
          </w:divBdr>
        </w:div>
        <w:div w:id="973146200">
          <w:marLeft w:val="446"/>
          <w:marRight w:val="0"/>
          <w:marTop w:val="200"/>
          <w:marBottom w:val="0"/>
          <w:divBdr>
            <w:top w:val="none" w:sz="0" w:space="0" w:color="auto"/>
            <w:left w:val="none" w:sz="0" w:space="0" w:color="auto"/>
            <w:bottom w:val="none" w:sz="0" w:space="0" w:color="auto"/>
            <w:right w:val="none" w:sz="0" w:space="0" w:color="auto"/>
          </w:divBdr>
        </w:div>
        <w:div w:id="1171025289">
          <w:marLeft w:val="446"/>
          <w:marRight w:val="0"/>
          <w:marTop w:val="200"/>
          <w:marBottom w:val="0"/>
          <w:divBdr>
            <w:top w:val="none" w:sz="0" w:space="0" w:color="auto"/>
            <w:left w:val="none" w:sz="0" w:space="0" w:color="auto"/>
            <w:bottom w:val="none" w:sz="0" w:space="0" w:color="auto"/>
            <w:right w:val="none" w:sz="0" w:space="0" w:color="auto"/>
          </w:divBdr>
        </w:div>
        <w:div w:id="1745761871">
          <w:marLeft w:val="446"/>
          <w:marRight w:val="0"/>
          <w:marTop w:val="200"/>
          <w:marBottom w:val="0"/>
          <w:divBdr>
            <w:top w:val="none" w:sz="0" w:space="0" w:color="auto"/>
            <w:left w:val="none" w:sz="0" w:space="0" w:color="auto"/>
            <w:bottom w:val="none" w:sz="0" w:space="0" w:color="auto"/>
            <w:right w:val="none" w:sz="0" w:space="0" w:color="auto"/>
          </w:divBdr>
        </w:div>
      </w:divsChild>
    </w:div>
    <w:div w:id="435634065">
      <w:bodyDiv w:val="1"/>
      <w:marLeft w:val="0"/>
      <w:marRight w:val="0"/>
      <w:marTop w:val="0"/>
      <w:marBottom w:val="0"/>
      <w:divBdr>
        <w:top w:val="none" w:sz="0" w:space="0" w:color="auto"/>
        <w:left w:val="none" w:sz="0" w:space="0" w:color="auto"/>
        <w:bottom w:val="none" w:sz="0" w:space="0" w:color="auto"/>
        <w:right w:val="none" w:sz="0" w:space="0" w:color="auto"/>
      </w:divBdr>
    </w:div>
    <w:div w:id="456990988">
      <w:bodyDiv w:val="1"/>
      <w:marLeft w:val="0"/>
      <w:marRight w:val="0"/>
      <w:marTop w:val="0"/>
      <w:marBottom w:val="0"/>
      <w:divBdr>
        <w:top w:val="none" w:sz="0" w:space="0" w:color="auto"/>
        <w:left w:val="none" w:sz="0" w:space="0" w:color="auto"/>
        <w:bottom w:val="none" w:sz="0" w:space="0" w:color="auto"/>
        <w:right w:val="none" w:sz="0" w:space="0" w:color="auto"/>
      </w:divBdr>
    </w:div>
    <w:div w:id="496573682">
      <w:bodyDiv w:val="1"/>
      <w:marLeft w:val="0"/>
      <w:marRight w:val="0"/>
      <w:marTop w:val="0"/>
      <w:marBottom w:val="0"/>
      <w:divBdr>
        <w:top w:val="none" w:sz="0" w:space="0" w:color="auto"/>
        <w:left w:val="none" w:sz="0" w:space="0" w:color="auto"/>
        <w:bottom w:val="none" w:sz="0" w:space="0" w:color="auto"/>
        <w:right w:val="none" w:sz="0" w:space="0" w:color="auto"/>
      </w:divBdr>
    </w:div>
    <w:div w:id="504367595">
      <w:bodyDiv w:val="1"/>
      <w:marLeft w:val="0"/>
      <w:marRight w:val="0"/>
      <w:marTop w:val="0"/>
      <w:marBottom w:val="0"/>
      <w:divBdr>
        <w:top w:val="none" w:sz="0" w:space="0" w:color="auto"/>
        <w:left w:val="none" w:sz="0" w:space="0" w:color="auto"/>
        <w:bottom w:val="none" w:sz="0" w:space="0" w:color="auto"/>
        <w:right w:val="none" w:sz="0" w:space="0" w:color="auto"/>
      </w:divBdr>
    </w:div>
    <w:div w:id="508495325">
      <w:bodyDiv w:val="1"/>
      <w:marLeft w:val="0"/>
      <w:marRight w:val="0"/>
      <w:marTop w:val="0"/>
      <w:marBottom w:val="0"/>
      <w:divBdr>
        <w:top w:val="none" w:sz="0" w:space="0" w:color="auto"/>
        <w:left w:val="none" w:sz="0" w:space="0" w:color="auto"/>
        <w:bottom w:val="none" w:sz="0" w:space="0" w:color="auto"/>
        <w:right w:val="none" w:sz="0" w:space="0" w:color="auto"/>
      </w:divBdr>
      <w:divsChild>
        <w:div w:id="685523343">
          <w:marLeft w:val="274"/>
          <w:marRight w:val="0"/>
          <w:marTop w:val="40"/>
          <w:marBottom w:val="40"/>
          <w:divBdr>
            <w:top w:val="none" w:sz="0" w:space="0" w:color="auto"/>
            <w:left w:val="none" w:sz="0" w:space="0" w:color="auto"/>
            <w:bottom w:val="none" w:sz="0" w:space="0" w:color="auto"/>
            <w:right w:val="none" w:sz="0" w:space="0" w:color="auto"/>
          </w:divBdr>
        </w:div>
        <w:div w:id="1450858106">
          <w:marLeft w:val="274"/>
          <w:marRight w:val="0"/>
          <w:marTop w:val="40"/>
          <w:marBottom w:val="40"/>
          <w:divBdr>
            <w:top w:val="none" w:sz="0" w:space="0" w:color="auto"/>
            <w:left w:val="none" w:sz="0" w:space="0" w:color="auto"/>
            <w:bottom w:val="none" w:sz="0" w:space="0" w:color="auto"/>
            <w:right w:val="none" w:sz="0" w:space="0" w:color="auto"/>
          </w:divBdr>
        </w:div>
      </w:divsChild>
    </w:div>
    <w:div w:id="520901116">
      <w:bodyDiv w:val="1"/>
      <w:marLeft w:val="0"/>
      <w:marRight w:val="0"/>
      <w:marTop w:val="0"/>
      <w:marBottom w:val="0"/>
      <w:divBdr>
        <w:top w:val="none" w:sz="0" w:space="0" w:color="auto"/>
        <w:left w:val="none" w:sz="0" w:space="0" w:color="auto"/>
        <w:bottom w:val="none" w:sz="0" w:space="0" w:color="auto"/>
        <w:right w:val="none" w:sz="0" w:space="0" w:color="auto"/>
      </w:divBdr>
      <w:divsChild>
        <w:div w:id="22292488">
          <w:marLeft w:val="792"/>
          <w:marRight w:val="0"/>
          <w:marTop w:val="120"/>
          <w:marBottom w:val="120"/>
          <w:divBdr>
            <w:top w:val="none" w:sz="0" w:space="0" w:color="auto"/>
            <w:left w:val="none" w:sz="0" w:space="0" w:color="auto"/>
            <w:bottom w:val="none" w:sz="0" w:space="0" w:color="auto"/>
            <w:right w:val="none" w:sz="0" w:space="0" w:color="auto"/>
          </w:divBdr>
        </w:div>
        <w:div w:id="358700736">
          <w:marLeft w:val="792"/>
          <w:marRight w:val="0"/>
          <w:marTop w:val="120"/>
          <w:marBottom w:val="120"/>
          <w:divBdr>
            <w:top w:val="none" w:sz="0" w:space="0" w:color="auto"/>
            <w:left w:val="none" w:sz="0" w:space="0" w:color="auto"/>
            <w:bottom w:val="none" w:sz="0" w:space="0" w:color="auto"/>
            <w:right w:val="none" w:sz="0" w:space="0" w:color="auto"/>
          </w:divBdr>
        </w:div>
        <w:div w:id="898320837">
          <w:marLeft w:val="792"/>
          <w:marRight w:val="0"/>
          <w:marTop w:val="120"/>
          <w:marBottom w:val="120"/>
          <w:divBdr>
            <w:top w:val="none" w:sz="0" w:space="0" w:color="auto"/>
            <w:left w:val="none" w:sz="0" w:space="0" w:color="auto"/>
            <w:bottom w:val="none" w:sz="0" w:space="0" w:color="auto"/>
            <w:right w:val="none" w:sz="0" w:space="0" w:color="auto"/>
          </w:divBdr>
        </w:div>
        <w:div w:id="1075052971">
          <w:marLeft w:val="446"/>
          <w:marRight w:val="0"/>
          <w:marTop w:val="60"/>
          <w:marBottom w:val="120"/>
          <w:divBdr>
            <w:top w:val="none" w:sz="0" w:space="0" w:color="auto"/>
            <w:left w:val="none" w:sz="0" w:space="0" w:color="auto"/>
            <w:bottom w:val="none" w:sz="0" w:space="0" w:color="auto"/>
            <w:right w:val="none" w:sz="0" w:space="0" w:color="auto"/>
          </w:divBdr>
        </w:div>
      </w:divsChild>
    </w:div>
    <w:div w:id="523250720">
      <w:bodyDiv w:val="1"/>
      <w:marLeft w:val="0"/>
      <w:marRight w:val="0"/>
      <w:marTop w:val="0"/>
      <w:marBottom w:val="0"/>
      <w:divBdr>
        <w:top w:val="none" w:sz="0" w:space="0" w:color="auto"/>
        <w:left w:val="none" w:sz="0" w:space="0" w:color="auto"/>
        <w:bottom w:val="none" w:sz="0" w:space="0" w:color="auto"/>
        <w:right w:val="none" w:sz="0" w:space="0" w:color="auto"/>
      </w:divBdr>
    </w:div>
    <w:div w:id="526992760">
      <w:bodyDiv w:val="1"/>
      <w:marLeft w:val="0"/>
      <w:marRight w:val="0"/>
      <w:marTop w:val="0"/>
      <w:marBottom w:val="0"/>
      <w:divBdr>
        <w:top w:val="none" w:sz="0" w:space="0" w:color="auto"/>
        <w:left w:val="none" w:sz="0" w:space="0" w:color="auto"/>
        <w:bottom w:val="none" w:sz="0" w:space="0" w:color="auto"/>
        <w:right w:val="none" w:sz="0" w:space="0" w:color="auto"/>
      </w:divBdr>
    </w:div>
    <w:div w:id="539364512">
      <w:bodyDiv w:val="1"/>
      <w:marLeft w:val="0"/>
      <w:marRight w:val="0"/>
      <w:marTop w:val="0"/>
      <w:marBottom w:val="0"/>
      <w:divBdr>
        <w:top w:val="none" w:sz="0" w:space="0" w:color="auto"/>
        <w:left w:val="none" w:sz="0" w:space="0" w:color="auto"/>
        <w:bottom w:val="none" w:sz="0" w:space="0" w:color="auto"/>
        <w:right w:val="none" w:sz="0" w:space="0" w:color="auto"/>
      </w:divBdr>
      <w:divsChild>
        <w:div w:id="322315265">
          <w:marLeft w:val="547"/>
          <w:marRight w:val="0"/>
          <w:marTop w:val="180"/>
          <w:marBottom w:val="0"/>
          <w:divBdr>
            <w:top w:val="none" w:sz="0" w:space="0" w:color="auto"/>
            <w:left w:val="none" w:sz="0" w:space="0" w:color="auto"/>
            <w:bottom w:val="none" w:sz="0" w:space="0" w:color="auto"/>
            <w:right w:val="none" w:sz="0" w:space="0" w:color="auto"/>
          </w:divBdr>
        </w:div>
        <w:div w:id="1246694050">
          <w:marLeft w:val="547"/>
          <w:marRight w:val="0"/>
          <w:marTop w:val="180"/>
          <w:marBottom w:val="0"/>
          <w:divBdr>
            <w:top w:val="none" w:sz="0" w:space="0" w:color="auto"/>
            <w:left w:val="none" w:sz="0" w:space="0" w:color="auto"/>
            <w:bottom w:val="none" w:sz="0" w:space="0" w:color="auto"/>
            <w:right w:val="none" w:sz="0" w:space="0" w:color="auto"/>
          </w:divBdr>
        </w:div>
        <w:div w:id="1351029936">
          <w:marLeft w:val="547"/>
          <w:marRight w:val="0"/>
          <w:marTop w:val="180"/>
          <w:marBottom w:val="0"/>
          <w:divBdr>
            <w:top w:val="none" w:sz="0" w:space="0" w:color="auto"/>
            <w:left w:val="none" w:sz="0" w:space="0" w:color="auto"/>
            <w:bottom w:val="none" w:sz="0" w:space="0" w:color="auto"/>
            <w:right w:val="none" w:sz="0" w:space="0" w:color="auto"/>
          </w:divBdr>
        </w:div>
      </w:divsChild>
    </w:div>
    <w:div w:id="561791160">
      <w:bodyDiv w:val="1"/>
      <w:marLeft w:val="0"/>
      <w:marRight w:val="0"/>
      <w:marTop w:val="0"/>
      <w:marBottom w:val="0"/>
      <w:divBdr>
        <w:top w:val="none" w:sz="0" w:space="0" w:color="auto"/>
        <w:left w:val="none" w:sz="0" w:space="0" w:color="auto"/>
        <w:bottom w:val="none" w:sz="0" w:space="0" w:color="auto"/>
        <w:right w:val="none" w:sz="0" w:space="0" w:color="auto"/>
      </w:divBdr>
    </w:div>
    <w:div w:id="568734595">
      <w:bodyDiv w:val="1"/>
      <w:marLeft w:val="0"/>
      <w:marRight w:val="0"/>
      <w:marTop w:val="0"/>
      <w:marBottom w:val="0"/>
      <w:divBdr>
        <w:top w:val="none" w:sz="0" w:space="0" w:color="auto"/>
        <w:left w:val="none" w:sz="0" w:space="0" w:color="auto"/>
        <w:bottom w:val="none" w:sz="0" w:space="0" w:color="auto"/>
        <w:right w:val="none" w:sz="0" w:space="0" w:color="auto"/>
      </w:divBdr>
    </w:div>
    <w:div w:id="571768777">
      <w:bodyDiv w:val="1"/>
      <w:marLeft w:val="0"/>
      <w:marRight w:val="0"/>
      <w:marTop w:val="0"/>
      <w:marBottom w:val="0"/>
      <w:divBdr>
        <w:top w:val="none" w:sz="0" w:space="0" w:color="auto"/>
        <w:left w:val="none" w:sz="0" w:space="0" w:color="auto"/>
        <w:bottom w:val="none" w:sz="0" w:space="0" w:color="auto"/>
        <w:right w:val="none" w:sz="0" w:space="0" w:color="auto"/>
      </w:divBdr>
    </w:div>
    <w:div w:id="591358823">
      <w:bodyDiv w:val="1"/>
      <w:marLeft w:val="0"/>
      <w:marRight w:val="0"/>
      <w:marTop w:val="0"/>
      <w:marBottom w:val="0"/>
      <w:divBdr>
        <w:top w:val="none" w:sz="0" w:space="0" w:color="auto"/>
        <w:left w:val="none" w:sz="0" w:space="0" w:color="auto"/>
        <w:bottom w:val="none" w:sz="0" w:space="0" w:color="auto"/>
        <w:right w:val="none" w:sz="0" w:space="0" w:color="auto"/>
      </w:divBdr>
    </w:div>
    <w:div w:id="618150967">
      <w:bodyDiv w:val="1"/>
      <w:marLeft w:val="0"/>
      <w:marRight w:val="0"/>
      <w:marTop w:val="0"/>
      <w:marBottom w:val="0"/>
      <w:divBdr>
        <w:top w:val="none" w:sz="0" w:space="0" w:color="auto"/>
        <w:left w:val="none" w:sz="0" w:space="0" w:color="auto"/>
        <w:bottom w:val="none" w:sz="0" w:space="0" w:color="auto"/>
        <w:right w:val="none" w:sz="0" w:space="0" w:color="auto"/>
      </w:divBdr>
    </w:div>
    <w:div w:id="639698129">
      <w:bodyDiv w:val="1"/>
      <w:marLeft w:val="0"/>
      <w:marRight w:val="0"/>
      <w:marTop w:val="0"/>
      <w:marBottom w:val="0"/>
      <w:divBdr>
        <w:top w:val="none" w:sz="0" w:space="0" w:color="auto"/>
        <w:left w:val="none" w:sz="0" w:space="0" w:color="auto"/>
        <w:bottom w:val="none" w:sz="0" w:space="0" w:color="auto"/>
        <w:right w:val="none" w:sz="0" w:space="0" w:color="auto"/>
      </w:divBdr>
      <w:divsChild>
        <w:div w:id="536117246">
          <w:marLeft w:val="850"/>
          <w:marRight w:val="0"/>
          <w:marTop w:val="180"/>
          <w:marBottom w:val="0"/>
          <w:divBdr>
            <w:top w:val="none" w:sz="0" w:space="0" w:color="auto"/>
            <w:left w:val="none" w:sz="0" w:space="0" w:color="auto"/>
            <w:bottom w:val="none" w:sz="0" w:space="0" w:color="auto"/>
            <w:right w:val="none" w:sz="0" w:space="0" w:color="auto"/>
          </w:divBdr>
        </w:div>
        <w:div w:id="1407531565">
          <w:marLeft w:val="850"/>
          <w:marRight w:val="0"/>
          <w:marTop w:val="180"/>
          <w:marBottom w:val="0"/>
          <w:divBdr>
            <w:top w:val="none" w:sz="0" w:space="0" w:color="auto"/>
            <w:left w:val="none" w:sz="0" w:space="0" w:color="auto"/>
            <w:bottom w:val="none" w:sz="0" w:space="0" w:color="auto"/>
            <w:right w:val="none" w:sz="0" w:space="0" w:color="auto"/>
          </w:divBdr>
        </w:div>
        <w:div w:id="1531801222">
          <w:marLeft w:val="446"/>
          <w:marRight w:val="0"/>
          <w:marTop w:val="180"/>
          <w:marBottom w:val="0"/>
          <w:divBdr>
            <w:top w:val="none" w:sz="0" w:space="0" w:color="auto"/>
            <w:left w:val="none" w:sz="0" w:space="0" w:color="auto"/>
            <w:bottom w:val="none" w:sz="0" w:space="0" w:color="auto"/>
            <w:right w:val="none" w:sz="0" w:space="0" w:color="auto"/>
          </w:divBdr>
        </w:div>
        <w:div w:id="2083944437">
          <w:marLeft w:val="446"/>
          <w:marRight w:val="0"/>
          <w:marTop w:val="180"/>
          <w:marBottom w:val="0"/>
          <w:divBdr>
            <w:top w:val="none" w:sz="0" w:space="0" w:color="auto"/>
            <w:left w:val="none" w:sz="0" w:space="0" w:color="auto"/>
            <w:bottom w:val="none" w:sz="0" w:space="0" w:color="auto"/>
            <w:right w:val="none" w:sz="0" w:space="0" w:color="auto"/>
          </w:divBdr>
        </w:div>
      </w:divsChild>
    </w:div>
    <w:div w:id="640039007">
      <w:bodyDiv w:val="1"/>
      <w:marLeft w:val="0"/>
      <w:marRight w:val="0"/>
      <w:marTop w:val="0"/>
      <w:marBottom w:val="0"/>
      <w:divBdr>
        <w:top w:val="none" w:sz="0" w:space="0" w:color="auto"/>
        <w:left w:val="none" w:sz="0" w:space="0" w:color="auto"/>
        <w:bottom w:val="none" w:sz="0" w:space="0" w:color="auto"/>
        <w:right w:val="none" w:sz="0" w:space="0" w:color="auto"/>
      </w:divBdr>
      <w:divsChild>
        <w:div w:id="44180876">
          <w:marLeft w:val="446"/>
          <w:marRight w:val="0"/>
          <w:marTop w:val="120"/>
          <w:marBottom w:val="40"/>
          <w:divBdr>
            <w:top w:val="none" w:sz="0" w:space="0" w:color="auto"/>
            <w:left w:val="none" w:sz="0" w:space="0" w:color="auto"/>
            <w:bottom w:val="none" w:sz="0" w:space="0" w:color="auto"/>
            <w:right w:val="none" w:sz="0" w:space="0" w:color="auto"/>
          </w:divBdr>
        </w:div>
        <w:div w:id="327174997">
          <w:marLeft w:val="446"/>
          <w:marRight w:val="0"/>
          <w:marTop w:val="120"/>
          <w:marBottom w:val="40"/>
          <w:divBdr>
            <w:top w:val="none" w:sz="0" w:space="0" w:color="auto"/>
            <w:left w:val="none" w:sz="0" w:space="0" w:color="auto"/>
            <w:bottom w:val="none" w:sz="0" w:space="0" w:color="auto"/>
            <w:right w:val="none" w:sz="0" w:space="0" w:color="auto"/>
          </w:divBdr>
        </w:div>
        <w:div w:id="525757292">
          <w:marLeft w:val="446"/>
          <w:marRight w:val="0"/>
          <w:marTop w:val="120"/>
          <w:marBottom w:val="160"/>
          <w:divBdr>
            <w:top w:val="none" w:sz="0" w:space="0" w:color="auto"/>
            <w:left w:val="none" w:sz="0" w:space="0" w:color="auto"/>
            <w:bottom w:val="none" w:sz="0" w:space="0" w:color="auto"/>
            <w:right w:val="none" w:sz="0" w:space="0" w:color="auto"/>
          </w:divBdr>
        </w:div>
        <w:div w:id="595359874">
          <w:marLeft w:val="446"/>
          <w:marRight w:val="0"/>
          <w:marTop w:val="120"/>
          <w:marBottom w:val="40"/>
          <w:divBdr>
            <w:top w:val="none" w:sz="0" w:space="0" w:color="auto"/>
            <w:left w:val="none" w:sz="0" w:space="0" w:color="auto"/>
            <w:bottom w:val="none" w:sz="0" w:space="0" w:color="auto"/>
            <w:right w:val="none" w:sz="0" w:space="0" w:color="auto"/>
          </w:divBdr>
        </w:div>
        <w:div w:id="1364550895">
          <w:marLeft w:val="446"/>
          <w:marRight w:val="0"/>
          <w:marTop w:val="120"/>
          <w:marBottom w:val="40"/>
          <w:divBdr>
            <w:top w:val="none" w:sz="0" w:space="0" w:color="auto"/>
            <w:left w:val="none" w:sz="0" w:space="0" w:color="auto"/>
            <w:bottom w:val="none" w:sz="0" w:space="0" w:color="auto"/>
            <w:right w:val="none" w:sz="0" w:space="0" w:color="auto"/>
          </w:divBdr>
        </w:div>
      </w:divsChild>
    </w:div>
    <w:div w:id="646471961">
      <w:bodyDiv w:val="1"/>
      <w:marLeft w:val="0"/>
      <w:marRight w:val="0"/>
      <w:marTop w:val="0"/>
      <w:marBottom w:val="0"/>
      <w:divBdr>
        <w:top w:val="none" w:sz="0" w:space="0" w:color="auto"/>
        <w:left w:val="none" w:sz="0" w:space="0" w:color="auto"/>
        <w:bottom w:val="none" w:sz="0" w:space="0" w:color="auto"/>
        <w:right w:val="none" w:sz="0" w:space="0" w:color="auto"/>
      </w:divBdr>
    </w:div>
    <w:div w:id="678508385">
      <w:bodyDiv w:val="1"/>
      <w:marLeft w:val="0"/>
      <w:marRight w:val="0"/>
      <w:marTop w:val="0"/>
      <w:marBottom w:val="0"/>
      <w:divBdr>
        <w:top w:val="none" w:sz="0" w:space="0" w:color="auto"/>
        <w:left w:val="none" w:sz="0" w:space="0" w:color="auto"/>
        <w:bottom w:val="none" w:sz="0" w:space="0" w:color="auto"/>
        <w:right w:val="none" w:sz="0" w:space="0" w:color="auto"/>
      </w:divBdr>
      <w:divsChild>
        <w:div w:id="479880577">
          <w:marLeft w:val="446"/>
          <w:marRight w:val="0"/>
          <w:marTop w:val="180"/>
          <w:marBottom w:val="0"/>
          <w:divBdr>
            <w:top w:val="none" w:sz="0" w:space="0" w:color="auto"/>
            <w:left w:val="none" w:sz="0" w:space="0" w:color="auto"/>
            <w:bottom w:val="none" w:sz="0" w:space="0" w:color="auto"/>
            <w:right w:val="none" w:sz="0" w:space="0" w:color="auto"/>
          </w:divBdr>
        </w:div>
        <w:div w:id="1361009442">
          <w:marLeft w:val="446"/>
          <w:marRight w:val="0"/>
          <w:marTop w:val="180"/>
          <w:marBottom w:val="0"/>
          <w:divBdr>
            <w:top w:val="none" w:sz="0" w:space="0" w:color="auto"/>
            <w:left w:val="none" w:sz="0" w:space="0" w:color="auto"/>
            <w:bottom w:val="none" w:sz="0" w:space="0" w:color="auto"/>
            <w:right w:val="none" w:sz="0" w:space="0" w:color="auto"/>
          </w:divBdr>
        </w:div>
      </w:divsChild>
    </w:div>
    <w:div w:id="700135624">
      <w:bodyDiv w:val="1"/>
      <w:marLeft w:val="0"/>
      <w:marRight w:val="0"/>
      <w:marTop w:val="0"/>
      <w:marBottom w:val="0"/>
      <w:divBdr>
        <w:top w:val="none" w:sz="0" w:space="0" w:color="auto"/>
        <w:left w:val="none" w:sz="0" w:space="0" w:color="auto"/>
        <w:bottom w:val="none" w:sz="0" w:space="0" w:color="auto"/>
        <w:right w:val="none" w:sz="0" w:space="0" w:color="auto"/>
      </w:divBdr>
    </w:div>
    <w:div w:id="702095454">
      <w:bodyDiv w:val="1"/>
      <w:marLeft w:val="0"/>
      <w:marRight w:val="0"/>
      <w:marTop w:val="0"/>
      <w:marBottom w:val="0"/>
      <w:divBdr>
        <w:top w:val="none" w:sz="0" w:space="0" w:color="auto"/>
        <w:left w:val="none" w:sz="0" w:space="0" w:color="auto"/>
        <w:bottom w:val="none" w:sz="0" w:space="0" w:color="auto"/>
        <w:right w:val="none" w:sz="0" w:space="0" w:color="auto"/>
      </w:divBdr>
      <w:divsChild>
        <w:div w:id="144200796">
          <w:marLeft w:val="446"/>
          <w:marRight w:val="0"/>
          <w:marTop w:val="200"/>
          <w:marBottom w:val="200"/>
          <w:divBdr>
            <w:top w:val="none" w:sz="0" w:space="0" w:color="auto"/>
            <w:left w:val="none" w:sz="0" w:space="0" w:color="auto"/>
            <w:bottom w:val="none" w:sz="0" w:space="0" w:color="auto"/>
            <w:right w:val="none" w:sz="0" w:space="0" w:color="auto"/>
          </w:divBdr>
        </w:div>
        <w:div w:id="544145427">
          <w:marLeft w:val="446"/>
          <w:marRight w:val="0"/>
          <w:marTop w:val="200"/>
          <w:marBottom w:val="200"/>
          <w:divBdr>
            <w:top w:val="none" w:sz="0" w:space="0" w:color="auto"/>
            <w:left w:val="none" w:sz="0" w:space="0" w:color="auto"/>
            <w:bottom w:val="none" w:sz="0" w:space="0" w:color="auto"/>
            <w:right w:val="none" w:sz="0" w:space="0" w:color="auto"/>
          </w:divBdr>
        </w:div>
        <w:div w:id="598567975">
          <w:marLeft w:val="446"/>
          <w:marRight w:val="0"/>
          <w:marTop w:val="200"/>
          <w:marBottom w:val="200"/>
          <w:divBdr>
            <w:top w:val="none" w:sz="0" w:space="0" w:color="auto"/>
            <w:left w:val="none" w:sz="0" w:space="0" w:color="auto"/>
            <w:bottom w:val="none" w:sz="0" w:space="0" w:color="auto"/>
            <w:right w:val="none" w:sz="0" w:space="0" w:color="auto"/>
          </w:divBdr>
        </w:div>
        <w:div w:id="1155416667">
          <w:marLeft w:val="446"/>
          <w:marRight w:val="0"/>
          <w:marTop w:val="200"/>
          <w:marBottom w:val="200"/>
          <w:divBdr>
            <w:top w:val="none" w:sz="0" w:space="0" w:color="auto"/>
            <w:left w:val="none" w:sz="0" w:space="0" w:color="auto"/>
            <w:bottom w:val="none" w:sz="0" w:space="0" w:color="auto"/>
            <w:right w:val="none" w:sz="0" w:space="0" w:color="auto"/>
          </w:divBdr>
        </w:div>
      </w:divsChild>
    </w:div>
    <w:div w:id="704871404">
      <w:bodyDiv w:val="1"/>
      <w:marLeft w:val="0"/>
      <w:marRight w:val="0"/>
      <w:marTop w:val="0"/>
      <w:marBottom w:val="0"/>
      <w:divBdr>
        <w:top w:val="none" w:sz="0" w:space="0" w:color="auto"/>
        <w:left w:val="none" w:sz="0" w:space="0" w:color="auto"/>
        <w:bottom w:val="none" w:sz="0" w:space="0" w:color="auto"/>
        <w:right w:val="none" w:sz="0" w:space="0" w:color="auto"/>
      </w:divBdr>
    </w:div>
    <w:div w:id="724062736">
      <w:bodyDiv w:val="1"/>
      <w:marLeft w:val="0"/>
      <w:marRight w:val="0"/>
      <w:marTop w:val="0"/>
      <w:marBottom w:val="0"/>
      <w:divBdr>
        <w:top w:val="none" w:sz="0" w:space="0" w:color="auto"/>
        <w:left w:val="none" w:sz="0" w:space="0" w:color="auto"/>
        <w:bottom w:val="none" w:sz="0" w:space="0" w:color="auto"/>
        <w:right w:val="none" w:sz="0" w:space="0" w:color="auto"/>
      </w:divBdr>
    </w:div>
    <w:div w:id="765737871">
      <w:bodyDiv w:val="1"/>
      <w:marLeft w:val="0"/>
      <w:marRight w:val="0"/>
      <w:marTop w:val="0"/>
      <w:marBottom w:val="0"/>
      <w:divBdr>
        <w:top w:val="none" w:sz="0" w:space="0" w:color="auto"/>
        <w:left w:val="none" w:sz="0" w:space="0" w:color="auto"/>
        <w:bottom w:val="none" w:sz="0" w:space="0" w:color="auto"/>
        <w:right w:val="none" w:sz="0" w:space="0" w:color="auto"/>
      </w:divBdr>
    </w:div>
    <w:div w:id="785927527">
      <w:bodyDiv w:val="1"/>
      <w:marLeft w:val="0"/>
      <w:marRight w:val="0"/>
      <w:marTop w:val="0"/>
      <w:marBottom w:val="0"/>
      <w:divBdr>
        <w:top w:val="none" w:sz="0" w:space="0" w:color="auto"/>
        <w:left w:val="none" w:sz="0" w:space="0" w:color="auto"/>
        <w:bottom w:val="none" w:sz="0" w:space="0" w:color="auto"/>
        <w:right w:val="none" w:sz="0" w:space="0" w:color="auto"/>
      </w:divBdr>
    </w:div>
    <w:div w:id="805270791">
      <w:bodyDiv w:val="1"/>
      <w:marLeft w:val="0"/>
      <w:marRight w:val="0"/>
      <w:marTop w:val="0"/>
      <w:marBottom w:val="0"/>
      <w:divBdr>
        <w:top w:val="none" w:sz="0" w:space="0" w:color="auto"/>
        <w:left w:val="none" w:sz="0" w:space="0" w:color="auto"/>
        <w:bottom w:val="none" w:sz="0" w:space="0" w:color="auto"/>
        <w:right w:val="none" w:sz="0" w:space="0" w:color="auto"/>
      </w:divBdr>
    </w:div>
    <w:div w:id="819229603">
      <w:bodyDiv w:val="1"/>
      <w:marLeft w:val="0"/>
      <w:marRight w:val="0"/>
      <w:marTop w:val="0"/>
      <w:marBottom w:val="0"/>
      <w:divBdr>
        <w:top w:val="none" w:sz="0" w:space="0" w:color="auto"/>
        <w:left w:val="none" w:sz="0" w:space="0" w:color="auto"/>
        <w:bottom w:val="none" w:sz="0" w:space="0" w:color="auto"/>
        <w:right w:val="none" w:sz="0" w:space="0" w:color="auto"/>
      </w:divBdr>
    </w:div>
    <w:div w:id="821039709">
      <w:bodyDiv w:val="1"/>
      <w:marLeft w:val="0"/>
      <w:marRight w:val="0"/>
      <w:marTop w:val="0"/>
      <w:marBottom w:val="0"/>
      <w:divBdr>
        <w:top w:val="none" w:sz="0" w:space="0" w:color="auto"/>
        <w:left w:val="none" w:sz="0" w:space="0" w:color="auto"/>
        <w:bottom w:val="none" w:sz="0" w:space="0" w:color="auto"/>
        <w:right w:val="none" w:sz="0" w:space="0" w:color="auto"/>
      </w:divBdr>
      <w:divsChild>
        <w:div w:id="1999651810">
          <w:marLeft w:val="547"/>
          <w:marRight w:val="0"/>
          <w:marTop w:val="180"/>
          <w:marBottom w:val="0"/>
          <w:divBdr>
            <w:top w:val="none" w:sz="0" w:space="0" w:color="auto"/>
            <w:left w:val="none" w:sz="0" w:space="0" w:color="auto"/>
            <w:bottom w:val="none" w:sz="0" w:space="0" w:color="auto"/>
            <w:right w:val="none" w:sz="0" w:space="0" w:color="auto"/>
          </w:divBdr>
        </w:div>
        <w:div w:id="2093428874">
          <w:marLeft w:val="547"/>
          <w:marRight w:val="0"/>
          <w:marTop w:val="180"/>
          <w:marBottom w:val="0"/>
          <w:divBdr>
            <w:top w:val="none" w:sz="0" w:space="0" w:color="auto"/>
            <w:left w:val="none" w:sz="0" w:space="0" w:color="auto"/>
            <w:bottom w:val="none" w:sz="0" w:space="0" w:color="auto"/>
            <w:right w:val="none" w:sz="0" w:space="0" w:color="auto"/>
          </w:divBdr>
        </w:div>
      </w:divsChild>
    </w:div>
    <w:div w:id="822700466">
      <w:bodyDiv w:val="1"/>
      <w:marLeft w:val="0"/>
      <w:marRight w:val="0"/>
      <w:marTop w:val="0"/>
      <w:marBottom w:val="0"/>
      <w:divBdr>
        <w:top w:val="none" w:sz="0" w:space="0" w:color="auto"/>
        <w:left w:val="none" w:sz="0" w:space="0" w:color="auto"/>
        <w:bottom w:val="none" w:sz="0" w:space="0" w:color="auto"/>
        <w:right w:val="none" w:sz="0" w:space="0" w:color="auto"/>
      </w:divBdr>
      <w:divsChild>
        <w:div w:id="341595036">
          <w:marLeft w:val="274"/>
          <w:marRight w:val="0"/>
          <w:marTop w:val="180"/>
          <w:marBottom w:val="0"/>
          <w:divBdr>
            <w:top w:val="none" w:sz="0" w:space="0" w:color="auto"/>
            <w:left w:val="none" w:sz="0" w:space="0" w:color="auto"/>
            <w:bottom w:val="none" w:sz="0" w:space="0" w:color="auto"/>
            <w:right w:val="none" w:sz="0" w:space="0" w:color="auto"/>
          </w:divBdr>
        </w:div>
        <w:div w:id="438179248">
          <w:marLeft w:val="274"/>
          <w:marRight w:val="0"/>
          <w:marTop w:val="180"/>
          <w:marBottom w:val="0"/>
          <w:divBdr>
            <w:top w:val="none" w:sz="0" w:space="0" w:color="auto"/>
            <w:left w:val="none" w:sz="0" w:space="0" w:color="auto"/>
            <w:bottom w:val="none" w:sz="0" w:space="0" w:color="auto"/>
            <w:right w:val="none" w:sz="0" w:space="0" w:color="auto"/>
          </w:divBdr>
        </w:div>
        <w:div w:id="958415966">
          <w:marLeft w:val="274"/>
          <w:marRight w:val="0"/>
          <w:marTop w:val="180"/>
          <w:marBottom w:val="0"/>
          <w:divBdr>
            <w:top w:val="none" w:sz="0" w:space="0" w:color="auto"/>
            <w:left w:val="none" w:sz="0" w:space="0" w:color="auto"/>
            <w:bottom w:val="none" w:sz="0" w:space="0" w:color="auto"/>
            <w:right w:val="none" w:sz="0" w:space="0" w:color="auto"/>
          </w:divBdr>
        </w:div>
        <w:div w:id="1297297328">
          <w:marLeft w:val="274"/>
          <w:marRight w:val="0"/>
          <w:marTop w:val="180"/>
          <w:marBottom w:val="0"/>
          <w:divBdr>
            <w:top w:val="none" w:sz="0" w:space="0" w:color="auto"/>
            <w:left w:val="none" w:sz="0" w:space="0" w:color="auto"/>
            <w:bottom w:val="none" w:sz="0" w:space="0" w:color="auto"/>
            <w:right w:val="none" w:sz="0" w:space="0" w:color="auto"/>
          </w:divBdr>
        </w:div>
      </w:divsChild>
    </w:div>
    <w:div w:id="864951816">
      <w:bodyDiv w:val="1"/>
      <w:marLeft w:val="0"/>
      <w:marRight w:val="0"/>
      <w:marTop w:val="0"/>
      <w:marBottom w:val="0"/>
      <w:divBdr>
        <w:top w:val="none" w:sz="0" w:space="0" w:color="auto"/>
        <w:left w:val="none" w:sz="0" w:space="0" w:color="auto"/>
        <w:bottom w:val="none" w:sz="0" w:space="0" w:color="auto"/>
        <w:right w:val="none" w:sz="0" w:space="0" w:color="auto"/>
      </w:divBdr>
    </w:div>
    <w:div w:id="876283048">
      <w:bodyDiv w:val="1"/>
      <w:marLeft w:val="0"/>
      <w:marRight w:val="0"/>
      <w:marTop w:val="0"/>
      <w:marBottom w:val="0"/>
      <w:divBdr>
        <w:top w:val="none" w:sz="0" w:space="0" w:color="auto"/>
        <w:left w:val="none" w:sz="0" w:space="0" w:color="auto"/>
        <w:bottom w:val="none" w:sz="0" w:space="0" w:color="auto"/>
        <w:right w:val="none" w:sz="0" w:space="0" w:color="auto"/>
      </w:divBdr>
    </w:div>
    <w:div w:id="902184549">
      <w:bodyDiv w:val="1"/>
      <w:marLeft w:val="0"/>
      <w:marRight w:val="0"/>
      <w:marTop w:val="0"/>
      <w:marBottom w:val="0"/>
      <w:divBdr>
        <w:top w:val="none" w:sz="0" w:space="0" w:color="auto"/>
        <w:left w:val="none" w:sz="0" w:space="0" w:color="auto"/>
        <w:bottom w:val="none" w:sz="0" w:space="0" w:color="auto"/>
        <w:right w:val="none" w:sz="0" w:space="0" w:color="auto"/>
      </w:divBdr>
    </w:div>
    <w:div w:id="904146266">
      <w:bodyDiv w:val="1"/>
      <w:marLeft w:val="0"/>
      <w:marRight w:val="0"/>
      <w:marTop w:val="0"/>
      <w:marBottom w:val="0"/>
      <w:divBdr>
        <w:top w:val="none" w:sz="0" w:space="0" w:color="auto"/>
        <w:left w:val="none" w:sz="0" w:space="0" w:color="auto"/>
        <w:bottom w:val="none" w:sz="0" w:space="0" w:color="auto"/>
        <w:right w:val="none" w:sz="0" w:space="0" w:color="auto"/>
      </w:divBdr>
      <w:divsChild>
        <w:div w:id="582568793">
          <w:marLeft w:val="547"/>
          <w:marRight w:val="0"/>
          <w:marTop w:val="180"/>
          <w:marBottom w:val="0"/>
          <w:divBdr>
            <w:top w:val="none" w:sz="0" w:space="0" w:color="auto"/>
            <w:left w:val="none" w:sz="0" w:space="0" w:color="auto"/>
            <w:bottom w:val="none" w:sz="0" w:space="0" w:color="auto"/>
            <w:right w:val="none" w:sz="0" w:space="0" w:color="auto"/>
          </w:divBdr>
        </w:div>
      </w:divsChild>
    </w:div>
    <w:div w:id="945694869">
      <w:bodyDiv w:val="1"/>
      <w:marLeft w:val="0"/>
      <w:marRight w:val="0"/>
      <w:marTop w:val="0"/>
      <w:marBottom w:val="0"/>
      <w:divBdr>
        <w:top w:val="none" w:sz="0" w:space="0" w:color="auto"/>
        <w:left w:val="none" w:sz="0" w:space="0" w:color="auto"/>
        <w:bottom w:val="none" w:sz="0" w:space="0" w:color="auto"/>
        <w:right w:val="none" w:sz="0" w:space="0" w:color="auto"/>
      </w:divBdr>
    </w:div>
    <w:div w:id="951400430">
      <w:bodyDiv w:val="1"/>
      <w:marLeft w:val="0"/>
      <w:marRight w:val="0"/>
      <w:marTop w:val="0"/>
      <w:marBottom w:val="0"/>
      <w:divBdr>
        <w:top w:val="none" w:sz="0" w:space="0" w:color="auto"/>
        <w:left w:val="none" w:sz="0" w:space="0" w:color="auto"/>
        <w:bottom w:val="none" w:sz="0" w:space="0" w:color="auto"/>
        <w:right w:val="none" w:sz="0" w:space="0" w:color="auto"/>
      </w:divBdr>
      <w:divsChild>
        <w:div w:id="869605576">
          <w:marLeft w:val="446"/>
          <w:marRight w:val="0"/>
          <w:marTop w:val="180"/>
          <w:marBottom w:val="0"/>
          <w:divBdr>
            <w:top w:val="none" w:sz="0" w:space="0" w:color="auto"/>
            <w:left w:val="none" w:sz="0" w:space="0" w:color="auto"/>
            <w:bottom w:val="none" w:sz="0" w:space="0" w:color="auto"/>
            <w:right w:val="none" w:sz="0" w:space="0" w:color="auto"/>
          </w:divBdr>
        </w:div>
        <w:div w:id="1962686439">
          <w:marLeft w:val="446"/>
          <w:marRight w:val="0"/>
          <w:marTop w:val="180"/>
          <w:marBottom w:val="0"/>
          <w:divBdr>
            <w:top w:val="none" w:sz="0" w:space="0" w:color="auto"/>
            <w:left w:val="none" w:sz="0" w:space="0" w:color="auto"/>
            <w:bottom w:val="none" w:sz="0" w:space="0" w:color="auto"/>
            <w:right w:val="none" w:sz="0" w:space="0" w:color="auto"/>
          </w:divBdr>
        </w:div>
      </w:divsChild>
    </w:div>
    <w:div w:id="952637423">
      <w:bodyDiv w:val="1"/>
      <w:marLeft w:val="0"/>
      <w:marRight w:val="0"/>
      <w:marTop w:val="0"/>
      <w:marBottom w:val="0"/>
      <w:divBdr>
        <w:top w:val="none" w:sz="0" w:space="0" w:color="auto"/>
        <w:left w:val="none" w:sz="0" w:space="0" w:color="auto"/>
        <w:bottom w:val="none" w:sz="0" w:space="0" w:color="auto"/>
        <w:right w:val="none" w:sz="0" w:space="0" w:color="auto"/>
      </w:divBdr>
      <w:divsChild>
        <w:div w:id="206918186">
          <w:marLeft w:val="446"/>
          <w:marRight w:val="0"/>
          <w:marTop w:val="120"/>
          <w:marBottom w:val="200"/>
          <w:divBdr>
            <w:top w:val="none" w:sz="0" w:space="0" w:color="auto"/>
            <w:left w:val="none" w:sz="0" w:space="0" w:color="auto"/>
            <w:bottom w:val="none" w:sz="0" w:space="0" w:color="auto"/>
            <w:right w:val="none" w:sz="0" w:space="0" w:color="auto"/>
          </w:divBdr>
        </w:div>
        <w:div w:id="384914045">
          <w:marLeft w:val="1166"/>
          <w:marRight w:val="0"/>
          <w:marTop w:val="60"/>
          <w:marBottom w:val="60"/>
          <w:divBdr>
            <w:top w:val="none" w:sz="0" w:space="0" w:color="auto"/>
            <w:left w:val="none" w:sz="0" w:space="0" w:color="auto"/>
            <w:bottom w:val="none" w:sz="0" w:space="0" w:color="auto"/>
            <w:right w:val="none" w:sz="0" w:space="0" w:color="auto"/>
          </w:divBdr>
        </w:div>
        <w:div w:id="1460227099">
          <w:marLeft w:val="446"/>
          <w:marRight w:val="0"/>
          <w:marTop w:val="60"/>
          <w:marBottom w:val="60"/>
          <w:divBdr>
            <w:top w:val="none" w:sz="0" w:space="0" w:color="auto"/>
            <w:left w:val="none" w:sz="0" w:space="0" w:color="auto"/>
            <w:bottom w:val="none" w:sz="0" w:space="0" w:color="auto"/>
            <w:right w:val="none" w:sz="0" w:space="0" w:color="auto"/>
          </w:divBdr>
        </w:div>
        <w:div w:id="1679236773">
          <w:marLeft w:val="446"/>
          <w:marRight w:val="0"/>
          <w:marTop w:val="120"/>
          <w:marBottom w:val="200"/>
          <w:divBdr>
            <w:top w:val="none" w:sz="0" w:space="0" w:color="auto"/>
            <w:left w:val="none" w:sz="0" w:space="0" w:color="auto"/>
            <w:bottom w:val="none" w:sz="0" w:space="0" w:color="auto"/>
            <w:right w:val="none" w:sz="0" w:space="0" w:color="auto"/>
          </w:divBdr>
        </w:div>
        <w:div w:id="1830901546">
          <w:marLeft w:val="1166"/>
          <w:marRight w:val="0"/>
          <w:marTop w:val="60"/>
          <w:marBottom w:val="60"/>
          <w:divBdr>
            <w:top w:val="none" w:sz="0" w:space="0" w:color="auto"/>
            <w:left w:val="none" w:sz="0" w:space="0" w:color="auto"/>
            <w:bottom w:val="none" w:sz="0" w:space="0" w:color="auto"/>
            <w:right w:val="none" w:sz="0" w:space="0" w:color="auto"/>
          </w:divBdr>
        </w:div>
        <w:div w:id="2041127539">
          <w:marLeft w:val="1166"/>
          <w:marRight w:val="0"/>
          <w:marTop w:val="60"/>
          <w:marBottom w:val="60"/>
          <w:divBdr>
            <w:top w:val="none" w:sz="0" w:space="0" w:color="auto"/>
            <w:left w:val="none" w:sz="0" w:space="0" w:color="auto"/>
            <w:bottom w:val="none" w:sz="0" w:space="0" w:color="auto"/>
            <w:right w:val="none" w:sz="0" w:space="0" w:color="auto"/>
          </w:divBdr>
        </w:div>
      </w:divsChild>
    </w:div>
    <w:div w:id="953288797">
      <w:bodyDiv w:val="1"/>
      <w:marLeft w:val="0"/>
      <w:marRight w:val="0"/>
      <w:marTop w:val="0"/>
      <w:marBottom w:val="0"/>
      <w:divBdr>
        <w:top w:val="none" w:sz="0" w:space="0" w:color="auto"/>
        <w:left w:val="none" w:sz="0" w:space="0" w:color="auto"/>
        <w:bottom w:val="none" w:sz="0" w:space="0" w:color="auto"/>
        <w:right w:val="none" w:sz="0" w:space="0" w:color="auto"/>
      </w:divBdr>
      <w:divsChild>
        <w:div w:id="1481656557">
          <w:marLeft w:val="446"/>
          <w:marRight w:val="0"/>
          <w:marTop w:val="180"/>
          <w:marBottom w:val="0"/>
          <w:divBdr>
            <w:top w:val="none" w:sz="0" w:space="0" w:color="auto"/>
            <w:left w:val="none" w:sz="0" w:space="0" w:color="auto"/>
            <w:bottom w:val="none" w:sz="0" w:space="0" w:color="auto"/>
            <w:right w:val="none" w:sz="0" w:space="0" w:color="auto"/>
          </w:divBdr>
        </w:div>
        <w:div w:id="1883666924">
          <w:marLeft w:val="446"/>
          <w:marRight w:val="0"/>
          <w:marTop w:val="180"/>
          <w:marBottom w:val="0"/>
          <w:divBdr>
            <w:top w:val="none" w:sz="0" w:space="0" w:color="auto"/>
            <w:left w:val="none" w:sz="0" w:space="0" w:color="auto"/>
            <w:bottom w:val="none" w:sz="0" w:space="0" w:color="auto"/>
            <w:right w:val="none" w:sz="0" w:space="0" w:color="auto"/>
          </w:divBdr>
        </w:div>
      </w:divsChild>
    </w:div>
    <w:div w:id="959386085">
      <w:bodyDiv w:val="1"/>
      <w:marLeft w:val="0"/>
      <w:marRight w:val="0"/>
      <w:marTop w:val="0"/>
      <w:marBottom w:val="0"/>
      <w:divBdr>
        <w:top w:val="none" w:sz="0" w:space="0" w:color="auto"/>
        <w:left w:val="none" w:sz="0" w:space="0" w:color="auto"/>
        <w:bottom w:val="none" w:sz="0" w:space="0" w:color="auto"/>
        <w:right w:val="none" w:sz="0" w:space="0" w:color="auto"/>
      </w:divBdr>
    </w:div>
    <w:div w:id="959532131">
      <w:bodyDiv w:val="1"/>
      <w:marLeft w:val="0"/>
      <w:marRight w:val="0"/>
      <w:marTop w:val="0"/>
      <w:marBottom w:val="0"/>
      <w:divBdr>
        <w:top w:val="none" w:sz="0" w:space="0" w:color="auto"/>
        <w:left w:val="none" w:sz="0" w:space="0" w:color="auto"/>
        <w:bottom w:val="none" w:sz="0" w:space="0" w:color="auto"/>
        <w:right w:val="none" w:sz="0" w:space="0" w:color="auto"/>
      </w:divBdr>
    </w:div>
    <w:div w:id="985084933">
      <w:bodyDiv w:val="1"/>
      <w:marLeft w:val="0"/>
      <w:marRight w:val="0"/>
      <w:marTop w:val="0"/>
      <w:marBottom w:val="0"/>
      <w:divBdr>
        <w:top w:val="none" w:sz="0" w:space="0" w:color="auto"/>
        <w:left w:val="none" w:sz="0" w:space="0" w:color="auto"/>
        <w:bottom w:val="none" w:sz="0" w:space="0" w:color="auto"/>
        <w:right w:val="none" w:sz="0" w:space="0" w:color="auto"/>
      </w:divBdr>
      <w:divsChild>
        <w:div w:id="518856731">
          <w:marLeft w:val="418"/>
          <w:marRight w:val="86"/>
          <w:marTop w:val="179"/>
          <w:marBottom w:val="160"/>
          <w:divBdr>
            <w:top w:val="none" w:sz="0" w:space="0" w:color="auto"/>
            <w:left w:val="none" w:sz="0" w:space="0" w:color="auto"/>
            <w:bottom w:val="none" w:sz="0" w:space="0" w:color="auto"/>
            <w:right w:val="none" w:sz="0" w:space="0" w:color="auto"/>
          </w:divBdr>
        </w:div>
        <w:div w:id="778257631">
          <w:marLeft w:val="418"/>
          <w:marRight w:val="86"/>
          <w:marTop w:val="179"/>
          <w:marBottom w:val="160"/>
          <w:divBdr>
            <w:top w:val="none" w:sz="0" w:space="0" w:color="auto"/>
            <w:left w:val="none" w:sz="0" w:space="0" w:color="auto"/>
            <w:bottom w:val="none" w:sz="0" w:space="0" w:color="auto"/>
            <w:right w:val="none" w:sz="0" w:space="0" w:color="auto"/>
          </w:divBdr>
        </w:div>
      </w:divsChild>
    </w:div>
    <w:div w:id="986398022">
      <w:bodyDiv w:val="1"/>
      <w:marLeft w:val="0"/>
      <w:marRight w:val="0"/>
      <w:marTop w:val="0"/>
      <w:marBottom w:val="0"/>
      <w:divBdr>
        <w:top w:val="none" w:sz="0" w:space="0" w:color="auto"/>
        <w:left w:val="none" w:sz="0" w:space="0" w:color="auto"/>
        <w:bottom w:val="none" w:sz="0" w:space="0" w:color="auto"/>
        <w:right w:val="none" w:sz="0" w:space="0" w:color="auto"/>
      </w:divBdr>
    </w:div>
    <w:div w:id="996540745">
      <w:bodyDiv w:val="1"/>
      <w:marLeft w:val="0"/>
      <w:marRight w:val="0"/>
      <w:marTop w:val="0"/>
      <w:marBottom w:val="0"/>
      <w:divBdr>
        <w:top w:val="none" w:sz="0" w:space="0" w:color="auto"/>
        <w:left w:val="none" w:sz="0" w:space="0" w:color="auto"/>
        <w:bottom w:val="none" w:sz="0" w:space="0" w:color="auto"/>
        <w:right w:val="none" w:sz="0" w:space="0" w:color="auto"/>
      </w:divBdr>
      <w:divsChild>
        <w:div w:id="1231649722">
          <w:marLeft w:val="446"/>
          <w:marRight w:val="0"/>
          <w:marTop w:val="180"/>
          <w:marBottom w:val="0"/>
          <w:divBdr>
            <w:top w:val="none" w:sz="0" w:space="0" w:color="auto"/>
            <w:left w:val="none" w:sz="0" w:space="0" w:color="auto"/>
            <w:bottom w:val="none" w:sz="0" w:space="0" w:color="auto"/>
            <w:right w:val="none" w:sz="0" w:space="0" w:color="auto"/>
          </w:divBdr>
        </w:div>
      </w:divsChild>
    </w:div>
    <w:div w:id="998995026">
      <w:bodyDiv w:val="1"/>
      <w:marLeft w:val="0"/>
      <w:marRight w:val="0"/>
      <w:marTop w:val="0"/>
      <w:marBottom w:val="0"/>
      <w:divBdr>
        <w:top w:val="none" w:sz="0" w:space="0" w:color="auto"/>
        <w:left w:val="none" w:sz="0" w:space="0" w:color="auto"/>
        <w:bottom w:val="none" w:sz="0" w:space="0" w:color="auto"/>
        <w:right w:val="none" w:sz="0" w:space="0" w:color="auto"/>
      </w:divBdr>
      <w:divsChild>
        <w:div w:id="48236100">
          <w:marLeft w:val="792"/>
          <w:marRight w:val="0"/>
          <w:marTop w:val="200"/>
          <w:marBottom w:val="0"/>
          <w:divBdr>
            <w:top w:val="none" w:sz="0" w:space="0" w:color="auto"/>
            <w:left w:val="none" w:sz="0" w:space="0" w:color="auto"/>
            <w:bottom w:val="none" w:sz="0" w:space="0" w:color="auto"/>
            <w:right w:val="none" w:sz="0" w:space="0" w:color="auto"/>
          </w:divBdr>
        </w:div>
        <w:div w:id="1372656578">
          <w:marLeft w:val="446"/>
          <w:marRight w:val="0"/>
          <w:marTop w:val="200"/>
          <w:marBottom w:val="0"/>
          <w:divBdr>
            <w:top w:val="none" w:sz="0" w:space="0" w:color="auto"/>
            <w:left w:val="none" w:sz="0" w:space="0" w:color="auto"/>
            <w:bottom w:val="none" w:sz="0" w:space="0" w:color="auto"/>
            <w:right w:val="none" w:sz="0" w:space="0" w:color="auto"/>
          </w:divBdr>
        </w:div>
        <w:div w:id="1549758694">
          <w:marLeft w:val="792"/>
          <w:marRight w:val="0"/>
          <w:marTop w:val="200"/>
          <w:marBottom w:val="0"/>
          <w:divBdr>
            <w:top w:val="none" w:sz="0" w:space="0" w:color="auto"/>
            <w:left w:val="none" w:sz="0" w:space="0" w:color="auto"/>
            <w:bottom w:val="none" w:sz="0" w:space="0" w:color="auto"/>
            <w:right w:val="none" w:sz="0" w:space="0" w:color="auto"/>
          </w:divBdr>
        </w:div>
        <w:div w:id="1644848960">
          <w:marLeft w:val="792"/>
          <w:marRight w:val="0"/>
          <w:marTop w:val="200"/>
          <w:marBottom w:val="0"/>
          <w:divBdr>
            <w:top w:val="none" w:sz="0" w:space="0" w:color="auto"/>
            <w:left w:val="none" w:sz="0" w:space="0" w:color="auto"/>
            <w:bottom w:val="none" w:sz="0" w:space="0" w:color="auto"/>
            <w:right w:val="none" w:sz="0" w:space="0" w:color="auto"/>
          </w:divBdr>
        </w:div>
        <w:div w:id="1781879544">
          <w:marLeft w:val="1123"/>
          <w:marRight w:val="0"/>
          <w:marTop w:val="200"/>
          <w:marBottom w:val="0"/>
          <w:divBdr>
            <w:top w:val="none" w:sz="0" w:space="0" w:color="auto"/>
            <w:left w:val="none" w:sz="0" w:space="0" w:color="auto"/>
            <w:bottom w:val="none" w:sz="0" w:space="0" w:color="auto"/>
            <w:right w:val="none" w:sz="0" w:space="0" w:color="auto"/>
          </w:divBdr>
        </w:div>
        <w:div w:id="1788740640">
          <w:marLeft w:val="792"/>
          <w:marRight w:val="0"/>
          <w:marTop w:val="200"/>
          <w:marBottom w:val="0"/>
          <w:divBdr>
            <w:top w:val="none" w:sz="0" w:space="0" w:color="auto"/>
            <w:left w:val="none" w:sz="0" w:space="0" w:color="auto"/>
            <w:bottom w:val="none" w:sz="0" w:space="0" w:color="auto"/>
            <w:right w:val="none" w:sz="0" w:space="0" w:color="auto"/>
          </w:divBdr>
        </w:div>
        <w:div w:id="2108765646">
          <w:marLeft w:val="446"/>
          <w:marRight w:val="0"/>
          <w:marTop w:val="200"/>
          <w:marBottom w:val="0"/>
          <w:divBdr>
            <w:top w:val="none" w:sz="0" w:space="0" w:color="auto"/>
            <w:left w:val="none" w:sz="0" w:space="0" w:color="auto"/>
            <w:bottom w:val="none" w:sz="0" w:space="0" w:color="auto"/>
            <w:right w:val="none" w:sz="0" w:space="0" w:color="auto"/>
          </w:divBdr>
        </w:div>
      </w:divsChild>
    </w:div>
    <w:div w:id="1006901131">
      <w:bodyDiv w:val="1"/>
      <w:marLeft w:val="0"/>
      <w:marRight w:val="0"/>
      <w:marTop w:val="0"/>
      <w:marBottom w:val="0"/>
      <w:divBdr>
        <w:top w:val="none" w:sz="0" w:space="0" w:color="auto"/>
        <w:left w:val="none" w:sz="0" w:space="0" w:color="auto"/>
        <w:bottom w:val="none" w:sz="0" w:space="0" w:color="auto"/>
        <w:right w:val="none" w:sz="0" w:space="0" w:color="auto"/>
      </w:divBdr>
    </w:div>
    <w:div w:id="1008017888">
      <w:bodyDiv w:val="1"/>
      <w:marLeft w:val="0"/>
      <w:marRight w:val="0"/>
      <w:marTop w:val="0"/>
      <w:marBottom w:val="0"/>
      <w:divBdr>
        <w:top w:val="none" w:sz="0" w:space="0" w:color="auto"/>
        <w:left w:val="none" w:sz="0" w:space="0" w:color="auto"/>
        <w:bottom w:val="none" w:sz="0" w:space="0" w:color="auto"/>
        <w:right w:val="none" w:sz="0" w:space="0" w:color="auto"/>
      </w:divBdr>
    </w:div>
    <w:div w:id="1024097335">
      <w:bodyDiv w:val="1"/>
      <w:marLeft w:val="0"/>
      <w:marRight w:val="0"/>
      <w:marTop w:val="0"/>
      <w:marBottom w:val="0"/>
      <w:divBdr>
        <w:top w:val="none" w:sz="0" w:space="0" w:color="auto"/>
        <w:left w:val="none" w:sz="0" w:space="0" w:color="auto"/>
        <w:bottom w:val="none" w:sz="0" w:space="0" w:color="auto"/>
        <w:right w:val="none" w:sz="0" w:space="0" w:color="auto"/>
      </w:divBdr>
    </w:div>
    <w:div w:id="1063403780">
      <w:bodyDiv w:val="1"/>
      <w:marLeft w:val="0"/>
      <w:marRight w:val="0"/>
      <w:marTop w:val="0"/>
      <w:marBottom w:val="0"/>
      <w:divBdr>
        <w:top w:val="none" w:sz="0" w:space="0" w:color="auto"/>
        <w:left w:val="none" w:sz="0" w:space="0" w:color="auto"/>
        <w:bottom w:val="none" w:sz="0" w:space="0" w:color="auto"/>
        <w:right w:val="none" w:sz="0" w:space="0" w:color="auto"/>
      </w:divBdr>
    </w:div>
    <w:div w:id="1078669345">
      <w:bodyDiv w:val="1"/>
      <w:marLeft w:val="0"/>
      <w:marRight w:val="0"/>
      <w:marTop w:val="0"/>
      <w:marBottom w:val="0"/>
      <w:divBdr>
        <w:top w:val="none" w:sz="0" w:space="0" w:color="auto"/>
        <w:left w:val="none" w:sz="0" w:space="0" w:color="auto"/>
        <w:bottom w:val="none" w:sz="0" w:space="0" w:color="auto"/>
        <w:right w:val="none" w:sz="0" w:space="0" w:color="auto"/>
      </w:divBdr>
    </w:div>
    <w:div w:id="1080327665">
      <w:bodyDiv w:val="1"/>
      <w:marLeft w:val="0"/>
      <w:marRight w:val="0"/>
      <w:marTop w:val="0"/>
      <w:marBottom w:val="0"/>
      <w:divBdr>
        <w:top w:val="none" w:sz="0" w:space="0" w:color="auto"/>
        <w:left w:val="none" w:sz="0" w:space="0" w:color="auto"/>
        <w:bottom w:val="none" w:sz="0" w:space="0" w:color="auto"/>
        <w:right w:val="none" w:sz="0" w:space="0" w:color="auto"/>
      </w:divBdr>
    </w:div>
    <w:div w:id="1088117647">
      <w:bodyDiv w:val="1"/>
      <w:marLeft w:val="0"/>
      <w:marRight w:val="0"/>
      <w:marTop w:val="0"/>
      <w:marBottom w:val="0"/>
      <w:divBdr>
        <w:top w:val="none" w:sz="0" w:space="0" w:color="auto"/>
        <w:left w:val="none" w:sz="0" w:space="0" w:color="auto"/>
        <w:bottom w:val="none" w:sz="0" w:space="0" w:color="auto"/>
        <w:right w:val="none" w:sz="0" w:space="0" w:color="auto"/>
      </w:divBdr>
    </w:div>
    <w:div w:id="1109161220">
      <w:bodyDiv w:val="1"/>
      <w:marLeft w:val="0"/>
      <w:marRight w:val="0"/>
      <w:marTop w:val="0"/>
      <w:marBottom w:val="0"/>
      <w:divBdr>
        <w:top w:val="none" w:sz="0" w:space="0" w:color="auto"/>
        <w:left w:val="none" w:sz="0" w:space="0" w:color="auto"/>
        <w:bottom w:val="none" w:sz="0" w:space="0" w:color="auto"/>
        <w:right w:val="none" w:sz="0" w:space="0" w:color="auto"/>
      </w:divBdr>
      <w:divsChild>
        <w:div w:id="421727683">
          <w:marLeft w:val="547"/>
          <w:marRight w:val="0"/>
          <w:marTop w:val="120"/>
          <w:marBottom w:val="120"/>
          <w:divBdr>
            <w:top w:val="none" w:sz="0" w:space="0" w:color="auto"/>
            <w:left w:val="none" w:sz="0" w:space="0" w:color="auto"/>
            <w:bottom w:val="none" w:sz="0" w:space="0" w:color="auto"/>
            <w:right w:val="none" w:sz="0" w:space="0" w:color="auto"/>
          </w:divBdr>
        </w:div>
        <w:div w:id="1679503882">
          <w:marLeft w:val="547"/>
          <w:marRight w:val="0"/>
          <w:marTop w:val="120"/>
          <w:marBottom w:val="120"/>
          <w:divBdr>
            <w:top w:val="none" w:sz="0" w:space="0" w:color="auto"/>
            <w:left w:val="none" w:sz="0" w:space="0" w:color="auto"/>
            <w:bottom w:val="none" w:sz="0" w:space="0" w:color="auto"/>
            <w:right w:val="none" w:sz="0" w:space="0" w:color="auto"/>
          </w:divBdr>
        </w:div>
        <w:div w:id="1724208122">
          <w:marLeft w:val="547"/>
          <w:marRight w:val="0"/>
          <w:marTop w:val="120"/>
          <w:marBottom w:val="120"/>
          <w:divBdr>
            <w:top w:val="none" w:sz="0" w:space="0" w:color="auto"/>
            <w:left w:val="none" w:sz="0" w:space="0" w:color="auto"/>
            <w:bottom w:val="none" w:sz="0" w:space="0" w:color="auto"/>
            <w:right w:val="none" w:sz="0" w:space="0" w:color="auto"/>
          </w:divBdr>
        </w:div>
      </w:divsChild>
    </w:div>
    <w:div w:id="1126512193">
      <w:bodyDiv w:val="1"/>
      <w:marLeft w:val="0"/>
      <w:marRight w:val="0"/>
      <w:marTop w:val="0"/>
      <w:marBottom w:val="0"/>
      <w:divBdr>
        <w:top w:val="none" w:sz="0" w:space="0" w:color="auto"/>
        <w:left w:val="none" w:sz="0" w:space="0" w:color="auto"/>
        <w:bottom w:val="none" w:sz="0" w:space="0" w:color="auto"/>
        <w:right w:val="none" w:sz="0" w:space="0" w:color="auto"/>
      </w:divBdr>
    </w:div>
    <w:div w:id="1151143047">
      <w:bodyDiv w:val="1"/>
      <w:marLeft w:val="0"/>
      <w:marRight w:val="0"/>
      <w:marTop w:val="0"/>
      <w:marBottom w:val="0"/>
      <w:divBdr>
        <w:top w:val="none" w:sz="0" w:space="0" w:color="auto"/>
        <w:left w:val="none" w:sz="0" w:space="0" w:color="auto"/>
        <w:bottom w:val="none" w:sz="0" w:space="0" w:color="auto"/>
        <w:right w:val="none" w:sz="0" w:space="0" w:color="auto"/>
      </w:divBdr>
    </w:div>
    <w:div w:id="1178613862">
      <w:bodyDiv w:val="1"/>
      <w:marLeft w:val="0"/>
      <w:marRight w:val="0"/>
      <w:marTop w:val="0"/>
      <w:marBottom w:val="0"/>
      <w:divBdr>
        <w:top w:val="none" w:sz="0" w:space="0" w:color="auto"/>
        <w:left w:val="none" w:sz="0" w:space="0" w:color="auto"/>
        <w:bottom w:val="none" w:sz="0" w:space="0" w:color="auto"/>
        <w:right w:val="none" w:sz="0" w:space="0" w:color="auto"/>
      </w:divBdr>
    </w:div>
    <w:div w:id="1190559184">
      <w:bodyDiv w:val="1"/>
      <w:marLeft w:val="0"/>
      <w:marRight w:val="0"/>
      <w:marTop w:val="0"/>
      <w:marBottom w:val="0"/>
      <w:divBdr>
        <w:top w:val="none" w:sz="0" w:space="0" w:color="auto"/>
        <w:left w:val="none" w:sz="0" w:space="0" w:color="auto"/>
        <w:bottom w:val="none" w:sz="0" w:space="0" w:color="auto"/>
        <w:right w:val="none" w:sz="0" w:space="0" w:color="auto"/>
      </w:divBdr>
    </w:div>
    <w:div w:id="1226335016">
      <w:bodyDiv w:val="1"/>
      <w:marLeft w:val="0"/>
      <w:marRight w:val="0"/>
      <w:marTop w:val="0"/>
      <w:marBottom w:val="0"/>
      <w:divBdr>
        <w:top w:val="none" w:sz="0" w:space="0" w:color="auto"/>
        <w:left w:val="none" w:sz="0" w:space="0" w:color="auto"/>
        <w:bottom w:val="none" w:sz="0" w:space="0" w:color="auto"/>
        <w:right w:val="none" w:sz="0" w:space="0" w:color="auto"/>
      </w:divBdr>
    </w:div>
    <w:div w:id="1231624218">
      <w:bodyDiv w:val="1"/>
      <w:marLeft w:val="0"/>
      <w:marRight w:val="0"/>
      <w:marTop w:val="0"/>
      <w:marBottom w:val="0"/>
      <w:divBdr>
        <w:top w:val="none" w:sz="0" w:space="0" w:color="auto"/>
        <w:left w:val="none" w:sz="0" w:space="0" w:color="auto"/>
        <w:bottom w:val="none" w:sz="0" w:space="0" w:color="auto"/>
        <w:right w:val="none" w:sz="0" w:space="0" w:color="auto"/>
      </w:divBdr>
    </w:div>
    <w:div w:id="1264335977">
      <w:bodyDiv w:val="1"/>
      <w:marLeft w:val="0"/>
      <w:marRight w:val="0"/>
      <w:marTop w:val="0"/>
      <w:marBottom w:val="0"/>
      <w:divBdr>
        <w:top w:val="none" w:sz="0" w:space="0" w:color="auto"/>
        <w:left w:val="none" w:sz="0" w:space="0" w:color="auto"/>
        <w:bottom w:val="none" w:sz="0" w:space="0" w:color="auto"/>
        <w:right w:val="none" w:sz="0" w:space="0" w:color="auto"/>
      </w:divBdr>
    </w:div>
    <w:div w:id="1282414508">
      <w:bodyDiv w:val="1"/>
      <w:marLeft w:val="0"/>
      <w:marRight w:val="0"/>
      <w:marTop w:val="0"/>
      <w:marBottom w:val="0"/>
      <w:divBdr>
        <w:top w:val="none" w:sz="0" w:space="0" w:color="auto"/>
        <w:left w:val="none" w:sz="0" w:space="0" w:color="auto"/>
        <w:bottom w:val="none" w:sz="0" w:space="0" w:color="auto"/>
        <w:right w:val="none" w:sz="0" w:space="0" w:color="auto"/>
      </w:divBdr>
      <w:divsChild>
        <w:div w:id="521821402">
          <w:marLeft w:val="547"/>
          <w:marRight w:val="0"/>
          <w:marTop w:val="100"/>
          <w:marBottom w:val="200"/>
          <w:divBdr>
            <w:top w:val="none" w:sz="0" w:space="0" w:color="auto"/>
            <w:left w:val="none" w:sz="0" w:space="0" w:color="auto"/>
            <w:bottom w:val="none" w:sz="0" w:space="0" w:color="auto"/>
            <w:right w:val="none" w:sz="0" w:space="0" w:color="auto"/>
          </w:divBdr>
        </w:div>
        <w:div w:id="1254438359">
          <w:marLeft w:val="547"/>
          <w:marRight w:val="0"/>
          <w:marTop w:val="100"/>
          <w:marBottom w:val="200"/>
          <w:divBdr>
            <w:top w:val="none" w:sz="0" w:space="0" w:color="auto"/>
            <w:left w:val="none" w:sz="0" w:space="0" w:color="auto"/>
            <w:bottom w:val="none" w:sz="0" w:space="0" w:color="auto"/>
            <w:right w:val="none" w:sz="0" w:space="0" w:color="auto"/>
          </w:divBdr>
        </w:div>
      </w:divsChild>
    </w:div>
    <w:div w:id="1284729993">
      <w:bodyDiv w:val="1"/>
      <w:marLeft w:val="0"/>
      <w:marRight w:val="0"/>
      <w:marTop w:val="0"/>
      <w:marBottom w:val="0"/>
      <w:divBdr>
        <w:top w:val="none" w:sz="0" w:space="0" w:color="auto"/>
        <w:left w:val="none" w:sz="0" w:space="0" w:color="auto"/>
        <w:bottom w:val="none" w:sz="0" w:space="0" w:color="auto"/>
        <w:right w:val="none" w:sz="0" w:space="0" w:color="auto"/>
      </w:divBdr>
    </w:div>
    <w:div w:id="1308361619">
      <w:bodyDiv w:val="1"/>
      <w:marLeft w:val="0"/>
      <w:marRight w:val="0"/>
      <w:marTop w:val="0"/>
      <w:marBottom w:val="0"/>
      <w:divBdr>
        <w:top w:val="none" w:sz="0" w:space="0" w:color="auto"/>
        <w:left w:val="none" w:sz="0" w:space="0" w:color="auto"/>
        <w:bottom w:val="none" w:sz="0" w:space="0" w:color="auto"/>
        <w:right w:val="none" w:sz="0" w:space="0" w:color="auto"/>
      </w:divBdr>
    </w:div>
    <w:div w:id="1319185860">
      <w:bodyDiv w:val="1"/>
      <w:marLeft w:val="0"/>
      <w:marRight w:val="0"/>
      <w:marTop w:val="0"/>
      <w:marBottom w:val="0"/>
      <w:divBdr>
        <w:top w:val="none" w:sz="0" w:space="0" w:color="auto"/>
        <w:left w:val="none" w:sz="0" w:space="0" w:color="auto"/>
        <w:bottom w:val="none" w:sz="0" w:space="0" w:color="auto"/>
        <w:right w:val="none" w:sz="0" w:space="0" w:color="auto"/>
      </w:divBdr>
    </w:div>
    <w:div w:id="1329289588">
      <w:bodyDiv w:val="1"/>
      <w:marLeft w:val="0"/>
      <w:marRight w:val="0"/>
      <w:marTop w:val="0"/>
      <w:marBottom w:val="0"/>
      <w:divBdr>
        <w:top w:val="none" w:sz="0" w:space="0" w:color="auto"/>
        <w:left w:val="none" w:sz="0" w:space="0" w:color="auto"/>
        <w:bottom w:val="none" w:sz="0" w:space="0" w:color="auto"/>
        <w:right w:val="none" w:sz="0" w:space="0" w:color="auto"/>
      </w:divBdr>
    </w:div>
    <w:div w:id="1346397611">
      <w:bodyDiv w:val="1"/>
      <w:marLeft w:val="0"/>
      <w:marRight w:val="0"/>
      <w:marTop w:val="0"/>
      <w:marBottom w:val="0"/>
      <w:divBdr>
        <w:top w:val="none" w:sz="0" w:space="0" w:color="auto"/>
        <w:left w:val="none" w:sz="0" w:space="0" w:color="auto"/>
        <w:bottom w:val="none" w:sz="0" w:space="0" w:color="auto"/>
        <w:right w:val="none" w:sz="0" w:space="0" w:color="auto"/>
      </w:divBdr>
    </w:div>
    <w:div w:id="1375156955">
      <w:bodyDiv w:val="1"/>
      <w:marLeft w:val="0"/>
      <w:marRight w:val="0"/>
      <w:marTop w:val="0"/>
      <w:marBottom w:val="0"/>
      <w:divBdr>
        <w:top w:val="none" w:sz="0" w:space="0" w:color="auto"/>
        <w:left w:val="none" w:sz="0" w:space="0" w:color="auto"/>
        <w:bottom w:val="none" w:sz="0" w:space="0" w:color="auto"/>
        <w:right w:val="none" w:sz="0" w:space="0" w:color="auto"/>
      </w:divBdr>
    </w:div>
    <w:div w:id="1408576459">
      <w:bodyDiv w:val="1"/>
      <w:marLeft w:val="0"/>
      <w:marRight w:val="0"/>
      <w:marTop w:val="0"/>
      <w:marBottom w:val="0"/>
      <w:divBdr>
        <w:top w:val="none" w:sz="0" w:space="0" w:color="auto"/>
        <w:left w:val="none" w:sz="0" w:space="0" w:color="auto"/>
        <w:bottom w:val="none" w:sz="0" w:space="0" w:color="auto"/>
        <w:right w:val="none" w:sz="0" w:space="0" w:color="auto"/>
      </w:divBdr>
    </w:div>
    <w:div w:id="1431122940">
      <w:bodyDiv w:val="1"/>
      <w:marLeft w:val="0"/>
      <w:marRight w:val="0"/>
      <w:marTop w:val="0"/>
      <w:marBottom w:val="0"/>
      <w:divBdr>
        <w:top w:val="none" w:sz="0" w:space="0" w:color="auto"/>
        <w:left w:val="none" w:sz="0" w:space="0" w:color="auto"/>
        <w:bottom w:val="none" w:sz="0" w:space="0" w:color="auto"/>
        <w:right w:val="none" w:sz="0" w:space="0" w:color="auto"/>
      </w:divBdr>
    </w:div>
    <w:div w:id="1431583484">
      <w:bodyDiv w:val="1"/>
      <w:marLeft w:val="0"/>
      <w:marRight w:val="0"/>
      <w:marTop w:val="0"/>
      <w:marBottom w:val="0"/>
      <w:divBdr>
        <w:top w:val="none" w:sz="0" w:space="0" w:color="auto"/>
        <w:left w:val="none" w:sz="0" w:space="0" w:color="auto"/>
        <w:bottom w:val="none" w:sz="0" w:space="0" w:color="auto"/>
        <w:right w:val="none" w:sz="0" w:space="0" w:color="auto"/>
      </w:divBdr>
    </w:div>
    <w:div w:id="1464082948">
      <w:bodyDiv w:val="1"/>
      <w:marLeft w:val="0"/>
      <w:marRight w:val="0"/>
      <w:marTop w:val="0"/>
      <w:marBottom w:val="0"/>
      <w:divBdr>
        <w:top w:val="none" w:sz="0" w:space="0" w:color="auto"/>
        <w:left w:val="none" w:sz="0" w:space="0" w:color="auto"/>
        <w:bottom w:val="none" w:sz="0" w:space="0" w:color="auto"/>
        <w:right w:val="none" w:sz="0" w:space="0" w:color="auto"/>
      </w:divBdr>
    </w:div>
    <w:div w:id="1498381950">
      <w:bodyDiv w:val="1"/>
      <w:marLeft w:val="0"/>
      <w:marRight w:val="0"/>
      <w:marTop w:val="0"/>
      <w:marBottom w:val="0"/>
      <w:divBdr>
        <w:top w:val="none" w:sz="0" w:space="0" w:color="auto"/>
        <w:left w:val="none" w:sz="0" w:space="0" w:color="auto"/>
        <w:bottom w:val="none" w:sz="0" w:space="0" w:color="auto"/>
        <w:right w:val="none" w:sz="0" w:space="0" w:color="auto"/>
      </w:divBdr>
      <w:divsChild>
        <w:div w:id="46492877">
          <w:marLeft w:val="1469"/>
          <w:marRight w:val="0"/>
          <w:marTop w:val="240"/>
          <w:marBottom w:val="0"/>
          <w:divBdr>
            <w:top w:val="none" w:sz="0" w:space="0" w:color="auto"/>
            <w:left w:val="none" w:sz="0" w:space="0" w:color="auto"/>
            <w:bottom w:val="none" w:sz="0" w:space="0" w:color="auto"/>
            <w:right w:val="none" w:sz="0" w:space="0" w:color="auto"/>
          </w:divBdr>
        </w:div>
        <w:div w:id="289363511">
          <w:marLeft w:val="1224"/>
          <w:marRight w:val="0"/>
          <w:marTop w:val="240"/>
          <w:marBottom w:val="0"/>
          <w:divBdr>
            <w:top w:val="none" w:sz="0" w:space="0" w:color="auto"/>
            <w:left w:val="none" w:sz="0" w:space="0" w:color="auto"/>
            <w:bottom w:val="none" w:sz="0" w:space="0" w:color="auto"/>
            <w:right w:val="none" w:sz="0" w:space="0" w:color="auto"/>
          </w:divBdr>
        </w:div>
        <w:div w:id="674456366">
          <w:marLeft w:val="1555"/>
          <w:marRight w:val="0"/>
          <w:marTop w:val="240"/>
          <w:marBottom w:val="0"/>
          <w:divBdr>
            <w:top w:val="none" w:sz="0" w:space="0" w:color="auto"/>
            <w:left w:val="none" w:sz="0" w:space="0" w:color="auto"/>
            <w:bottom w:val="none" w:sz="0" w:space="0" w:color="auto"/>
            <w:right w:val="none" w:sz="0" w:space="0" w:color="auto"/>
          </w:divBdr>
        </w:div>
        <w:div w:id="1004818082">
          <w:marLeft w:val="1469"/>
          <w:marRight w:val="0"/>
          <w:marTop w:val="240"/>
          <w:marBottom w:val="0"/>
          <w:divBdr>
            <w:top w:val="none" w:sz="0" w:space="0" w:color="auto"/>
            <w:left w:val="none" w:sz="0" w:space="0" w:color="auto"/>
            <w:bottom w:val="none" w:sz="0" w:space="0" w:color="auto"/>
            <w:right w:val="none" w:sz="0" w:space="0" w:color="auto"/>
          </w:divBdr>
        </w:div>
        <w:div w:id="1021052987">
          <w:marLeft w:val="1224"/>
          <w:marRight w:val="0"/>
          <w:marTop w:val="240"/>
          <w:marBottom w:val="0"/>
          <w:divBdr>
            <w:top w:val="none" w:sz="0" w:space="0" w:color="auto"/>
            <w:left w:val="none" w:sz="0" w:space="0" w:color="auto"/>
            <w:bottom w:val="none" w:sz="0" w:space="0" w:color="auto"/>
            <w:right w:val="none" w:sz="0" w:space="0" w:color="auto"/>
          </w:divBdr>
        </w:div>
        <w:div w:id="1301569873">
          <w:marLeft w:val="547"/>
          <w:marRight w:val="0"/>
          <w:marTop w:val="180"/>
          <w:marBottom w:val="0"/>
          <w:divBdr>
            <w:top w:val="none" w:sz="0" w:space="0" w:color="auto"/>
            <w:left w:val="none" w:sz="0" w:space="0" w:color="auto"/>
            <w:bottom w:val="none" w:sz="0" w:space="0" w:color="auto"/>
            <w:right w:val="none" w:sz="0" w:space="0" w:color="auto"/>
          </w:divBdr>
        </w:div>
        <w:div w:id="1576545230">
          <w:marLeft w:val="547"/>
          <w:marRight w:val="0"/>
          <w:marTop w:val="180"/>
          <w:marBottom w:val="0"/>
          <w:divBdr>
            <w:top w:val="none" w:sz="0" w:space="0" w:color="auto"/>
            <w:left w:val="none" w:sz="0" w:space="0" w:color="auto"/>
            <w:bottom w:val="none" w:sz="0" w:space="0" w:color="auto"/>
            <w:right w:val="none" w:sz="0" w:space="0" w:color="auto"/>
          </w:divBdr>
        </w:div>
        <w:div w:id="1812012576">
          <w:marLeft w:val="1224"/>
          <w:marRight w:val="0"/>
          <w:marTop w:val="240"/>
          <w:marBottom w:val="0"/>
          <w:divBdr>
            <w:top w:val="none" w:sz="0" w:space="0" w:color="auto"/>
            <w:left w:val="none" w:sz="0" w:space="0" w:color="auto"/>
            <w:bottom w:val="none" w:sz="0" w:space="0" w:color="auto"/>
            <w:right w:val="none" w:sz="0" w:space="0" w:color="auto"/>
          </w:divBdr>
        </w:div>
        <w:div w:id="2095857987">
          <w:marLeft w:val="547"/>
          <w:marRight w:val="0"/>
          <w:marTop w:val="180"/>
          <w:marBottom w:val="0"/>
          <w:divBdr>
            <w:top w:val="none" w:sz="0" w:space="0" w:color="auto"/>
            <w:left w:val="none" w:sz="0" w:space="0" w:color="auto"/>
            <w:bottom w:val="none" w:sz="0" w:space="0" w:color="auto"/>
            <w:right w:val="none" w:sz="0" w:space="0" w:color="auto"/>
          </w:divBdr>
        </w:div>
      </w:divsChild>
    </w:div>
    <w:div w:id="1500776798">
      <w:bodyDiv w:val="1"/>
      <w:marLeft w:val="0"/>
      <w:marRight w:val="0"/>
      <w:marTop w:val="0"/>
      <w:marBottom w:val="0"/>
      <w:divBdr>
        <w:top w:val="none" w:sz="0" w:space="0" w:color="auto"/>
        <w:left w:val="none" w:sz="0" w:space="0" w:color="auto"/>
        <w:bottom w:val="none" w:sz="0" w:space="0" w:color="auto"/>
        <w:right w:val="none" w:sz="0" w:space="0" w:color="auto"/>
      </w:divBdr>
    </w:div>
    <w:div w:id="1501457815">
      <w:bodyDiv w:val="1"/>
      <w:marLeft w:val="0"/>
      <w:marRight w:val="0"/>
      <w:marTop w:val="0"/>
      <w:marBottom w:val="0"/>
      <w:divBdr>
        <w:top w:val="none" w:sz="0" w:space="0" w:color="auto"/>
        <w:left w:val="none" w:sz="0" w:space="0" w:color="auto"/>
        <w:bottom w:val="none" w:sz="0" w:space="0" w:color="auto"/>
        <w:right w:val="none" w:sz="0" w:space="0" w:color="auto"/>
      </w:divBdr>
    </w:div>
    <w:div w:id="1520392550">
      <w:bodyDiv w:val="1"/>
      <w:marLeft w:val="0"/>
      <w:marRight w:val="0"/>
      <w:marTop w:val="0"/>
      <w:marBottom w:val="0"/>
      <w:divBdr>
        <w:top w:val="none" w:sz="0" w:space="0" w:color="auto"/>
        <w:left w:val="none" w:sz="0" w:space="0" w:color="auto"/>
        <w:bottom w:val="none" w:sz="0" w:space="0" w:color="auto"/>
        <w:right w:val="none" w:sz="0" w:space="0" w:color="auto"/>
      </w:divBdr>
    </w:div>
    <w:div w:id="1546407831">
      <w:bodyDiv w:val="1"/>
      <w:marLeft w:val="0"/>
      <w:marRight w:val="0"/>
      <w:marTop w:val="0"/>
      <w:marBottom w:val="0"/>
      <w:divBdr>
        <w:top w:val="none" w:sz="0" w:space="0" w:color="auto"/>
        <w:left w:val="none" w:sz="0" w:space="0" w:color="auto"/>
        <w:bottom w:val="none" w:sz="0" w:space="0" w:color="auto"/>
        <w:right w:val="none" w:sz="0" w:space="0" w:color="auto"/>
      </w:divBdr>
      <w:divsChild>
        <w:div w:id="104858987">
          <w:marLeft w:val="274"/>
          <w:marRight w:val="0"/>
          <w:marTop w:val="0"/>
          <w:marBottom w:val="0"/>
          <w:divBdr>
            <w:top w:val="none" w:sz="0" w:space="0" w:color="auto"/>
            <w:left w:val="none" w:sz="0" w:space="0" w:color="auto"/>
            <w:bottom w:val="none" w:sz="0" w:space="0" w:color="auto"/>
            <w:right w:val="none" w:sz="0" w:space="0" w:color="auto"/>
          </w:divBdr>
        </w:div>
        <w:div w:id="1535653829">
          <w:marLeft w:val="274"/>
          <w:marRight w:val="0"/>
          <w:marTop w:val="0"/>
          <w:marBottom w:val="0"/>
          <w:divBdr>
            <w:top w:val="none" w:sz="0" w:space="0" w:color="auto"/>
            <w:left w:val="none" w:sz="0" w:space="0" w:color="auto"/>
            <w:bottom w:val="none" w:sz="0" w:space="0" w:color="auto"/>
            <w:right w:val="none" w:sz="0" w:space="0" w:color="auto"/>
          </w:divBdr>
        </w:div>
        <w:div w:id="1825007664">
          <w:marLeft w:val="274"/>
          <w:marRight w:val="0"/>
          <w:marTop w:val="0"/>
          <w:marBottom w:val="0"/>
          <w:divBdr>
            <w:top w:val="none" w:sz="0" w:space="0" w:color="auto"/>
            <w:left w:val="none" w:sz="0" w:space="0" w:color="auto"/>
            <w:bottom w:val="none" w:sz="0" w:space="0" w:color="auto"/>
            <w:right w:val="none" w:sz="0" w:space="0" w:color="auto"/>
          </w:divBdr>
        </w:div>
        <w:div w:id="1860003459">
          <w:marLeft w:val="274"/>
          <w:marRight w:val="0"/>
          <w:marTop w:val="0"/>
          <w:marBottom w:val="0"/>
          <w:divBdr>
            <w:top w:val="none" w:sz="0" w:space="0" w:color="auto"/>
            <w:left w:val="none" w:sz="0" w:space="0" w:color="auto"/>
            <w:bottom w:val="none" w:sz="0" w:space="0" w:color="auto"/>
            <w:right w:val="none" w:sz="0" w:space="0" w:color="auto"/>
          </w:divBdr>
        </w:div>
      </w:divsChild>
    </w:div>
    <w:div w:id="1559782349">
      <w:bodyDiv w:val="1"/>
      <w:marLeft w:val="0"/>
      <w:marRight w:val="0"/>
      <w:marTop w:val="0"/>
      <w:marBottom w:val="0"/>
      <w:divBdr>
        <w:top w:val="none" w:sz="0" w:space="0" w:color="auto"/>
        <w:left w:val="none" w:sz="0" w:space="0" w:color="auto"/>
        <w:bottom w:val="none" w:sz="0" w:space="0" w:color="auto"/>
        <w:right w:val="none" w:sz="0" w:space="0" w:color="auto"/>
      </w:divBdr>
    </w:div>
    <w:div w:id="1583416454">
      <w:bodyDiv w:val="1"/>
      <w:marLeft w:val="0"/>
      <w:marRight w:val="0"/>
      <w:marTop w:val="0"/>
      <w:marBottom w:val="0"/>
      <w:divBdr>
        <w:top w:val="none" w:sz="0" w:space="0" w:color="auto"/>
        <w:left w:val="none" w:sz="0" w:space="0" w:color="auto"/>
        <w:bottom w:val="none" w:sz="0" w:space="0" w:color="auto"/>
        <w:right w:val="none" w:sz="0" w:space="0" w:color="auto"/>
      </w:divBdr>
      <w:divsChild>
        <w:div w:id="2008633162">
          <w:marLeft w:val="0"/>
          <w:marRight w:val="0"/>
          <w:marTop w:val="180"/>
          <w:marBottom w:val="180"/>
          <w:divBdr>
            <w:top w:val="none" w:sz="0" w:space="0" w:color="auto"/>
            <w:left w:val="none" w:sz="0" w:space="0" w:color="auto"/>
            <w:bottom w:val="none" w:sz="0" w:space="0" w:color="auto"/>
            <w:right w:val="none" w:sz="0" w:space="0" w:color="auto"/>
          </w:divBdr>
          <w:divsChild>
            <w:div w:id="1584802605">
              <w:marLeft w:val="-225"/>
              <w:marRight w:val="-225"/>
              <w:marTop w:val="0"/>
              <w:marBottom w:val="0"/>
              <w:divBdr>
                <w:top w:val="none" w:sz="0" w:space="0" w:color="auto"/>
                <w:left w:val="none" w:sz="0" w:space="0" w:color="auto"/>
                <w:bottom w:val="none" w:sz="0" w:space="0" w:color="auto"/>
                <w:right w:val="none" w:sz="0" w:space="0" w:color="auto"/>
              </w:divBdr>
              <w:divsChild>
                <w:div w:id="1984505778">
                  <w:marLeft w:val="0"/>
                  <w:marRight w:val="0"/>
                  <w:marTop w:val="0"/>
                  <w:marBottom w:val="0"/>
                  <w:divBdr>
                    <w:top w:val="none" w:sz="0" w:space="0" w:color="auto"/>
                    <w:left w:val="none" w:sz="0" w:space="0" w:color="auto"/>
                    <w:bottom w:val="none" w:sz="0" w:space="0" w:color="auto"/>
                    <w:right w:val="none" w:sz="0" w:space="0" w:color="auto"/>
                  </w:divBdr>
                  <w:divsChild>
                    <w:div w:id="110899673">
                      <w:marLeft w:val="-225"/>
                      <w:marRight w:val="-225"/>
                      <w:marTop w:val="0"/>
                      <w:marBottom w:val="0"/>
                      <w:divBdr>
                        <w:top w:val="none" w:sz="0" w:space="0" w:color="auto"/>
                        <w:left w:val="none" w:sz="0" w:space="0" w:color="auto"/>
                        <w:bottom w:val="none" w:sz="0" w:space="0" w:color="auto"/>
                        <w:right w:val="none" w:sz="0" w:space="0" w:color="auto"/>
                      </w:divBdr>
                      <w:divsChild>
                        <w:div w:id="2126344320">
                          <w:marLeft w:val="0"/>
                          <w:marRight w:val="0"/>
                          <w:marTop w:val="0"/>
                          <w:marBottom w:val="0"/>
                          <w:divBdr>
                            <w:top w:val="none" w:sz="0" w:space="0" w:color="auto"/>
                            <w:left w:val="none" w:sz="0" w:space="0" w:color="auto"/>
                            <w:bottom w:val="none" w:sz="0" w:space="0" w:color="auto"/>
                            <w:right w:val="none" w:sz="0" w:space="0" w:color="auto"/>
                          </w:divBdr>
                          <w:divsChild>
                            <w:div w:id="1420710697">
                              <w:marLeft w:val="0"/>
                              <w:marRight w:val="0"/>
                              <w:marTop w:val="0"/>
                              <w:marBottom w:val="0"/>
                              <w:divBdr>
                                <w:top w:val="none" w:sz="0" w:space="0" w:color="auto"/>
                                <w:left w:val="none" w:sz="0" w:space="0" w:color="auto"/>
                                <w:bottom w:val="none" w:sz="0" w:space="0" w:color="auto"/>
                                <w:right w:val="none" w:sz="0" w:space="0" w:color="auto"/>
                              </w:divBdr>
                              <w:divsChild>
                                <w:div w:id="1447431097">
                                  <w:marLeft w:val="0"/>
                                  <w:marRight w:val="0"/>
                                  <w:marTop w:val="0"/>
                                  <w:marBottom w:val="0"/>
                                  <w:divBdr>
                                    <w:top w:val="none" w:sz="0" w:space="0" w:color="auto"/>
                                    <w:left w:val="none" w:sz="0" w:space="0" w:color="auto"/>
                                    <w:bottom w:val="none" w:sz="0" w:space="0" w:color="auto"/>
                                    <w:right w:val="none" w:sz="0" w:space="0" w:color="auto"/>
                                  </w:divBdr>
                                  <w:divsChild>
                                    <w:div w:id="2086419072">
                                      <w:marLeft w:val="0"/>
                                      <w:marRight w:val="0"/>
                                      <w:marTop w:val="0"/>
                                      <w:marBottom w:val="0"/>
                                      <w:divBdr>
                                        <w:top w:val="none" w:sz="0" w:space="0" w:color="auto"/>
                                        <w:left w:val="none" w:sz="0" w:space="0" w:color="auto"/>
                                        <w:bottom w:val="none" w:sz="0" w:space="0" w:color="auto"/>
                                        <w:right w:val="none" w:sz="0" w:space="0" w:color="auto"/>
                                      </w:divBdr>
                                      <w:divsChild>
                                        <w:div w:id="2112242793">
                                          <w:marLeft w:val="0"/>
                                          <w:marRight w:val="0"/>
                                          <w:marTop w:val="0"/>
                                          <w:marBottom w:val="0"/>
                                          <w:divBdr>
                                            <w:top w:val="none" w:sz="0" w:space="0" w:color="auto"/>
                                            <w:left w:val="none" w:sz="0" w:space="0" w:color="auto"/>
                                            <w:bottom w:val="none" w:sz="0" w:space="0" w:color="auto"/>
                                            <w:right w:val="none" w:sz="0" w:space="0" w:color="auto"/>
                                          </w:divBdr>
                                          <w:divsChild>
                                            <w:div w:id="1828551158">
                                              <w:marLeft w:val="0"/>
                                              <w:marRight w:val="0"/>
                                              <w:marTop w:val="0"/>
                                              <w:marBottom w:val="0"/>
                                              <w:divBdr>
                                                <w:top w:val="none" w:sz="0" w:space="0" w:color="auto"/>
                                                <w:left w:val="none" w:sz="0" w:space="0" w:color="auto"/>
                                                <w:bottom w:val="none" w:sz="0" w:space="0" w:color="auto"/>
                                                <w:right w:val="none" w:sz="0" w:space="0" w:color="auto"/>
                                              </w:divBdr>
                                              <w:divsChild>
                                                <w:div w:id="613100396">
                                                  <w:marLeft w:val="0"/>
                                                  <w:marRight w:val="0"/>
                                                  <w:marTop w:val="0"/>
                                                  <w:marBottom w:val="0"/>
                                                  <w:divBdr>
                                                    <w:top w:val="none" w:sz="0" w:space="0" w:color="auto"/>
                                                    <w:left w:val="none" w:sz="0" w:space="0" w:color="auto"/>
                                                    <w:bottom w:val="none" w:sz="0" w:space="0" w:color="auto"/>
                                                    <w:right w:val="none" w:sz="0" w:space="0" w:color="auto"/>
                                                  </w:divBdr>
                                                  <w:divsChild>
                                                    <w:div w:id="90426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8422897">
      <w:bodyDiv w:val="1"/>
      <w:marLeft w:val="0"/>
      <w:marRight w:val="0"/>
      <w:marTop w:val="0"/>
      <w:marBottom w:val="0"/>
      <w:divBdr>
        <w:top w:val="none" w:sz="0" w:space="0" w:color="auto"/>
        <w:left w:val="none" w:sz="0" w:space="0" w:color="auto"/>
        <w:bottom w:val="none" w:sz="0" w:space="0" w:color="auto"/>
        <w:right w:val="none" w:sz="0" w:space="0" w:color="auto"/>
      </w:divBdr>
    </w:div>
    <w:div w:id="1634483205">
      <w:bodyDiv w:val="1"/>
      <w:marLeft w:val="0"/>
      <w:marRight w:val="0"/>
      <w:marTop w:val="0"/>
      <w:marBottom w:val="0"/>
      <w:divBdr>
        <w:top w:val="none" w:sz="0" w:space="0" w:color="auto"/>
        <w:left w:val="none" w:sz="0" w:space="0" w:color="auto"/>
        <w:bottom w:val="none" w:sz="0" w:space="0" w:color="auto"/>
        <w:right w:val="none" w:sz="0" w:space="0" w:color="auto"/>
      </w:divBdr>
    </w:div>
    <w:div w:id="1635023634">
      <w:bodyDiv w:val="1"/>
      <w:marLeft w:val="0"/>
      <w:marRight w:val="0"/>
      <w:marTop w:val="0"/>
      <w:marBottom w:val="0"/>
      <w:divBdr>
        <w:top w:val="none" w:sz="0" w:space="0" w:color="auto"/>
        <w:left w:val="none" w:sz="0" w:space="0" w:color="auto"/>
        <w:bottom w:val="none" w:sz="0" w:space="0" w:color="auto"/>
        <w:right w:val="none" w:sz="0" w:space="0" w:color="auto"/>
      </w:divBdr>
    </w:div>
    <w:div w:id="1640065814">
      <w:bodyDiv w:val="1"/>
      <w:marLeft w:val="0"/>
      <w:marRight w:val="0"/>
      <w:marTop w:val="0"/>
      <w:marBottom w:val="0"/>
      <w:divBdr>
        <w:top w:val="none" w:sz="0" w:space="0" w:color="auto"/>
        <w:left w:val="none" w:sz="0" w:space="0" w:color="auto"/>
        <w:bottom w:val="none" w:sz="0" w:space="0" w:color="auto"/>
        <w:right w:val="none" w:sz="0" w:space="0" w:color="auto"/>
      </w:divBdr>
    </w:div>
    <w:div w:id="1641881971">
      <w:bodyDiv w:val="1"/>
      <w:marLeft w:val="0"/>
      <w:marRight w:val="0"/>
      <w:marTop w:val="0"/>
      <w:marBottom w:val="0"/>
      <w:divBdr>
        <w:top w:val="none" w:sz="0" w:space="0" w:color="auto"/>
        <w:left w:val="none" w:sz="0" w:space="0" w:color="auto"/>
        <w:bottom w:val="none" w:sz="0" w:space="0" w:color="auto"/>
        <w:right w:val="none" w:sz="0" w:space="0" w:color="auto"/>
      </w:divBdr>
    </w:div>
    <w:div w:id="1659378450">
      <w:bodyDiv w:val="1"/>
      <w:marLeft w:val="0"/>
      <w:marRight w:val="0"/>
      <w:marTop w:val="0"/>
      <w:marBottom w:val="0"/>
      <w:divBdr>
        <w:top w:val="none" w:sz="0" w:space="0" w:color="auto"/>
        <w:left w:val="none" w:sz="0" w:space="0" w:color="auto"/>
        <w:bottom w:val="none" w:sz="0" w:space="0" w:color="auto"/>
        <w:right w:val="none" w:sz="0" w:space="0" w:color="auto"/>
      </w:divBdr>
    </w:div>
    <w:div w:id="1672021840">
      <w:bodyDiv w:val="1"/>
      <w:marLeft w:val="0"/>
      <w:marRight w:val="0"/>
      <w:marTop w:val="0"/>
      <w:marBottom w:val="0"/>
      <w:divBdr>
        <w:top w:val="none" w:sz="0" w:space="0" w:color="auto"/>
        <w:left w:val="none" w:sz="0" w:space="0" w:color="auto"/>
        <w:bottom w:val="none" w:sz="0" w:space="0" w:color="auto"/>
        <w:right w:val="none" w:sz="0" w:space="0" w:color="auto"/>
      </w:divBdr>
    </w:div>
    <w:div w:id="1677269500">
      <w:bodyDiv w:val="1"/>
      <w:marLeft w:val="0"/>
      <w:marRight w:val="0"/>
      <w:marTop w:val="0"/>
      <w:marBottom w:val="0"/>
      <w:divBdr>
        <w:top w:val="none" w:sz="0" w:space="0" w:color="auto"/>
        <w:left w:val="none" w:sz="0" w:space="0" w:color="auto"/>
        <w:bottom w:val="none" w:sz="0" w:space="0" w:color="auto"/>
        <w:right w:val="none" w:sz="0" w:space="0" w:color="auto"/>
      </w:divBdr>
      <w:divsChild>
        <w:div w:id="126049069">
          <w:marLeft w:val="446"/>
          <w:marRight w:val="0"/>
          <w:marTop w:val="180"/>
          <w:marBottom w:val="0"/>
          <w:divBdr>
            <w:top w:val="none" w:sz="0" w:space="0" w:color="auto"/>
            <w:left w:val="none" w:sz="0" w:space="0" w:color="auto"/>
            <w:bottom w:val="none" w:sz="0" w:space="0" w:color="auto"/>
            <w:right w:val="none" w:sz="0" w:space="0" w:color="auto"/>
          </w:divBdr>
        </w:div>
        <w:div w:id="468088579">
          <w:marLeft w:val="446"/>
          <w:marRight w:val="0"/>
          <w:marTop w:val="180"/>
          <w:marBottom w:val="0"/>
          <w:divBdr>
            <w:top w:val="none" w:sz="0" w:space="0" w:color="auto"/>
            <w:left w:val="none" w:sz="0" w:space="0" w:color="auto"/>
            <w:bottom w:val="none" w:sz="0" w:space="0" w:color="auto"/>
            <w:right w:val="none" w:sz="0" w:space="0" w:color="auto"/>
          </w:divBdr>
        </w:div>
        <w:div w:id="898319180">
          <w:marLeft w:val="346"/>
          <w:marRight w:val="0"/>
          <w:marTop w:val="180"/>
          <w:marBottom w:val="0"/>
          <w:divBdr>
            <w:top w:val="none" w:sz="0" w:space="0" w:color="auto"/>
            <w:left w:val="none" w:sz="0" w:space="0" w:color="auto"/>
            <w:bottom w:val="none" w:sz="0" w:space="0" w:color="auto"/>
            <w:right w:val="none" w:sz="0" w:space="0" w:color="auto"/>
          </w:divBdr>
        </w:div>
        <w:div w:id="1184171969">
          <w:marLeft w:val="446"/>
          <w:marRight w:val="0"/>
          <w:marTop w:val="180"/>
          <w:marBottom w:val="0"/>
          <w:divBdr>
            <w:top w:val="none" w:sz="0" w:space="0" w:color="auto"/>
            <w:left w:val="none" w:sz="0" w:space="0" w:color="auto"/>
            <w:bottom w:val="none" w:sz="0" w:space="0" w:color="auto"/>
            <w:right w:val="none" w:sz="0" w:space="0" w:color="auto"/>
          </w:divBdr>
        </w:div>
        <w:div w:id="1414668543">
          <w:marLeft w:val="346"/>
          <w:marRight w:val="0"/>
          <w:marTop w:val="180"/>
          <w:marBottom w:val="0"/>
          <w:divBdr>
            <w:top w:val="none" w:sz="0" w:space="0" w:color="auto"/>
            <w:left w:val="none" w:sz="0" w:space="0" w:color="auto"/>
            <w:bottom w:val="none" w:sz="0" w:space="0" w:color="auto"/>
            <w:right w:val="none" w:sz="0" w:space="0" w:color="auto"/>
          </w:divBdr>
        </w:div>
        <w:div w:id="1537966003">
          <w:marLeft w:val="446"/>
          <w:marRight w:val="0"/>
          <w:marTop w:val="180"/>
          <w:marBottom w:val="0"/>
          <w:divBdr>
            <w:top w:val="none" w:sz="0" w:space="0" w:color="auto"/>
            <w:left w:val="none" w:sz="0" w:space="0" w:color="auto"/>
            <w:bottom w:val="none" w:sz="0" w:space="0" w:color="auto"/>
            <w:right w:val="none" w:sz="0" w:space="0" w:color="auto"/>
          </w:divBdr>
        </w:div>
        <w:div w:id="1869684483">
          <w:marLeft w:val="446"/>
          <w:marRight w:val="0"/>
          <w:marTop w:val="180"/>
          <w:marBottom w:val="0"/>
          <w:divBdr>
            <w:top w:val="none" w:sz="0" w:space="0" w:color="auto"/>
            <w:left w:val="none" w:sz="0" w:space="0" w:color="auto"/>
            <w:bottom w:val="none" w:sz="0" w:space="0" w:color="auto"/>
            <w:right w:val="none" w:sz="0" w:space="0" w:color="auto"/>
          </w:divBdr>
        </w:div>
        <w:div w:id="1995335895">
          <w:marLeft w:val="446"/>
          <w:marRight w:val="0"/>
          <w:marTop w:val="180"/>
          <w:marBottom w:val="0"/>
          <w:divBdr>
            <w:top w:val="none" w:sz="0" w:space="0" w:color="auto"/>
            <w:left w:val="none" w:sz="0" w:space="0" w:color="auto"/>
            <w:bottom w:val="none" w:sz="0" w:space="0" w:color="auto"/>
            <w:right w:val="none" w:sz="0" w:space="0" w:color="auto"/>
          </w:divBdr>
        </w:div>
        <w:div w:id="2064672884">
          <w:marLeft w:val="446"/>
          <w:marRight w:val="0"/>
          <w:marTop w:val="180"/>
          <w:marBottom w:val="0"/>
          <w:divBdr>
            <w:top w:val="none" w:sz="0" w:space="0" w:color="auto"/>
            <w:left w:val="none" w:sz="0" w:space="0" w:color="auto"/>
            <w:bottom w:val="none" w:sz="0" w:space="0" w:color="auto"/>
            <w:right w:val="none" w:sz="0" w:space="0" w:color="auto"/>
          </w:divBdr>
        </w:div>
      </w:divsChild>
    </w:div>
    <w:div w:id="1694839396">
      <w:bodyDiv w:val="1"/>
      <w:marLeft w:val="0"/>
      <w:marRight w:val="0"/>
      <w:marTop w:val="0"/>
      <w:marBottom w:val="0"/>
      <w:divBdr>
        <w:top w:val="none" w:sz="0" w:space="0" w:color="auto"/>
        <w:left w:val="none" w:sz="0" w:space="0" w:color="auto"/>
        <w:bottom w:val="none" w:sz="0" w:space="0" w:color="auto"/>
        <w:right w:val="none" w:sz="0" w:space="0" w:color="auto"/>
      </w:divBdr>
    </w:div>
    <w:div w:id="1739088643">
      <w:bodyDiv w:val="1"/>
      <w:marLeft w:val="0"/>
      <w:marRight w:val="0"/>
      <w:marTop w:val="0"/>
      <w:marBottom w:val="0"/>
      <w:divBdr>
        <w:top w:val="none" w:sz="0" w:space="0" w:color="auto"/>
        <w:left w:val="none" w:sz="0" w:space="0" w:color="auto"/>
        <w:bottom w:val="none" w:sz="0" w:space="0" w:color="auto"/>
        <w:right w:val="none" w:sz="0" w:space="0" w:color="auto"/>
      </w:divBdr>
    </w:div>
    <w:div w:id="1746418759">
      <w:bodyDiv w:val="1"/>
      <w:marLeft w:val="0"/>
      <w:marRight w:val="0"/>
      <w:marTop w:val="0"/>
      <w:marBottom w:val="0"/>
      <w:divBdr>
        <w:top w:val="none" w:sz="0" w:space="0" w:color="auto"/>
        <w:left w:val="none" w:sz="0" w:space="0" w:color="auto"/>
        <w:bottom w:val="none" w:sz="0" w:space="0" w:color="auto"/>
        <w:right w:val="none" w:sz="0" w:space="0" w:color="auto"/>
      </w:divBdr>
    </w:div>
    <w:div w:id="1790777974">
      <w:bodyDiv w:val="1"/>
      <w:marLeft w:val="0"/>
      <w:marRight w:val="0"/>
      <w:marTop w:val="0"/>
      <w:marBottom w:val="0"/>
      <w:divBdr>
        <w:top w:val="none" w:sz="0" w:space="0" w:color="auto"/>
        <w:left w:val="none" w:sz="0" w:space="0" w:color="auto"/>
        <w:bottom w:val="none" w:sz="0" w:space="0" w:color="auto"/>
        <w:right w:val="none" w:sz="0" w:space="0" w:color="auto"/>
      </w:divBdr>
      <w:divsChild>
        <w:div w:id="1706129636">
          <w:marLeft w:val="0"/>
          <w:marRight w:val="0"/>
          <w:marTop w:val="0"/>
          <w:marBottom w:val="0"/>
          <w:divBdr>
            <w:top w:val="none" w:sz="0" w:space="0" w:color="auto"/>
            <w:left w:val="none" w:sz="0" w:space="0" w:color="auto"/>
            <w:bottom w:val="none" w:sz="0" w:space="0" w:color="auto"/>
            <w:right w:val="none" w:sz="0" w:space="0" w:color="auto"/>
          </w:divBdr>
          <w:divsChild>
            <w:div w:id="1665040035">
              <w:marLeft w:val="-225"/>
              <w:marRight w:val="-225"/>
              <w:marTop w:val="0"/>
              <w:marBottom w:val="0"/>
              <w:divBdr>
                <w:top w:val="none" w:sz="0" w:space="0" w:color="auto"/>
                <w:left w:val="none" w:sz="0" w:space="0" w:color="auto"/>
                <w:bottom w:val="none" w:sz="0" w:space="0" w:color="auto"/>
                <w:right w:val="none" w:sz="0" w:space="0" w:color="auto"/>
              </w:divBdr>
              <w:divsChild>
                <w:div w:id="1936400846">
                  <w:marLeft w:val="0"/>
                  <w:marRight w:val="0"/>
                  <w:marTop w:val="0"/>
                  <w:marBottom w:val="0"/>
                  <w:divBdr>
                    <w:top w:val="none" w:sz="0" w:space="0" w:color="auto"/>
                    <w:left w:val="none" w:sz="0" w:space="0" w:color="auto"/>
                    <w:bottom w:val="none" w:sz="0" w:space="0" w:color="auto"/>
                    <w:right w:val="none" w:sz="0" w:space="0" w:color="auto"/>
                  </w:divBdr>
                  <w:divsChild>
                    <w:div w:id="290868162">
                      <w:marLeft w:val="0"/>
                      <w:marRight w:val="0"/>
                      <w:marTop w:val="0"/>
                      <w:marBottom w:val="225"/>
                      <w:divBdr>
                        <w:top w:val="none" w:sz="0" w:space="0" w:color="auto"/>
                        <w:left w:val="none" w:sz="0" w:space="0" w:color="auto"/>
                        <w:bottom w:val="none" w:sz="0" w:space="0" w:color="auto"/>
                        <w:right w:val="none" w:sz="0" w:space="0" w:color="auto"/>
                      </w:divBdr>
                      <w:divsChild>
                        <w:div w:id="1634603410">
                          <w:marLeft w:val="0"/>
                          <w:marRight w:val="0"/>
                          <w:marTop w:val="0"/>
                          <w:marBottom w:val="0"/>
                          <w:divBdr>
                            <w:top w:val="none" w:sz="0" w:space="0" w:color="auto"/>
                            <w:left w:val="none" w:sz="0" w:space="0" w:color="auto"/>
                            <w:bottom w:val="none" w:sz="0" w:space="0" w:color="auto"/>
                            <w:right w:val="none" w:sz="0" w:space="0" w:color="auto"/>
                          </w:divBdr>
                          <w:divsChild>
                            <w:div w:id="1980914003">
                              <w:marLeft w:val="0"/>
                              <w:marRight w:val="0"/>
                              <w:marTop w:val="0"/>
                              <w:marBottom w:val="0"/>
                              <w:divBdr>
                                <w:top w:val="none" w:sz="0" w:space="0" w:color="auto"/>
                                <w:left w:val="none" w:sz="0" w:space="0" w:color="auto"/>
                                <w:bottom w:val="none" w:sz="0" w:space="0" w:color="auto"/>
                                <w:right w:val="none" w:sz="0" w:space="0" w:color="auto"/>
                              </w:divBdr>
                              <w:divsChild>
                                <w:div w:id="442308713">
                                  <w:marLeft w:val="0"/>
                                  <w:marRight w:val="0"/>
                                  <w:marTop w:val="0"/>
                                  <w:marBottom w:val="0"/>
                                  <w:divBdr>
                                    <w:top w:val="none" w:sz="0" w:space="0" w:color="auto"/>
                                    <w:left w:val="none" w:sz="0" w:space="0" w:color="auto"/>
                                    <w:bottom w:val="none" w:sz="0" w:space="0" w:color="auto"/>
                                    <w:right w:val="none" w:sz="0" w:space="0" w:color="auto"/>
                                  </w:divBdr>
                                  <w:divsChild>
                                    <w:div w:id="499854453">
                                      <w:marLeft w:val="0"/>
                                      <w:marRight w:val="0"/>
                                      <w:marTop w:val="0"/>
                                      <w:marBottom w:val="0"/>
                                      <w:divBdr>
                                        <w:top w:val="none" w:sz="0" w:space="0" w:color="auto"/>
                                        <w:left w:val="none" w:sz="0" w:space="0" w:color="auto"/>
                                        <w:bottom w:val="none" w:sz="0" w:space="0" w:color="auto"/>
                                        <w:right w:val="none" w:sz="0" w:space="0" w:color="auto"/>
                                      </w:divBdr>
                                      <w:divsChild>
                                        <w:div w:id="948312627">
                                          <w:marLeft w:val="0"/>
                                          <w:marRight w:val="0"/>
                                          <w:marTop w:val="0"/>
                                          <w:marBottom w:val="0"/>
                                          <w:divBdr>
                                            <w:top w:val="none" w:sz="0" w:space="0" w:color="auto"/>
                                            <w:left w:val="none" w:sz="0" w:space="0" w:color="auto"/>
                                            <w:bottom w:val="none" w:sz="0" w:space="0" w:color="auto"/>
                                            <w:right w:val="none" w:sz="0" w:space="0" w:color="auto"/>
                                          </w:divBdr>
                                          <w:divsChild>
                                            <w:div w:id="607929881">
                                              <w:marLeft w:val="0"/>
                                              <w:marRight w:val="0"/>
                                              <w:marTop w:val="0"/>
                                              <w:marBottom w:val="0"/>
                                              <w:divBdr>
                                                <w:top w:val="none" w:sz="0" w:space="0" w:color="auto"/>
                                                <w:left w:val="none" w:sz="0" w:space="0" w:color="auto"/>
                                                <w:bottom w:val="none" w:sz="0" w:space="0" w:color="auto"/>
                                                <w:right w:val="none" w:sz="0" w:space="0" w:color="auto"/>
                                              </w:divBdr>
                                              <w:divsChild>
                                                <w:div w:id="1239553820">
                                                  <w:marLeft w:val="0"/>
                                                  <w:marRight w:val="0"/>
                                                  <w:marTop w:val="0"/>
                                                  <w:marBottom w:val="0"/>
                                                  <w:divBdr>
                                                    <w:top w:val="none" w:sz="0" w:space="0" w:color="auto"/>
                                                    <w:left w:val="none" w:sz="0" w:space="0" w:color="auto"/>
                                                    <w:bottom w:val="none" w:sz="0" w:space="0" w:color="auto"/>
                                                    <w:right w:val="none" w:sz="0" w:space="0" w:color="auto"/>
                                                  </w:divBdr>
                                                  <w:divsChild>
                                                    <w:div w:id="17377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2768492">
      <w:bodyDiv w:val="1"/>
      <w:marLeft w:val="0"/>
      <w:marRight w:val="0"/>
      <w:marTop w:val="0"/>
      <w:marBottom w:val="0"/>
      <w:divBdr>
        <w:top w:val="none" w:sz="0" w:space="0" w:color="auto"/>
        <w:left w:val="none" w:sz="0" w:space="0" w:color="auto"/>
        <w:bottom w:val="none" w:sz="0" w:space="0" w:color="auto"/>
        <w:right w:val="none" w:sz="0" w:space="0" w:color="auto"/>
      </w:divBdr>
      <w:divsChild>
        <w:div w:id="653293045">
          <w:marLeft w:val="446"/>
          <w:marRight w:val="0"/>
          <w:marTop w:val="200"/>
          <w:marBottom w:val="0"/>
          <w:divBdr>
            <w:top w:val="none" w:sz="0" w:space="0" w:color="auto"/>
            <w:left w:val="none" w:sz="0" w:space="0" w:color="auto"/>
            <w:bottom w:val="none" w:sz="0" w:space="0" w:color="auto"/>
            <w:right w:val="none" w:sz="0" w:space="0" w:color="auto"/>
          </w:divBdr>
        </w:div>
        <w:div w:id="1035891811">
          <w:marLeft w:val="446"/>
          <w:marRight w:val="0"/>
          <w:marTop w:val="200"/>
          <w:marBottom w:val="0"/>
          <w:divBdr>
            <w:top w:val="none" w:sz="0" w:space="0" w:color="auto"/>
            <w:left w:val="none" w:sz="0" w:space="0" w:color="auto"/>
            <w:bottom w:val="none" w:sz="0" w:space="0" w:color="auto"/>
            <w:right w:val="none" w:sz="0" w:space="0" w:color="auto"/>
          </w:divBdr>
        </w:div>
        <w:div w:id="1172839789">
          <w:marLeft w:val="446"/>
          <w:marRight w:val="0"/>
          <w:marTop w:val="200"/>
          <w:marBottom w:val="0"/>
          <w:divBdr>
            <w:top w:val="none" w:sz="0" w:space="0" w:color="auto"/>
            <w:left w:val="none" w:sz="0" w:space="0" w:color="auto"/>
            <w:bottom w:val="none" w:sz="0" w:space="0" w:color="auto"/>
            <w:right w:val="none" w:sz="0" w:space="0" w:color="auto"/>
          </w:divBdr>
        </w:div>
        <w:div w:id="1394160763">
          <w:marLeft w:val="446"/>
          <w:marRight w:val="0"/>
          <w:marTop w:val="200"/>
          <w:marBottom w:val="0"/>
          <w:divBdr>
            <w:top w:val="none" w:sz="0" w:space="0" w:color="auto"/>
            <w:left w:val="none" w:sz="0" w:space="0" w:color="auto"/>
            <w:bottom w:val="none" w:sz="0" w:space="0" w:color="auto"/>
            <w:right w:val="none" w:sz="0" w:space="0" w:color="auto"/>
          </w:divBdr>
        </w:div>
        <w:div w:id="1690184653">
          <w:marLeft w:val="446"/>
          <w:marRight w:val="0"/>
          <w:marTop w:val="200"/>
          <w:marBottom w:val="0"/>
          <w:divBdr>
            <w:top w:val="none" w:sz="0" w:space="0" w:color="auto"/>
            <w:left w:val="none" w:sz="0" w:space="0" w:color="auto"/>
            <w:bottom w:val="none" w:sz="0" w:space="0" w:color="auto"/>
            <w:right w:val="none" w:sz="0" w:space="0" w:color="auto"/>
          </w:divBdr>
        </w:div>
      </w:divsChild>
    </w:div>
    <w:div w:id="1805075798">
      <w:bodyDiv w:val="1"/>
      <w:marLeft w:val="0"/>
      <w:marRight w:val="0"/>
      <w:marTop w:val="0"/>
      <w:marBottom w:val="0"/>
      <w:divBdr>
        <w:top w:val="none" w:sz="0" w:space="0" w:color="auto"/>
        <w:left w:val="none" w:sz="0" w:space="0" w:color="auto"/>
        <w:bottom w:val="none" w:sz="0" w:space="0" w:color="auto"/>
        <w:right w:val="none" w:sz="0" w:space="0" w:color="auto"/>
      </w:divBdr>
      <w:divsChild>
        <w:div w:id="99959514">
          <w:marLeft w:val="547"/>
          <w:marRight w:val="0"/>
          <w:marTop w:val="180"/>
          <w:marBottom w:val="0"/>
          <w:divBdr>
            <w:top w:val="none" w:sz="0" w:space="0" w:color="auto"/>
            <w:left w:val="none" w:sz="0" w:space="0" w:color="auto"/>
            <w:bottom w:val="none" w:sz="0" w:space="0" w:color="auto"/>
            <w:right w:val="none" w:sz="0" w:space="0" w:color="auto"/>
          </w:divBdr>
        </w:div>
        <w:div w:id="286206944">
          <w:marLeft w:val="547"/>
          <w:marRight w:val="0"/>
          <w:marTop w:val="180"/>
          <w:marBottom w:val="0"/>
          <w:divBdr>
            <w:top w:val="none" w:sz="0" w:space="0" w:color="auto"/>
            <w:left w:val="none" w:sz="0" w:space="0" w:color="auto"/>
            <w:bottom w:val="none" w:sz="0" w:space="0" w:color="auto"/>
            <w:right w:val="none" w:sz="0" w:space="0" w:color="auto"/>
          </w:divBdr>
        </w:div>
        <w:div w:id="1072704174">
          <w:marLeft w:val="547"/>
          <w:marRight w:val="0"/>
          <w:marTop w:val="180"/>
          <w:marBottom w:val="0"/>
          <w:divBdr>
            <w:top w:val="none" w:sz="0" w:space="0" w:color="auto"/>
            <w:left w:val="none" w:sz="0" w:space="0" w:color="auto"/>
            <w:bottom w:val="none" w:sz="0" w:space="0" w:color="auto"/>
            <w:right w:val="none" w:sz="0" w:space="0" w:color="auto"/>
          </w:divBdr>
        </w:div>
        <w:div w:id="1129783082">
          <w:marLeft w:val="547"/>
          <w:marRight w:val="0"/>
          <w:marTop w:val="180"/>
          <w:marBottom w:val="0"/>
          <w:divBdr>
            <w:top w:val="none" w:sz="0" w:space="0" w:color="auto"/>
            <w:left w:val="none" w:sz="0" w:space="0" w:color="auto"/>
            <w:bottom w:val="none" w:sz="0" w:space="0" w:color="auto"/>
            <w:right w:val="none" w:sz="0" w:space="0" w:color="auto"/>
          </w:divBdr>
        </w:div>
        <w:div w:id="1962835227">
          <w:marLeft w:val="547"/>
          <w:marRight w:val="0"/>
          <w:marTop w:val="180"/>
          <w:marBottom w:val="0"/>
          <w:divBdr>
            <w:top w:val="none" w:sz="0" w:space="0" w:color="auto"/>
            <w:left w:val="none" w:sz="0" w:space="0" w:color="auto"/>
            <w:bottom w:val="none" w:sz="0" w:space="0" w:color="auto"/>
            <w:right w:val="none" w:sz="0" w:space="0" w:color="auto"/>
          </w:divBdr>
        </w:div>
        <w:div w:id="2056074961">
          <w:marLeft w:val="547"/>
          <w:marRight w:val="0"/>
          <w:marTop w:val="180"/>
          <w:marBottom w:val="0"/>
          <w:divBdr>
            <w:top w:val="none" w:sz="0" w:space="0" w:color="auto"/>
            <w:left w:val="none" w:sz="0" w:space="0" w:color="auto"/>
            <w:bottom w:val="none" w:sz="0" w:space="0" w:color="auto"/>
            <w:right w:val="none" w:sz="0" w:space="0" w:color="auto"/>
          </w:divBdr>
        </w:div>
      </w:divsChild>
    </w:div>
    <w:div w:id="1817794441">
      <w:bodyDiv w:val="1"/>
      <w:marLeft w:val="0"/>
      <w:marRight w:val="0"/>
      <w:marTop w:val="0"/>
      <w:marBottom w:val="0"/>
      <w:divBdr>
        <w:top w:val="none" w:sz="0" w:space="0" w:color="auto"/>
        <w:left w:val="none" w:sz="0" w:space="0" w:color="auto"/>
        <w:bottom w:val="none" w:sz="0" w:space="0" w:color="auto"/>
        <w:right w:val="none" w:sz="0" w:space="0" w:color="auto"/>
      </w:divBdr>
    </w:div>
    <w:div w:id="1821075435">
      <w:bodyDiv w:val="1"/>
      <w:marLeft w:val="0"/>
      <w:marRight w:val="0"/>
      <w:marTop w:val="0"/>
      <w:marBottom w:val="0"/>
      <w:divBdr>
        <w:top w:val="none" w:sz="0" w:space="0" w:color="auto"/>
        <w:left w:val="none" w:sz="0" w:space="0" w:color="auto"/>
        <w:bottom w:val="none" w:sz="0" w:space="0" w:color="auto"/>
        <w:right w:val="none" w:sz="0" w:space="0" w:color="auto"/>
      </w:divBdr>
    </w:div>
    <w:div w:id="1831746330">
      <w:bodyDiv w:val="1"/>
      <w:marLeft w:val="0"/>
      <w:marRight w:val="0"/>
      <w:marTop w:val="0"/>
      <w:marBottom w:val="0"/>
      <w:divBdr>
        <w:top w:val="none" w:sz="0" w:space="0" w:color="auto"/>
        <w:left w:val="none" w:sz="0" w:space="0" w:color="auto"/>
        <w:bottom w:val="none" w:sz="0" w:space="0" w:color="auto"/>
        <w:right w:val="none" w:sz="0" w:space="0" w:color="auto"/>
      </w:divBdr>
    </w:div>
    <w:div w:id="1836804270">
      <w:bodyDiv w:val="1"/>
      <w:marLeft w:val="0"/>
      <w:marRight w:val="0"/>
      <w:marTop w:val="0"/>
      <w:marBottom w:val="0"/>
      <w:divBdr>
        <w:top w:val="none" w:sz="0" w:space="0" w:color="auto"/>
        <w:left w:val="none" w:sz="0" w:space="0" w:color="auto"/>
        <w:bottom w:val="none" w:sz="0" w:space="0" w:color="auto"/>
        <w:right w:val="none" w:sz="0" w:space="0" w:color="auto"/>
      </w:divBdr>
    </w:div>
    <w:div w:id="1847667106">
      <w:bodyDiv w:val="1"/>
      <w:marLeft w:val="0"/>
      <w:marRight w:val="0"/>
      <w:marTop w:val="0"/>
      <w:marBottom w:val="0"/>
      <w:divBdr>
        <w:top w:val="none" w:sz="0" w:space="0" w:color="auto"/>
        <w:left w:val="none" w:sz="0" w:space="0" w:color="auto"/>
        <w:bottom w:val="none" w:sz="0" w:space="0" w:color="auto"/>
        <w:right w:val="none" w:sz="0" w:space="0" w:color="auto"/>
      </w:divBdr>
    </w:div>
    <w:div w:id="1859998212">
      <w:bodyDiv w:val="1"/>
      <w:marLeft w:val="0"/>
      <w:marRight w:val="0"/>
      <w:marTop w:val="0"/>
      <w:marBottom w:val="0"/>
      <w:divBdr>
        <w:top w:val="none" w:sz="0" w:space="0" w:color="auto"/>
        <w:left w:val="none" w:sz="0" w:space="0" w:color="auto"/>
        <w:bottom w:val="none" w:sz="0" w:space="0" w:color="auto"/>
        <w:right w:val="none" w:sz="0" w:space="0" w:color="auto"/>
      </w:divBdr>
      <w:divsChild>
        <w:div w:id="842399817">
          <w:marLeft w:val="547"/>
          <w:marRight w:val="0"/>
          <w:marTop w:val="180"/>
          <w:marBottom w:val="0"/>
          <w:divBdr>
            <w:top w:val="none" w:sz="0" w:space="0" w:color="auto"/>
            <w:left w:val="none" w:sz="0" w:space="0" w:color="auto"/>
            <w:bottom w:val="none" w:sz="0" w:space="0" w:color="auto"/>
            <w:right w:val="none" w:sz="0" w:space="0" w:color="auto"/>
          </w:divBdr>
        </w:div>
      </w:divsChild>
    </w:div>
    <w:div w:id="1916625343">
      <w:bodyDiv w:val="1"/>
      <w:marLeft w:val="0"/>
      <w:marRight w:val="0"/>
      <w:marTop w:val="0"/>
      <w:marBottom w:val="0"/>
      <w:divBdr>
        <w:top w:val="none" w:sz="0" w:space="0" w:color="auto"/>
        <w:left w:val="none" w:sz="0" w:space="0" w:color="auto"/>
        <w:bottom w:val="none" w:sz="0" w:space="0" w:color="auto"/>
        <w:right w:val="none" w:sz="0" w:space="0" w:color="auto"/>
      </w:divBdr>
      <w:divsChild>
        <w:div w:id="154684614">
          <w:marLeft w:val="274"/>
          <w:marRight w:val="0"/>
          <w:marTop w:val="40"/>
          <w:marBottom w:val="60"/>
          <w:divBdr>
            <w:top w:val="none" w:sz="0" w:space="0" w:color="auto"/>
            <w:left w:val="none" w:sz="0" w:space="0" w:color="auto"/>
            <w:bottom w:val="none" w:sz="0" w:space="0" w:color="auto"/>
            <w:right w:val="none" w:sz="0" w:space="0" w:color="auto"/>
          </w:divBdr>
        </w:div>
        <w:div w:id="768550978">
          <w:marLeft w:val="274"/>
          <w:marRight w:val="0"/>
          <w:marTop w:val="40"/>
          <w:marBottom w:val="60"/>
          <w:divBdr>
            <w:top w:val="none" w:sz="0" w:space="0" w:color="auto"/>
            <w:left w:val="none" w:sz="0" w:space="0" w:color="auto"/>
            <w:bottom w:val="none" w:sz="0" w:space="0" w:color="auto"/>
            <w:right w:val="none" w:sz="0" w:space="0" w:color="auto"/>
          </w:divBdr>
        </w:div>
        <w:div w:id="1051075080">
          <w:marLeft w:val="274"/>
          <w:marRight w:val="0"/>
          <w:marTop w:val="40"/>
          <w:marBottom w:val="60"/>
          <w:divBdr>
            <w:top w:val="none" w:sz="0" w:space="0" w:color="auto"/>
            <w:left w:val="none" w:sz="0" w:space="0" w:color="auto"/>
            <w:bottom w:val="none" w:sz="0" w:space="0" w:color="auto"/>
            <w:right w:val="none" w:sz="0" w:space="0" w:color="auto"/>
          </w:divBdr>
        </w:div>
        <w:div w:id="1074426181">
          <w:marLeft w:val="288"/>
          <w:marRight w:val="0"/>
          <w:marTop w:val="40"/>
          <w:marBottom w:val="60"/>
          <w:divBdr>
            <w:top w:val="none" w:sz="0" w:space="0" w:color="auto"/>
            <w:left w:val="none" w:sz="0" w:space="0" w:color="auto"/>
            <w:bottom w:val="none" w:sz="0" w:space="0" w:color="auto"/>
            <w:right w:val="none" w:sz="0" w:space="0" w:color="auto"/>
          </w:divBdr>
        </w:div>
        <w:div w:id="1178350924">
          <w:marLeft w:val="274"/>
          <w:marRight w:val="0"/>
          <w:marTop w:val="40"/>
          <w:marBottom w:val="60"/>
          <w:divBdr>
            <w:top w:val="none" w:sz="0" w:space="0" w:color="auto"/>
            <w:left w:val="none" w:sz="0" w:space="0" w:color="auto"/>
            <w:bottom w:val="none" w:sz="0" w:space="0" w:color="auto"/>
            <w:right w:val="none" w:sz="0" w:space="0" w:color="auto"/>
          </w:divBdr>
        </w:div>
        <w:div w:id="1295332141">
          <w:marLeft w:val="288"/>
          <w:marRight w:val="0"/>
          <w:marTop w:val="40"/>
          <w:marBottom w:val="60"/>
          <w:divBdr>
            <w:top w:val="none" w:sz="0" w:space="0" w:color="auto"/>
            <w:left w:val="none" w:sz="0" w:space="0" w:color="auto"/>
            <w:bottom w:val="none" w:sz="0" w:space="0" w:color="auto"/>
            <w:right w:val="none" w:sz="0" w:space="0" w:color="auto"/>
          </w:divBdr>
        </w:div>
        <w:div w:id="1527282594">
          <w:marLeft w:val="274"/>
          <w:marRight w:val="0"/>
          <w:marTop w:val="40"/>
          <w:marBottom w:val="60"/>
          <w:divBdr>
            <w:top w:val="none" w:sz="0" w:space="0" w:color="auto"/>
            <w:left w:val="none" w:sz="0" w:space="0" w:color="auto"/>
            <w:bottom w:val="none" w:sz="0" w:space="0" w:color="auto"/>
            <w:right w:val="none" w:sz="0" w:space="0" w:color="auto"/>
          </w:divBdr>
        </w:div>
        <w:div w:id="2035157059">
          <w:marLeft w:val="274"/>
          <w:marRight w:val="0"/>
          <w:marTop w:val="40"/>
          <w:marBottom w:val="60"/>
          <w:divBdr>
            <w:top w:val="none" w:sz="0" w:space="0" w:color="auto"/>
            <w:left w:val="none" w:sz="0" w:space="0" w:color="auto"/>
            <w:bottom w:val="none" w:sz="0" w:space="0" w:color="auto"/>
            <w:right w:val="none" w:sz="0" w:space="0" w:color="auto"/>
          </w:divBdr>
        </w:div>
      </w:divsChild>
    </w:div>
    <w:div w:id="1916936080">
      <w:bodyDiv w:val="1"/>
      <w:marLeft w:val="0"/>
      <w:marRight w:val="0"/>
      <w:marTop w:val="0"/>
      <w:marBottom w:val="0"/>
      <w:divBdr>
        <w:top w:val="none" w:sz="0" w:space="0" w:color="auto"/>
        <w:left w:val="none" w:sz="0" w:space="0" w:color="auto"/>
        <w:bottom w:val="none" w:sz="0" w:space="0" w:color="auto"/>
        <w:right w:val="none" w:sz="0" w:space="0" w:color="auto"/>
      </w:divBdr>
    </w:div>
    <w:div w:id="1919443071">
      <w:bodyDiv w:val="1"/>
      <w:marLeft w:val="0"/>
      <w:marRight w:val="0"/>
      <w:marTop w:val="0"/>
      <w:marBottom w:val="0"/>
      <w:divBdr>
        <w:top w:val="none" w:sz="0" w:space="0" w:color="auto"/>
        <w:left w:val="none" w:sz="0" w:space="0" w:color="auto"/>
        <w:bottom w:val="none" w:sz="0" w:space="0" w:color="auto"/>
        <w:right w:val="none" w:sz="0" w:space="0" w:color="auto"/>
      </w:divBdr>
    </w:div>
    <w:div w:id="1928610811">
      <w:bodyDiv w:val="1"/>
      <w:marLeft w:val="0"/>
      <w:marRight w:val="0"/>
      <w:marTop w:val="0"/>
      <w:marBottom w:val="0"/>
      <w:divBdr>
        <w:top w:val="none" w:sz="0" w:space="0" w:color="auto"/>
        <w:left w:val="none" w:sz="0" w:space="0" w:color="auto"/>
        <w:bottom w:val="none" w:sz="0" w:space="0" w:color="auto"/>
        <w:right w:val="none" w:sz="0" w:space="0" w:color="auto"/>
      </w:divBdr>
    </w:div>
    <w:div w:id="1938706610">
      <w:bodyDiv w:val="1"/>
      <w:marLeft w:val="0"/>
      <w:marRight w:val="0"/>
      <w:marTop w:val="0"/>
      <w:marBottom w:val="0"/>
      <w:divBdr>
        <w:top w:val="none" w:sz="0" w:space="0" w:color="auto"/>
        <w:left w:val="none" w:sz="0" w:space="0" w:color="auto"/>
        <w:bottom w:val="none" w:sz="0" w:space="0" w:color="auto"/>
        <w:right w:val="none" w:sz="0" w:space="0" w:color="auto"/>
      </w:divBdr>
      <w:divsChild>
        <w:div w:id="91710263">
          <w:marLeft w:val="274"/>
          <w:marRight w:val="0"/>
          <w:marTop w:val="40"/>
          <w:marBottom w:val="80"/>
          <w:divBdr>
            <w:top w:val="none" w:sz="0" w:space="0" w:color="auto"/>
            <w:left w:val="none" w:sz="0" w:space="0" w:color="auto"/>
            <w:bottom w:val="none" w:sz="0" w:space="0" w:color="auto"/>
            <w:right w:val="none" w:sz="0" w:space="0" w:color="auto"/>
          </w:divBdr>
        </w:div>
        <w:div w:id="282419411">
          <w:marLeft w:val="274"/>
          <w:marRight w:val="0"/>
          <w:marTop w:val="40"/>
          <w:marBottom w:val="80"/>
          <w:divBdr>
            <w:top w:val="none" w:sz="0" w:space="0" w:color="auto"/>
            <w:left w:val="none" w:sz="0" w:space="0" w:color="auto"/>
            <w:bottom w:val="none" w:sz="0" w:space="0" w:color="auto"/>
            <w:right w:val="none" w:sz="0" w:space="0" w:color="auto"/>
          </w:divBdr>
        </w:div>
        <w:div w:id="330959550">
          <w:marLeft w:val="274"/>
          <w:marRight w:val="0"/>
          <w:marTop w:val="40"/>
          <w:marBottom w:val="80"/>
          <w:divBdr>
            <w:top w:val="none" w:sz="0" w:space="0" w:color="auto"/>
            <w:left w:val="none" w:sz="0" w:space="0" w:color="auto"/>
            <w:bottom w:val="none" w:sz="0" w:space="0" w:color="auto"/>
            <w:right w:val="none" w:sz="0" w:space="0" w:color="auto"/>
          </w:divBdr>
        </w:div>
        <w:div w:id="752504913">
          <w:marLeft w:val="274"/>
          <w:marRight w:val="0"/>
          <w:marTop w:val="40"/>
          <w:marBottom w:val="80"/>
          <w:divBdr>
            <w:top w:val="none" w:sz="0" w:space="0" w:color="auto"/>
            <w:left w:val="none" w:sz="0" w:space="0" w:color="auto"/>
            <w:bottom w:val="none" w:sz="0" w:space="0" w:color="auto"/>
            <w:right w:val="none" w:sz="0" w:space="0" w:color="auto"/>
          </w:divBdr>
        </w:div>
        <w:div w:id="916865390">
          <w:marLeft w:val="274"/>
          <w:marRight w:val="0"/>
          <w:marTop w:val="40"/>
          <w:marBottom w:val="80"/>
          <w:divBdr>
            <w:top w:val="none" w:sz="0" w:space="0" w:color="auto"/>
            <w:left w:val="none" w:sz="0" w:space="0" w:color="auto"/>
            <w:bottom w:val="none" w:sz="0" w:space="0" w:color="auto"/>
            <w:right w:val="none" w:sz="0" w:space="0" w:color="auto"/>
          </w:divBdr>
        </w:div>
        <w:div w:id="1000890615">
          <w:marLeft w:val="274"/>
          <w:marRight w:val="0"/>
          <w:marTop w:val="40"/>
          <w:marBottom w:val="80"/>
          <w:divBdr>
            <w:top w:val="none" w:sz="0" w:space="0" w:color="auto"/>
            <w:left w:val="none" w:sz="0" w:space="0" w:color="auto"/>
            <w:bottom w:val="none" w:sz="0" w:space="0" w:color="auto"/>
            <w:right w:val="none" w:sz="0" w:space="0" w:color="auto"/>
          </w:divBdr>
        </w:div>
        <w:div w:id="1107043537">
          <w:marLeft w:val="446"/>
          <w:marRight w:val="0"/>
          <w:marTop w:val="40"/>
          <w:marBottom w:val="80"/>
          <w:divBdr>
            <w:top w:val="none" w:sz="0" w:space="0" w:color="auto"/>
            <w:left w:val="none" w:sz="0" w:space="0" w:color="auto"/>
            <w:bottom w:val="none" w:sz="0" w:space="0" w:color="auto"/>
            <w:right w:val="none" w:sz="0" w:space="0" w:color="auto"/>
          </w:divBdr>
        </w:div>
        <w:div w:id="1343704879">
          <w:marLeft w:val="274"/>
          <w:marRight w:val="0"/>
          <w:marTop w:val="40"/>
          <w:marBottom w:val="80"/>
          <w:divBdr>
            <w:top w:val="none" w:sz="0" w:space="0" w:color="auto"/>
            <w:left w:val="none" w:sz="0" w:space="0" w:color="auto"/>
            <w:bottom w:val="none" w:sz="0" w:space="0" w:color="auto"/>
            <w:right w:val="none" w:sz="0" w:space="0" w:color="auto"/>
          </w:divBdr>
        </w:div>
        <w:div w:id="1376932784">
          <w:marLeft w:val="446"/>
          <w:marRight w:val="0"/>
          <w:marTop w:val="40"/>
          <w:marBottom w:val="80"/>
          <w:divBdr>
            <w:top w:val="none" w:sz="0" w:space="0" w:color="auto"/>
            <w:left w:val="none" w:sz="0" w:space="0" w:color="auto"/>
            <w:bottom w:val="none" w:sz="0" w:space="0" w:color="auto"/>
            <w:right w:val="none" w:sz="0" w:space="0" w:color="auto"/>
          </w:divBdr>
        </w:div>
        <w:div w:id="1381057304">
          <w:marLeft w:val="274"/>
          <w:marRight w:val="0"/>
          <w:marTop w:val="40"/>
          <w:marBottom w:val="80"/>
          <w:divBdr>
            <w:top w:val="none" w:sz="0" w:space="0" w:color="auto"/>
            <w:left w:val="none" w:sz="0" w:space="0" w:color="auto"/>
            <w:bottom w:val="none" w:sz="0" w:space="0" w:color="auto"/>
            <w:right w:val="none" w:sz="0" w:space="0" w:color="auto"/>
          </w:divBdr>
        </w:div>
        <w:div w:id="1450393541">
          <w:marLeft w:val="274"/>
          <w:marRight w:val="0"/>
          <w:marTop w:val="40"/>
          <w:marBottom w:val="80"/>
          <w:divBdr>
            <w:top w:val="none" w:sz="0" w:space="0" w:color="auto"/>
            <w:left w:val="none" w:sz="0" w:space="0" w:color="auto"/>
            <w:bottom w:val="none" w:sz="0" w:space="0" w:color="auto"/>
            <w:right w:val="none" w:sz="0" w:space="0" w:color="auto"/>
          </w:divBdr>
        </w:div>
        <w:div w:id="1981692763">
          <w:marLeft w:val="446"/>
          <w:marRight w:val="0"/>
          <w:marTop w:val="40"/>
          <w:marBottom w:val="80"/>
          <w:divBdr>
            <w:top w:val="none" w:sz="0" w:space="0" w:color="auto"/>
            <w:left w:val="none" w:sz="0" w:space="0" w:color="auto"/>
            <w:bottom w:val="none" w:sz="0" w:space="0" w:color="auto"/>
            <w:right w:val="none" w:sz="0" w:space="0" w:color="auto"/>
          </w:divBdr>
        </w:div>
        <w:div w:id="2040737597">
          <w:marLeft w:val="446"/>
          <w:marRight w:val="0"/>
          <w:marTop w:val="40"/>
          <w:marBottom w:val="80"/>
          <w:divBdr>
            <w:top w:val="none" w:sz="0" w:space="0" w:color="auto"/>
            <w:left w:val="none" w:sz="0" w:space="0" w:color="auto"/>
            <w:bottom w:val="none" w:sz="0" w:space="0" w:color="auto"/>
            <w:right w:val="none" w:sz="0" w:space="0" w:color="auto"/>
          </w:divBdr>
        </w:div>
      </w:divsChild>
    </w:div>
    <w:div w:id="1961448950">
      <w:bodyDiv w:val="1"/>
      <w:marLeft w:val="0"/>
      <w:marRight w:val="0"/>
      <w:marTop w:val="0"/>
      <w:marBottom w:val="0"/>
      <w:divBdr>
        <w:top w:val="none" w:sz="0" w:space="0" w:color="auto"/>
        <w:left w:val="none" w:sz="0" w:space="0" w:color="auto"/>
        <w:bottom w:val="none" w:sz="0" w:space="0" w:color="auto"/>
        <w:right w:val="none" w:sz="0" w:space="0" w:color="auto"/>
      </w:divBdr>
    </w:div>
    <w:div w:id="1994024555">
      <w:bodyDiv w:val="1"/>
      <w:marLeft w:val="0"/>
      <w:marRight w:val="0"/>
      <w:marTop w:val="0"/>
      <w:marBottom w:val="0"/>
      <w:divBdr>
        <w:top w:val="none" w:sz="0" w:space="0" w:color="auto"/>
        <w:left w:val="none" w:sz="0" w:space="0" w:color="auto"/>
        <w:bottom w:val="none" w:sz="0" w:space="0" w:color="auto"/>
        <w:right w:val="none" w:sz="0" w:space="0" w:color="auto"/>
      </w:divBdr>
      <w:divsChild>
        <w:div w:id="132917691">
          <w:marLeft w:val="0"/>
          <w:marRight w:val="0"/>
          <w:marTop w:val="0"/>
          <w:marBottom w:val="0"/>
          <w:divBdr>
            <w:top w:val="none" w:sz="0" w:space="0" w:color="auto"/>
            <w:left w:val="none" w:sz="0" w:space="0" w:color="auto"/>
            <w:bottom w:val="none" w:sz="0" w:space="0" w:color="auto"/>
            <w:right w:val="none" w:sz="0" w:space="0" w:color="auto"/>
          </w:divBdr>
          <w:divsChild>
            <w:div w:id="589387979">
              <w:marLeft w:val="-225"/>
              <w:marRight w:val="-225"/>
              <w:marTop w:val="0"/>
              <w:marBottom w:val="0"/>
              <w:divBdr>
                <w:top w:val="none" w:sz="0" w:space="0" w:color="auto"/>
                <w:left w:val="none" w:sz="0" w:space="0" w:color="auto"/>
                <w:bottom w:val="none" w:sz="0" w:space="0" w:color="auto"/>
                <w:right w:val="none" w:sz="0" w:space="0" w:color="auto"/>
              </w:divBdr>
              <w:divsChild>
                <w:div w:id="1499687681">
                  <w:marLeft w:val="0"/>
                  <w:marRight w:val="0"/>
                  <w:marTop w:val="0"/>
                  <w:marBottom w:val="0"/>
                  <w:divBdr>
                    <w:top w:val="none" w:sz="0" w:space="0" w:color="auto"/>
                    <w:left w:val="none" w:sz="0" w:space="0" w:color="auto"/>
                    <w:bottom w:val="none" w:sz="0" w:space="0" w:color="auto"/>
                    <w:right w:val="none" w:sz="0" w:space="0" w:color="auto"/>
                  </w:divBdr>
                  <w:divsChild>
                    <w:div w:id="636836389">
                      <w:marLeft w:val="0"/>
                      <w:marRight w:val="0"/>
                      <w:marTop w:val="0"/>
                      <w:marBottom w:val="225"/>
                      <w:divBdr>
                        <w:top w:val="none" w:sz="0" w:space="0" w:color="auto"/>
                        <w:left w:val="none" w:sz="0" w:space="0" w:color="auto"/>
                        <w:bottom w:val="none" w:sz="0" w:space="0" w:color="auto"/>
                        <w:right w:val="none" w:sz="0" w:space="0" w:color="auto"/>
                      </w:divBdr>
                      <w:divsChild>
                        <w:div w:id="1090587379">
                          <w:marLeft w:val="0"/>
                          <w:marRight w:val="0"/>
                          <w:marTop w:val="0"/>
                          <w:marBottom w:val="0"/>
                          <w:divBdr>
                            <w:top w:val="none" w:sz="0" w:space="0" w:color="auto"/>
                            <w:left w:val="none" w:sz="0" w:space="0" w:color="auto"/>
                            <w:bottom w:val="none" w:sz="0" w:space="0" w:color="auto"/>
                            <w:right w:val="none" w:sz="0" w:space="0" w:color="auto"/>
                          </w:divBdr>
                          <w:divsChild>
                            <w:div w:id="981498480">
                              <w:marLeft w:val="0"/>
                              <w:marRight w:val="0"/>
                              <w:marTop w:val="0"/>
                              <w:marBottom w:val="0"/>
                              <w:divBdr>
                                <w:top w:val="none" w:sz="0" w:space="0" w:color="auto"/>
                                <w:left w:val="none" w:sz="0" w:space="0" w:color="auto"/>
                                <w:bottom w:val="none" w:sz="0" w:space="0" w:color="auto"/>
                                <w:right w:val="none" w:sz="0" w:space="0" w:color="auto"/>
                              </w:divBdr>
                              <w:divsChild>
                                <w:div w:id="1884975924">
                                  <w:marLeft w:val="0"/>
                                  <w:marRight w:val="0"/>
                                  <w:marTop w:val="0"/>
                                  <w:marBottom w:val="0"/>
                                  <w:divBdr>
                                    <w:top w:val="none" w:sz="0" w:space="0" w:color="auto"/>
                                    <w:left w:val="none" w:sz="0" w:space="0" w:color="auto"/>
                                    <w:bottom w:val="none" w:sz="0" w:space="0" w:color="auto"/>
                                    <w:right w:val="none" w:sz="0" w:space="0" w:color="auto"/>
                                  </w:divBdr>
                                  <w:divsChild>
                                    <w:div w:id="222644389">
                                      <w:marLeft w:val="0"/>
                                      <w:marRight w:val="0"/>
                                      <w:marTop w:val="0"/>
                                      <w:marBottom w:val="0"/>
                                      <w:divBdr>
                                        <w:top w:val="none" w:sz="0" w:space="0" w:color="auto"/>
                                        <w:left w:val="none" w:sz="0" w:space="0" w:color="auto"/>
                                        <w:bottom w:val="none" w:sz="0" w:space="0" w:color="auto"/>
                                        <w:right w:val="none" w:sz="0" w:space="0" w:color="auto"/>
                                      </w:divBdr>
                                      <w:divsChild>
                                        <w:div w:id="1559433704">
                                          <w:marLeft w:val="0"/>
                                          <w:marRight w:val="0"/>
                                          <w:marTop w:val="0"/>
                                          <w:marBottom w:val="0"/>
                                          <w:divBdr>
                                            <w:top w:val="none" w:sz="0" w:space="0" w:color="auto"/>
                                            <w:left w:val="none" w:sz="0" w:space="0" w:color="auto"/>
                                            <w:bottom w:val="none" w:sz="0" w:space="0" w:color="auto"/>
                                            <w:right w:val="none" w:sz="0" w:space="0" w:color="auto"/>
                                          </w:divBdr>
                                          <w:divsChild>
                                            <w:div w:id="920866480">
                                              <w:marLeft w:val="0"/>
                                              <w:marRight w:val="0"/>
                                              <w:marTop w:val="0"/>
                                              <w:marBottom w:val="0"/>
                                              <w:divBdr>
                                                <w:top w:val="none" w:sz="0" w:space="0" w:color="auto"/>
                                                <w:left w:val="none" w:sz="0" w:space="0" w:color="auto"/>
                                                <w:bottom w:val="none" w:sz="0" w:space="0" w:color="auto"/>
                                                <w:right w:val="none" w:sz="0" w:space="0" w:color="auto"/>
                                              </w:divBdr>
                                              <w:divsChild>
                                                <w:div w:id="834882593">
                                                  <w:marLeft w:val="0"/>
                                                  <w:marRight w:val="0"/>
                                                  <w:marTop w:val="0"/>
                                                  <w:marBottom w:val="0"/>
                                                  <w:divBdr>
                                                    <w:top w:val="none" w:sz="0" w:space="0" w:color="auto"/>
                                                    <w:left w:val="none" w:sz="0" w:space="0" w:color="auto"/>
                                                    <w:bottom w:val="none" w:sz="0" w:space="0" w:color="auto"/>
                                                    <w:right w:val="none" w:sz="0" w:space="0" w:color="auto"/>
                                                  </w:divBdr>
                                                  <w:divsChild>
                                                    <w:div w:id="1780367693">
                                                      <w:marLeft w:val="0"/>
                                                      <w:marRight w:val="0"/>
                                                      <w:marTop w:val="0"/>
                                                      <w:marBottom w:val="0"/>
                                                      <w:divBdr>
                                                        <w:top w:val="none" w:sz="0" w:space="0" w:color="auto"/>
                                                        <w:left w:val="none" w:sz="0" w:space="0" w:color="auto"/>
                                                        <w:bottom w:val="none" w:sz="0" w:space="0" w:color="auto"/>
                                                        <w:right w:val="none" w:sz="0" w:space="0" w:color="auto"/>
                                                      </w:divBdr>
                                                      <w:divsChild>
                                                        <w:div w:id="766274020">
                                                          <w:marLeft w:val="-225"/>
                                                          <w:marRight w:val="-225"/>
                                                          <w:marTop w:val="0"/>
                                                          <w:marBottom w:val="0"/>
                                                          <w:divBdr>
                                                            <w:top w:val="none" w:sz="0" w:space="0" w:color="auto"/>
                                                            <w:left w:val="none" w:sz="0" w:space="0" w:color="auto"/>
                                                            <w:bottom w:val="none" w:sz="0" w:space="0" w:color="auto"/>
                                                            <w:right w:val="none" w:sz="0" w:space="0" w:color="auto"/>
                                                          </w:divBdr>
                                                          <w:divsChild>
                                                            <w:div w:id="1017972127">
                                                              <w:marLeft w:val="0"/>
                                                              <w:marRight w:val="0"/>
                                                              <w:marTop w:val="0"/>
                                                              <w:marBottom w:val="0"/>
                                                              <w:divBdr>
                                                                <w:top w:val="none" w:sz="0" w:space="0" w:color="auto"/>
                                                                <w:left w:val="none" w:sz="0" w:space="0" w:color="auto"/>
                                                                <w:bottom w:val="none" w:sz="0" w:space="0" w:color="auto"/>
                                                                <w:right w:val="none" w:sz="0" w:space="0" w:color="auto"/>
                                                              </w:divBdr>
                                                            </w:div>
                                                          </w:divsChild>
                                                        </w:div>
                                                        <w:div w:id="984625264">
                                                          <w:marLeft w:val="-225"/>
                                                          <w:marRight w:val="-225"/>
                                                          <w:marTop w:val="0"/>
                                                          <w:marBottom w:val="0"/>
                                                          <w:divBdr>
                                                            <w:top w:val="none" w:sz="0" w:space="0" w:color="auto"/>
                                                            <w:left w:val="none" w:sz="0" w:space="0" w:color="auto"/>
                                                            <w:bottom w:val="none" w:sz="0" w:space="0" w:color="auto"/>
                                                            <w:right w:val="none" w:sz="0" w:space="0" w:color="auto"/>
                                                          </w:divBdr>
                                                          <w:divsChild>
                                                            <w:div w:id="1731657743">
                                                              <w:marLeft w:val="0"/>
                                                              <w:marRight w:val="0"/>
                                                              <w:marTop w:val="0"/>
                                                              <w:marBottom w:val="0"/>
                                                              <w:divBdr>
                                                                <w:top w:val="none" w:sz="0" w:space="0" w:color="auto"/>
                                                                <w:left w:val="none" w:sz="0" w:space="0" w:color="auto"/>
                                                                <w:bottom w:val="none" w:sz="0" w:space="0" w:color="auto"/>
                                                                <w:right w:val="none" w:sz="0" w:space="0" w:color="auto"/>
                                                              </w:divBdr>
                                                            </w:div>
                                                          </w:divsChild>
                                                        </w:div>
                                                        <w:div w:id="993415310">
                                                          <w:marLeft w:val="-225"/>
                                                          <w:marRight w:val="-225"/>
                                                          <w:marTop w:val="0"/>
                                                          <w:marBottom w:val="0"/>
                                                          <w:divBdr>
                                                            <w:top w:val="none" w:sz="0" w:space="0" w:color="auto"/>
                                                            <w:left w:val="none" w:sz="0" w:space="0" w:color="auto"/>
                                                            <w:bottom w:val="none" w:sz="0" w:space="0" w:color="auto"/>
                                                            <w:right w:val="none" w:sz="0" w:space="0" w:color="auto"/>
                                                          </w:divBdr>
                                                          <w:divsChild>
                                                            <w:div w:id="50806770">
                                                              <w:marLeft w:val="0"/>
                                                              <w:marRight w:val="0"/>
                                                              <w:marTop w:val="0"/>
                                                              <w:marBottom w:val="0"/>
                                                              <w:divBdr>
                                                                <w:top w:val="none" w:sz="0" w:space="0" w:color="auto"/>
                                                                <w:left w:val="none" w:sz="0" w:space="0" w:color="auto"/>
                                                                <w:bottom w:val="none" w:sz="0" w:space="0" w:color="auto"/>
                                                                <w:right w:val="none" w:sz="0" w:space="0" w:color="auto"/>
                                                              </w:divBdr>
                                                            </w:div>
                                                          </w:divsChild>
                                                        </w:div>
                                                        <w:div w:id="1784566654">
                                                          <w:marLeft w:val="-225"/>
                                                          <w:marRight w:val="-225"/>
                                                          <w:marTop w:val="0"/>
                                                          <w:marBottom w:val="0"/>
                                                          <w:divBdr>
                                                            <w:top w:val="none" w:sz="0" w:space="0" w:color="auto"/>
                                                            <w:left w:val="none" w:sz="0" w:space="0" w:color="auto"/>
                                                            <w:bottom w:val="none" w:sz="0" w:space="0" w:color="auto"/>
                                                            <w:right w:val="none" w:sz="0" w:space="0" w:color="auto"/>
                                                          </w:divBdr>
                                                          <w:divsChild>
                                                            <w:div w:id="17898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01276489">
      <w:bodyDiv w:val="1"/>
      <w:marLeft w:val="0"/>
      <w:marRight w:val="0"/>
      <w:marTop w:val="0"/>
      <w:marBottom w:val="0"/>
      <w:divBdr>
        <w:top w:val="none" w:sz="0" w:space="0" w:color="auto"/>
        <w:left w:val="none" w:sz="0" w:space="0" w:color="auto"/>
        <w:bottom w:val="none" w:sz="0" w:space="0" w:color="auto"/>
        <w:right w:val="none" w:sz="0" w:space="0" w:color="auto"/>
      </w:divBdr>
    </w:div>
    <w:div w:id="2014646020">
      <w:bodyDiv w:val="1"/>
      <w:marLeft w:val="0"/>
      <w:marRight w:val="0"/>
      <w:marTop w:val="0"/>
      <w:marBottom w:val="0"/>
      <w:divBdr>
        <w:top w:val="none" w:sz="0" w:space="0" w:color="auto"/>
        <w:left w:val="none" w:sz="0" w:space="0" w:color="auto"/>
        <w:bottom w:val="none" w:sz="0" w:space="0" w:color="auto"/>
        <w:right w:val="none" w:sz="0" w:space="0" w:color="auto"/>
      </w:divBdr>
    </w:div>
    <w:div w:id="2021159990">
      <w:bodyDiv w:val="1"/>
      <w:marLeft w:val="0"/>
      <w:marRight w:val="0"/>
      <w:marTop w:val="0"/>
      <w:marBottom w:val="0"/>
      <w:divBdr>
        <w:top w:val="none" w:sz="0" w:space="0" w:color="auto"/>
        <w:left w:val="none" w:sz="0" w:space="0" w:color="auto"/>
        <w:bottom w:val="none" w:sz="0" w:space="0" w:color="auto"/>
        <w:right w:val="none" w:sz="0" w:space="0" w:color="auto"/>
      </w:divBdr>
    </w:div>
    <w:div w:id="2034264183">
      <w:bodyDiv w:val="1"/>
      <w:marLeft w:val="0"/>
      <w:marRight w:val="0"/>
      <w:marTop w:val="0"/>
      <w:marBottom w:val="0"/>
      <w:divBdr>
        <w:top w:val="none" w:sz="0" w:space="0" w:color="auto"/>
        <w:left w:val="none" w:sz="0" w:space="0" w:color="auto"/>
        <w:bottom w:val="none" w:sz="0" w:space="0" w:color="auto"/>
        <w:right w:val="none" w:sz="0" w:space="0" w:color="auto"/>
      </w:divBdr>
    </w:div>
    <w:div w:id="2035766067">
      <w:bodyDiv w:val="1"/>
      <w:marLeft w:val="0"/>
      <w:marRight w:val="0"/>
      <w:marTop w:val="0"/>
      <w:marBottom w:val="0"/>
      <w:divBdr>
        <w:top w:val="none" w:sz="0" w:space="0" w:color="auto"/>
        <w:left w:val="none" w:sz="0" w:space="0" w:color="auto"/>
        <w:bottom w:val="none" w:sz="0" w:space="0" w:color="auto"/>
        <w:right w:val="none" w:sz="0" w:space="0" w:color="auto"/>
      </w:divBdr>
      <w:divsChild>
        <w:div w:id="22635111">
          <w:marLeft w:val="475"/>
          <w:marRight w:val="0"/>
          <w:marTop w:val="141"/>
          <w:marBottom w:val="0"/>
          <w:divBdr>
            <w:top w:val="none" w:sz="0" w:space="0" w:color="auto"/>
            <w:left w:val="none" w:sz="0" w:space="0" w:color="auto"/>
            <w:bottom w:val="none" w:sz="0" w:space="0" w:color="auto"/>
            <w:right w:val="none" w:sz="0" w:space="0" w:color="auto"/>
          </w:divBdr>
        </w:div>
        <w:div w:id="172568743">
          <w:marLeft w:val="475"/>
          <w:marRight w:val="86"/>
          <w:marTop w:val="179"/>
          <w:marBottom w:val="0"/>
          <w:divBdr>
            <w:top w:val="none" w:sz="0" w:space="0" w:color="auto"/>
            <w:left w:val="none" w:sz="0" w:space="0" w:color="auto"/>
            <w:bottom w:val="none" w:sz="0" w:space="0" w:color="auto"/>
            <w:right w:val="none" w:sz="0" w:space="0" w:color="auto"/>
          </w:divBdr>
        </w:div>
        <w:div w:id="509295616">
          <w:marLeft w:val="475"/>
          <w:marRight w:val="14"/>
          <w:marTop w:val="185"/>
          <w:marBottom w:val="0"/>
          <w:divBdr>
            <w:top w:val="none" w:sz="0" w:space="0" w:color="auto"/>
            <w:left w:val="none" w:sz="0" w:space="0" w:color="auto"/>
            <w:bottom w:val="none" w:sz="0" w:space="0" w:color="auto"/>
            <w:right w:val="none" w:sz="0" w:space="0" w:color="auto"/>
          </w:divBdr>
        </w:div>
        <w:div w:id="1058746012">
          <w:marLeft w:val="475"/>
          <w:marRight w:val="0"/>
          <w:marTop w:val="142"/>
          <w:marBottom w:val="0"/>
          <w:divBdr>
            <w:top w:val="none" w:sz="0" w:space="0" w:color="auto"/>
            <w:left w:val="none" w:sz="0" w:space="0" w:color="auto"/>
            <w:bottom w:val="none" w:sz="0" w:space="0" w:color="auto"/>
            <w:right w:val="none" w:sz="0" w:space="0" w:color="auto"/>
          </w:divBdr>
        </w:div>
        <w:div w:id="1356157675">
          <w:marLeft w:val="1195"/>
          <w:marRight w:val="86"/>
          <w:marTop w:val="179"/>
          <w:marBottom w:val="0"/>
          <w:divBdr>
            <w:top w:val="none" w:sz="0" w:space="0" w:color="auto"/>
            <w:left w:val="none" w:sz="0" w:space="0" w:color="auto"/>
            <w:bottom w:val="none" w:sz="0" w:space="0" w:color="auto"/>
            <w:right w:val="none" w:sz="0" w:space="0" w:color="auto"/>
          </w:divBdr>
        </w:div>
        <w:div w:id="1535970366">
          <w:marLeft w:val="1195"/>
          <w:marRight w:val="86"/>
          <w:marTop w:val="179"/>
          <w:marBottom w:val="0"/>
          <w:divBdr>
            <w:top w:val="none" w:sz="0" w:space="0" w:color="auto"/>
            <w:left w:val="none" w:sz="0" w:space="0" w:color="auto"/>
            <w:bottom w:val="none" w:sz="0" w:space="0" w:color="auto"/>
            <w:right w:val="none" w:sz="0" w:space="0" w:color="auto"/>
          </w:divBdr>
        </w:div>
        <w:div w:id="1956137849">
          <w:marLeft w:val="1195"/>
          <w:marRight w:val="86"/>
          <w:marTop w:val="179"/>
          <w:marBottom w:val="0"/>
          <w:divBdr>
            <w:top w:val="none" w:sz="0" w:space="0" w:color="auto"/>
            <w:left w:val="none" w:sz="0" w:space="0" w:color="auto"/>
            <w:bottom w:val="none" w:sz="0" w:space="0" w:color="auto"/>
            <w:right w:val="none" w:sz="0" w:space="0" w:color="auto"/>
          </w:divBdr>
        </w:div>
      </w:divsChild>
    </w:div>
    <w:div w:id="2045591460">
      <w:bodyDiv w:val="1"/>
      <w:marLeft w:val="0"/>
      <w:marRight w:val="0"/>
      <w:marTop w:val="0"/>
      <w:marBottom w:val="0"/>
      <w:divBdr>
        <w:top w:val="none" w:sz="0" w:space="0" w:color="auto"/>
        <w:left w:val="none" w:sz="0" w:space="0" w:color="auto"/>
        <w:bottom w:val="none" w:sz="0" w:space="0" w:color="auto"/>
        <w:right w:val="none" w:sz="0" w:space="0" w:color="auto"/>
      </w:divBdr>
    </w:div>
    <w:div w:id="205711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32"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gas@industry.gov.au" TargetMode="External"/><Relationship Id="rId27" Type="http://schemas.openxmlformats.org/officeDocument/2006/relationships/hyperlink" Target="http://www.coagenergycouncil.gov.au/publications/proposed-classification-tiers-reform-australian-energy-regulator-civil-penalty-regim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coagenergycouncil.gov.au/publications/proposed-classification-tiers-reform-australian-energy-regulator-civil-penalty-regime" TargetMode="External"/><Relationship Id="rId1" Type="http://schemas.openxmlformats.org/officeDocument/2006/relationships/hyperlink" Target="https://prod-energycouncil.energy.slicedtech.com.au/sites/prod.energycouncil/files/publications/documents/Gas%20Transparency%20Measures%20DRIS.pdf_0.pdf" TargetMode="External"/></Relationships>
</file>

<file path=word/theme/theme1.xml><?xml version="1.0" encoding="utf-8"?>
<a:theme xmlns:a="http://schemas.openxmlformats.org/drawingml/2006/main" name="SFS">
  <a:themeElements>
    <a:clrScheme name="Axiom With Burgundy">
      <a:dk1>
        <a:sysClr val="windowText" lastClr="000000"/>
      </a:dk1>
      <a:lt1>
        <a:srgbClr val="FFFFFF"/>
      </a:lt1>
      <a:dk2>
        <a:srgbClr val="214C90"/>
      </a:dk2>
      <a:lt2>
        <a:srgbClr val="E1E2E7"/>
      </a:lt2>
      <a:accent1>
        <a:srgbClr val="214C90"/>
      </a:accent1>
      <a:accent2>
        <a:srgbClr val="46A6A9"/>
      </a:accent2>
      <a:accent3>
        <a:srgbClr val="5D89B4"/>
      </a:accent3>
      <a:accent4>
        <a:srgbClr val="A9A8A9"/>
      </a:accent4>
      <a:accent5>
        <a:srgbClr val="990033"/>
      </a:accent5>
      <a:accent6>
        <a:srgbClr val="800080"/>
      </a:accent6>
      <a:hlink>
        <a:srgbClr val="214C90"/>
      </a:hlink>
      <a:folHlink>
        <a:srgbClr val="46A6A9"/>
      </a:folHlink>
    </a:clrScheme>
    <a:fontScheme name="Axiom Arial and Book Antiqua">
      <a:majorFont>
        <a:latin typeface="Arial"/>
        <a:ea typeface=""/>
        <a:cs typeface=""/>
      </a:majorFont>
      <a:minorFont>
        <a:latin typeface="Book Antiqu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99e4c9942c6404eb103464a00e6097b xmlns="a36bd50b-1532-4c22-b385-5c082c960938">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6a3660c5-15bd-4052-a0a1-6237663b7600</TermId>
        </TermInfo>
      </Terms>
    </n99e4c9942c6404eb103464a00e6097b>
    <g7bcb40ba23249a78edca7d43a67c1c9 xmlns="a36bd50b-1532-4c22-b385-5c082c960938">
      <Terms xmlns="http://schemas.microsoft.com/office/infopath/2007/PartnerControls">
        <TermInfo xmlns="http://schemas.microsoft.com/office/infopath/2007/PartnerControls">
          <TermName xmlns="http://schemas.microsoft.com/office/infopath/2007/PartnerControls">Consultation</TermName>
          <TermId xmlns="http://schemas.microsoft.com/office/infopath/2007/PartnerControls">fb51ee50-3149-4bd9-89ce-8613c76e7a2f</TermId>
        </TermInfo>
      </Terms>
    </g7bcb40ba23249a78edca7d43a67c1c9>
    <aa25a1a23adf4c92a153145de6afe324 xmlns="a36bd50b-1532-4c22-b385-5c082c960938">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6106d03b-a1a0-4e30-9d91-d5e9fb4314f9</TermId>
        </TermInfo>
      </Terms>
    </aa25a1a23adf4c92a153145de6afe324>
    <Comments xmlns="http://schemas.microsoft.com/sharepoint/v3" xsi:nil="true"/>
    <TaxCatchAll xmlns="a36bd50b-1532-4c22-b385-5c082c960938">
      <Value>6</Value>
      <Value>5</Value>
      <Value>53</Value>
      <Value>100</Value>
      <Value>218</Value>
    </TaxCatchAll>
    <adb9bed2e36e4a93af574aeb444da63e xmlns="a36bd50b-1532-4c22-b385-5c082c960938">
      <Terms xmlns="http://schemas.microsoft.com/office/infopath/2007/PartnerControls">
        <TermInfo xmlns="http://schemas.microsoft.com/office/infopath/2007/PartnerControls">
          <TermName xmlns="http://schemas.microsoft.com/office/infopath/2007/PartnerControls">Gas Policy</TermName>
          <TermId xmlns="http://schemas.microsoft.com/office/infopath/2007/PartnerControls">b7e4a250-e786-4dc1-bc92-bc9828a85301</TermId>
        </TermInfo>
      </Terms>
    </adb9bed2e36e4a93af574aeb444da63e>
    <pe2555c81638466f9eb614edb9ecde52 xmlns="a36bd50b-1532-4c22-b385-5c082c960938">
      <Terms xmlns="http://schemas.microsoft.com/office/infopath/2007/PartnerControls">
        <TermInfo xmlns="http://schemas.microsoft.com/office/infopath/2007/PartnerControls">
          <TermName xmlns="http://schemas.microsoft.com/office/infopath/2007/PartnerControls">Paper</TermName>
          <TermId xmlns="http://schemas.microsoft.com/office/infopath/2007/PartnerControls">4fd73e9f-ceb6-4d3f-8d1d-e6ca9b922532</TermId>
        </TermInfo>
      </Terms>
    </pe2555c81638466f9eb614edb9ecde52>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099D2EAA034D54091CB7763D5694A4A" ma:contentTypeVersion="14" ma:contentTypeDescription="Create a new document." ma:contentTypeScope="" ma:versionID="4cfcb4cf4ac79ec735b1c65107a66835">
  <xsd:schema xmlns:xsd="http://www.w3.org/2001/XMLSchema" xmlns:xs="http://www.w3.org/2001/XMLSchema" xmlns:p="http://schemas.microsoft.com/office/2006/metadata/properties" xmlns:ns1="http://schemas.microsoft.com/sharepoint/v3" xmlns:ns2="a36bd50b-1532-4c22-b385-5c082c960938" xmlns:ns3="b607d1c6-0cb7-4682-894b-7ec85b3b05c6" xmlns:ns4="http://schemas.microsoft.com/sharepoint/v4" targetNamespace="http://schemas.microsoft.com/office/2006/metadata/properties" ma:root="true" ma:fieldsID="44ea025a2a19f4b5537d3c1eb8c9725f" ns1:_="" ns2:_="" ns3:_="" ns4:_="">
    <xsd:import namespace="http://schemas.microsoft.com/sharepoint/v3"/>
    <xsd:import namespace="a36bd50b-1532-4c22-b385-5c082c960938"/>
    <xsd:import namespace="b607d1c6-0cb7-4682-894b-7ec85b3b05c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bd50b-1532-4c22-b385-5c082c9609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24303ec4-fa4d-4aba-b07c-0dfa74773820}" ma:internalName="TaxCatchAll" ma:showField="CatchAllData" ma:web="b607d1c6-0cb7-4682-894b-7ec85b3b05c6">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403fb540-4f4c-43fd-9354-4e074a5f743f"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07d1c6-0cb7-4682-894b-7ec85b3b05c6"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C8288-9227-4E30-A31C-7EDCEDD2D20F}">
  <ds:schemaRefs>
    <ds:schemaRef ds:uri="http://schemas.microsoft.com/sharepoint/events"/>
  </ds:schemaRefs>
</ds:datastoreItem>
</file>

<file path=customXml/itemProps2.xml><?xml version="1.0" encoding="utf-8"?>
<ds:datastoreItem xmlns:ds="http://schemas.openxmlformats.org/officeDocument/2006/customXml" ds:itemID="{8D02B9A4-EF5D-4B7B-B9FA-2E829DABEE1D}">
  <ds:schemaRefs>
    <ds:schemaRef ds:uri="http://schemas.microsoft.com/sharepoint/v3/contenttype/forms"/>
  </ds:schemaRefs>
</ds:datastoreItem>
</file>

<file path=customXml/itemProps3.xml><?xml version="1.0" encoding="utf-8"?>
<ds:datastoreItem xmlns:ds="http://schemas.openxmlformats.org/officeDocument/2006/customXml" ds:itemID="{72A1275E-CCBC-4E43-A495-2F644A3C81B4}">
  <ds:schemaRefs>
    <ds:schemaRef ds:uri="http://schemas.microsoft.com/sharepoint/v3"/>
    <ds:schemaRef ds:uri="http://schemas.microsoft.com/sharepoint/v4"/>
    <ds:schemaRef ds:uri="http://purl.org/dc/dcmitype/"/>
    <ds:schemaRef ds:uri="b607d1c6-0cb7-4682-894b-7ec85b3b05c6"/>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a36bd50b-1532-4c22-b385-5c082c960938"/>
    <ds:schemaRef ds:uri="http://www.w3.org/XML/1998/namespace"/>
    <ds:schemaRef ds:uri="http://purl.org/dc/terms/"/>
  </ds:schemaRefs>
</ds:datastoreItem>
</file>

<file path=customXml/itemProps4.xml><?xml version="1.0" encoding="utf-8"?>
<ds:datastoreItem xmlns:ds="http://schemas.openxmlformats.org/officeDocument/2006/customXml" ds:itemID="{5BE6DDB4-BB3E-4673-831D-4D8548C98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36bd50b-1532-4c22-b385-5c082c960938"/>
    <ds:schemaRef ds:uri="b607d1c6-0cb7-4682-894b-7ec85b3b05c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A30E64-5169-42D9-AD35-1AF5C3ABC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24445</Words>
  <Characters>131764</Characters>
  <Application>Microsoft Office Word</Application>
  <DocSecurity>4</DocSecurity>
  <Lines>1098</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 Lowe</dc:creator>
  <cp:keywords/>
  <dc:description/>
  <cp:lastModifiedBy>Chan, Anthony</cp:lastModifiedBy>
  <cp:revision>2</cp:revision>
  <dcterms:created xsi:type="dcterms:W3CDTF">2020-12-04T00:17:00Z</dcterms:created>
  <dcterms:modified xsi:type="dcterms:W3CDTF">2020-12-04T00:17:00Z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Hub_Year">
    <vt:lpwstr>5;#2020|6a3660c5-15bd-4052-a0a1-6237663b7600</vt:lpwstr>
  </property>
  <property fmtid="{D5CDD505-2E9C-101B-9397-08002B2CF9AE}" pid="3" name="DocHub_DocumentType">
    <vt:lpwstr>53;#Paper|4fd73e9f-ceb6-4d3f-8d1d-e6ca9b922532</vt:lpwstr>
  </property>
  <property fmtid="{D5CDD505-2E9C-101B-9397-08002B2CF9AE}" pid="4" name="DocHub_SecurityClassification">
    <vt:lpwstr>6;#OFFICIAL|6106d03b-a1a0-4e30-9d91-d5e9fb4314f9</vt:lpwstr>
  </property>
  <property fmtid="{D5CDD505-2E9C-101B-9397-08002B2CF9AE}" pid="5" name="ContentTypeId">
    <vt:lpwstr>0x0101004099D2EAA034D54091CB7763D5694A4A</vt:lpwstr>
  </property>
  <property fmtid="{D5CDD505-2E9C-101B-9397-08002B2CF9AE}" pid="6" name="DocHub_Keywords">
    <vt:lpwstr>218;#Gas Policy|b7e4a250-e786-4dc1-bc92-bc9828a85301</vt:lpwstr>
  </property>
  <property fmtid="{D5CDD505-2E9C-101B-9397-08002B2CF9AE}" pid="7" name="DocHub_WorkActivity">
    <vt:lpwstr>100;#Consultation|fb51ee50-3149-4bd9-89ce-8613c76e7a2f</vt:lpwstr>
  </property>
</Properties>
</file>