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B207CC" w14:textId="77777777" w:rsidR="00B57BE2" w:rsidRPr="00B57BE2" w:rsidRDefault="007B23B0" w:rsidP="00B57BE2">
      <w:pPr>
        <w:spacing w:after="240"/>
      </w:pPr>
      <w:r w:rsidRPr="007B23B0">
        <w:t>12 February</w:t>
      </w:r>
      <w:r>
        <w:t xml:space="preserve"> 2021</w:t>
      </w:r>
    </w:p>
    <w:p w14:paraId="31E206FC" w14:textId="77777777" w:rsidR="00B57BE2" w:rsidRPr="00C412BA" w:rsidRDefault="00C412BA" w:rsidP="00C412BA">
      <w:pPr>
        <w:pStyle w:val="BodyText"/>
        <w:rPr>
          <w:i/>
        </w:rPr>
      </w:pPr>
      <w:r w:rsidRPr="00C412BA">
        <w:t>David Swift</w:t>
      </w:r>
      <w:r w:rsidR="00B57BE2" w:rsidRPr="00C412BA">
        <w:br/>
      </w:r>
      <w:r w:rsidRPr="00C412BA">
        <w:t>Independent Deputy Chair</w:t>
      </w:r>
      <w:r w:rsidR="00B57BE2" w:rsidRPr="00C412BA">
        <w:br/>
      </w:r>
      <w:r w:rsidRPr="00C412BA">
        <w:t>Energy Security Board</w:t>
      </w:r>
      <w:r w:rsidR="00616A87" w:rsidRPr="00C412BA">
        <w:t xml:space="preserve"> </w:t>
      </w:r>
      <w:r w:rsidR="00B57BE2" w:rsidRPr="00C412BA">
        <w:br/>
      </w:r>
      <w:r w:rsidR="00B57BE2" w:rsidRPr="00C412BA">
        <w:br/>
      </w:r>
      <w:r w:rsidRPr="00C412BA">
        <w:rPr>
          <w:i/>
        </w:rPr>
        <w:t>Submitted via email [info@esb.org.au]</w:t>
      </w:r>
    </w:p>
    <w:p w14:paraId="4732BE59" w14:textId="77777777" w:rsidR="007B23B0" w:rsidRDefault="00616A87" w:rsidP="00B57BE2">
      <w:pPr>
        <w:pStyle w:val="BodyText"/>
      </w:pPr>
      <w:r w:rsidRPr="00C412BA">
        <w:t xml:space="preserve">Dear </w:t>
      </w:r>
      <w:r w:rsidR="00C412BA" w:rsidRPr="00C412BA">
        <w:t>David</w:t>
      </w:r>
      <w:r w:rsidRPr="00C412BA">
        <w:t>,</w:t>
      </w:r>
    </w:p>
    <w:p w14:paraId="00BD3D25" w14:textId="59DF496E" w:rsidR="002F4587" w:rsidRPr="00C412BA" w:rsidRDefault="00C412BA" w:rsidP="00B57BE2">
      <w:pPr>
        <w:pStyle w:val="BodyText"/>
        <w:rPr>
          <w:b/>
        </w:rPr>
      </w:pPr>
      <w:r w:rsidRPr="00C412BA">
        <w:rPr>
          <w:b/>
        </w:rPr>
        <w:t xml:space="preserve">Response to Consultation Paper on interim </w:t>
      </w:r>
      <w:r w:rsidR="008C368B">
        <w:rPr>
          <w:b/>
        </w:rPr>
        <w:t>Renewable Energy Zone (</w:t>
      </w:r>
      <w:r w:rsidRPr="00C412BA">
        <w:rPr>
          <w:b/>
        </w:rPr>
        <w:t>REZ</w:t>
      </w:r>
      <w:r w:rsidR="008C368B">
        <w:rPr>
          <w:b/>
        </w:rPr>
        <w:t>)</w:t>
      </w:r>
      <w:r w:rsidRPr="00C412BA">
        <w:rPr>
          <w:b/>
        </w:rPr>
        <w:t xml:space="preserve"> framework</w:t>
      </w:r>
    </w:p>
    <w:p w14:paraId="76DF5BA0" w14:textId="0CC73E85" w:rsidR="007B23B0" w:rsidRDefault="007B23B0" w:rsidP="007B23B0">
      <w:pPr>
        <w:pStyle w:val="BodyText"/>
      </w:pPr>
      <w:r w:rsidRPr="00BE4FBE">
        <w:t xml:space="preserve">Energy Networks Australia </w:t>
      </w:r>
      <w:r>
        <w:t xml:space="preserve">(ENA) </w:t>
      </w:r>
      <w:r w:rsidRPr="00BF4082">
        <w:t xml:space="preserve">welcomes the opportunity to lodge this submission in response to the </w:t>
      </w:r>
      <w:r w:rsidR="007D35F0">
        <w:t xml:space="preserve">Energy Security Board’s (ESB) </w:t>
      </w:r>
      <w:r>
        <w:t xml:space="preserve">consultation paper on the </w:t>
      </w:r>
      <w:r w:rsidR="00214E9E">
        <w:t xml:space="preserve">interim </w:t>
      </w:r>
      <w:r>
        <w:t>REZ framework.</w:t>
      </w:r>
      <w:r w:rsidRPr="00BF4082">
        <w:rPr>
          <w:rStyle w:val="None"/>
          <w:vertAlign w:val="superscript"/>
        </w:rPr>
        <w:footnoteReference w:id="1"/>
      </w:r>
    </w:p>
    <w:p w14:paraId="71CB0940" w14:textId="77777777" w:rsidR="007B23B0" w:rsidRPr="003610A8" w:rsidRDefault="007B23B0" w:rsidP="007B23B0">
      <w:pPr>
        <w:pStyle w:val="BodyText"/>
      </w:pPr>
      <w:r>
        <w:t xml:space="preserve">ENA </w:t>
      </w:r>
      <w:r w:rsidRPr="00BE4FBE">
        <w:t>is</w:t>
      </w:r>
      <w:r>
        <w:t xml:space="preserve"> </w:t>
      </w:r>
      <w:r w:rsidRPr="00BE4FBE">
        <w:t xml:space="preserve">the national industry body representing Australia’s electricity transmission and distribution and gas distribution networks. </w:t>
      </w:r>
      <w:r w:rsidR="00CA1DCD">
        <w:t xml:space="preserve"> </w:t>
      </w:r>
      <w:r w:rsidRPr="00BE4FBE">
        <w:t>Our members provide more than 16 million electricity and gas connections to almost every home and business across Australia.</w:t>
      </w:r>
    </w:p>
    <w:p w14:paraId="152ED8DC" w14:textId="62093C9A" w:rsidR="00C412BA" w:rsidRDefault="007B23B0" w:rsidP="007B23B0">
      <w:pPr>
        <w:pStyle w:val="BodyText"/>
        <w:rPr>
          <w:rFonts w:eastAsia="Arial"/>
        </w:rPr>
      </w:pPr>
      <w:r>
        <w:rPr>
          <w:rFonts w:eastAsia="Arial"/>
        </w:rPr>
        <w:t xml:space="preserve">As explained in the attached submission, ENA supports the development of </w:t>
      </w:r>
      <w:r w:rsidR="00214E9E">
        <w:rPr>
          <w:rFonts w:eastAsia="Arial"/>
        </w:rPr>
        <w:t>a</w:t>
      </w:r>
      <w:r>
        <w:rPr>
          <w:rFonts w:eastAsia="Arial"/>
        </w:rPr>
        <w:t xml:space="preserve"> REZ framework to deliver </w:t>
      </w:r>
      <w:r w:rsidR="007A4A9C">
        <w:rPr>
          <w:rFonts w:eastAsia="Arial"/>
        </w:rPr>
        <w:t xml:space="preserve">customer </w:t>
      </w:r>
      <w:r>
        <w:rPr>
          <w:rFonts w:eastAsia="Arial"/>
        </w:rPr>
        <w:t xml:space="preserve">benefits </w:t>
      </w:r>
      <w:r w:rsidR="007A4A9C">
        <w:rPr>
          <w:rFonts w:eastAsia="Arial"/>
        </w:rPr>
        <w:t>by promoting</w:t>
      </w:r>
      <w:r>
        <w:rPr>
          <w:rFonts w:eastAsia="Arial"/>
        </w:rPr>
        <w:t xml:space="preserve"> the orderly connection of renewable generation </w:t>
      </w:r>
      <w:r w:rsidR="007A4A9C">
        <w:rPr>
          <w:rFonts w:eastAsia="Arial"/>
        </w:rPr>
        <w:t xml:space="preserve">and storage </w:t>
      </w:r>
      <w:r w:rsidR="0098764C">
        <w:rPr>
          <w:rFonts w:eastAsia="Arial"/>
        </w:rPr>
        <w:t xml:space="preserve">capacity </w:t>
      </w:r>
      <w:r w:rsidR="00C412BA">
        <w:rPr>
          <w:rFonts w:eastAsia="Arial"/>
        </w:rPr>
        <w:t xml:space="preserve">in REZs, consistent with the </w:t>
      </w:r>
      <w:r>
        <w:rPr>
          <w:rFonts w:eastAsia="Arial"/>
        </w:rPr>
        <w:t>Integrated System Plan</w:t>
      </w:r>
      <w:r w:rsidR="0098764C">
        <w:rPr>
          <w:rFonts w:eastAsia="Arial"/>
        </w:rPr>
        <w:t xml:space="preserve"> (ISP)</w:t>
      </w:r>
      <w:r w:rsidR="00C412BA">
        <w:rPr>
          <w:rFonts w:eastAsia="Arial"/>
        </w:rPr>
        <w:t xml:space="preserve">. </w:t>
      </w:r>
      <w:r w:rsidR="00CA1DCD">
        <w:rPr>
          <w:rFonts w:eastAsia="Arial"/>
        </w:rPr>
        <w:t xml:space="preserve"> </w:t>
      </w:r>
      <w:r w:rsidR="00214E9E">
        <w:rPr>
          <w:rFonts w:eastAsia="Arial"/>
        </w:rPr>
        <w:t>ENA also welcomes the prospect that</w:t>
      </w:r>
      <w:r w:rsidR="00A74AD9">
        <w:rPr>
          <w:rFonts w:eastAsia="Arial"/>
        </w:rPr>
        <w:t xml:space="preserve"> </w:t>
      </w:r>
      <w:r w:rsidR="00D22BD2">
        <w:rPr>
          <w:rFonts w:eastAsia="Arial"/>
        </w:rPr>
        <w:t>S</w:t>
      </w:r>
      <w:r w:rsidR="00AC2515">
        <w:rPr>
          <w:rFonts w:eastAsia="Arial"/>
        </w:rPr>
        <w:t xml:space="preserve">tate Governments may be able to draw on aspects of </w:t>
      </w:r>
      <w:r w:rsidR="00600074">
        <w:rPr>
          <w:rFonts w:eastAsia="Arial"/>
        </w:rPr>
        <w:t>the</w:t>
      </w:r>
      <w:r w:rsidR="00C412BA">
        <w:rPr>
          <w:rFonts w:eastAsia="Arial"/>
        </w:rPr>
        <w:t xml:space="preserve"> </w:t>
      </w:r>
      <w:r w:rsidR="0098764C">
        <w:rPr>
          <w:rFonts w:eastAsia="Arial"/>
        </w:rPr>
        <w:t xml:space="preserve">interim </w:t>
      </w:r>
      <w:r w:rsidR="00AC2515">
        <w:rPr>
          <w:rFonts w:eastAsia="Arial"/>
        </w:rPr>
        <w:t xml:space="preserve">REZ </w:t>
      </w:r>
      <w:r w:rsidR="00C412BA">
        <w:rPr>
          <w:rFonts w:eastAsia="Arial"/>
        </w:rPr>
        <w:t xml:space="preserve">framework </w:t>
      </w:r>
      <w:r w:rsidR="00AC2515">
        <w:rPr>
          <w:rFonts w:eastAsia="Arial"/>
        </w:rPr>
        <w:t>while</w:t>
      </w:r>
      <w:r w:rsidR="006B3928">
        <w:rPr>
          <w:rFonts w:eastAsia="Arial"/>
        </w:rPr>
        <w:t xml:space="preserve"> pursu</w:t>
      </w:r>
      <w:r w:rsidR="00AC2515">
        <w:rPr>
          <w:rFonts w:eastAsia="Arial"/>
        </w:rPr>
        <w:t>ing</w:t>
      </w:r>
      <w:r w:rsidR="006B3928">
        <w:rPr>
          <w:rFonts w:eastAsia="Arial"/>
        </w:rPr>
        <w:t xml:space="preserve"> their </w:t>
      </w:r>
      <w:r w:rsidR="00214E9E">
        <w:rPr>
          <w:rFonts w:eastAsia="Arial"/>
        </w:rPr>
        <w:t xml:space="preserve">own </w:t>
      </w:r>
      <w:r w:rsidR="006B3928">
        <w:rPr>
          <w:rFonts w:eastAsia="Arial"/>
        </w:rPr>
        <w:t>particular policy objectives</w:t>
      </w:r>
      <w:r w:rsidR="00214E9E">
        <w:rPr>
          <w:rFonts w:eastAsia="Arial"/>
        </w:rPr>
        <w:t xml:space="preserve">. </w:t>
      </w:r>
      <w:r w:rsidR="00CA1DCD">
        <w:rPr>
          <w:rFonts w:eastAsia="Arial"/>
        </w:rPr>
        <w:t xml:space="preserve"> </w:t>
      </w:r>
      <w:r w:rsidR="00214E9E">
        <w:rPr>
          <w:rFonts w:eastAsia="Arial"/>
        </w:rPr>
        <w:t>Such a framework will promote</w:t>
      </w:r>
      <w:r w:rsidR="00AC2515">
        <w:rPr>
          <w:rFonts w:eastAsia="Arial"/>
        </w:rPr>
        <w:t xml:space="preserve"> a </w:t>
      </w:r>
      <w:r w:rsidR="00BD0AAB">
        <w:rPr>
          <w:rFonts w:eastAsia="Arial"/>
        </w:rPr>
        <w:t>national</w:t>
      </w:r>
      <w:r w:rsidR="005715A4">
        <w:rPr>
          <w:rFonts w:eastAsia="Arial"/>
        </w:rPr>
        <w:t xml:space="preserve">ly consistent </w:t>
      </w:r>
      <w:r w:rsidR="00AC2515">
        <w:rPr>
          <w:rFonts w:eastAsia="Arial"/>
        </w:rPr>
        <w:t>approach to developing and maintaining REZs over time</w:t>
      </w:r>
      <w:r w:rsidR="00B44892">
        <w:rPr>
          <w:rFonts w:eastAsia="Arial"/>
        </w:rPr>
        <w:t>, to the benefit of customers</w:t>
      </w:r>
      <w:r w:rsidR="0098764C">
        <w:rPr>
          <w:rFonts w:eastAsia="Arial"/>
        </w:rPr>
        <w:t xml:space="preserve">, </w:t>
      </w:r>
      <w:proofErr w:type="gramStart"/>
      <w:r w:rsidR="00B44892">
        <w:rPr>
          <w:rFonts w:eastAsia="Arial"/>
        </w:rPr>
        <w:t>stakeholders</w:t>
      </w:r>
      <w:proofErr w:type="gramEnd"/>
      <w:r w:rsidR="0098764C">
        <w:rPr>
          <w:rFonts w:eastAsia="Arial"/>
        </w:rPr>
        <w:t xml:space="preserve"> and </w:t>
      </w:r>
      <w:r w:rsidR="00B674EB">
        <w:rPr>
          <w:rFonts w:eastAsia="Arial"/>
        </w:rPr>
        <w:t xml:space="preserve">industry </w:t>
      </w:r>
      <w:r w:rsidR="0098764C">
        <w:rPr>
          <w:rFonts w:eastAsia="Arial"/>
        </w:rPr>
        <w:t>participants</w:t>
      </w:r>
      <w:r w:rsidR="00214E9E">
        <w:rPr>
          <w:rFonts w:eastAsia="Arial"/>
        </w:rPr>
        <w:t>.</w:t>
      </w:r>
    </w:p>
    <w:p w14:paraId="41422618" w14:textId="77777777" w:rsidR="00946C19" w:rsidRDefault="00AC2515" w:rsidP="007B23B0">
      <w:pPr>
        <w:pStyle w:val="BodyText"/>
        <w:rPr>
          <w:rFonts w:eastAsia="Arial"/>
        </w:rPr>
      </w:pPr>
      <w:r>
        <w:rPr>
          <w:rFonts w:eastAsia="Arial"/>
        </w:rPr>
        <w:t>Whil</w:t>
      </w:r>
      <w:r w:rsidR="000A1ED0">
        <w:rPr>
          <w:rFonts w:eastAsia="Arial"/>
        </w:rPr>
        <w:t>e</w:t>
      </w:r>
      <w:r>
        <w:rPr>
          <w:rFonts w:eastAsia="Arial"/>
        </w:rPr>
        <w:t xml:space="preserve"> ENA supports the </w:t>
      </w:r>
      <w:r w:rsidR="00F8297D">
        <w:rPr>
          <w:rFonts w:eastAsia="Arial"/>
        </w:rPr>
        <w:t>objectives of the proposed reform</w:t>
      </w:r>
      <w:r>
        <w:rPr>
          <w:rFonts w:eastAsia="Arial"/>
        </w:rPr>
        <w:t>, i</w:t>
      </w:r>
      <w:r w:rsidR="00C412BA">
        <w:rPr>
          <w:rFonts w:eastAsia="Arial"/>
        </w:rPr>
        <w:t xml:space="preserve">t is evident from the consultation paper that </w:t>
      </w:r>
      <w:r w:rsidR="007348D7">
        <w:rPr>
          <w:rFonts w:eastAsia="Arial"/>
        </w:rPr>
        <w:t xml:space="preserve">substantial </w:t>
      </w:r>
      <w:r w:rsidR="00BD0AAB">
        <w:rPr>
          <w:rFonts w:eastAsia="Arial"/>
        </w:rPr>
        <w:t xml:space="preserve">further work </w:t>
      </w:r>
      <w:r w:rsidR="00214E9E">
        <w:rPr>
          <w:rFonts w:eastAsia="Arial"/>
        </w:rPr>
        <w:t xml:space="preserve">is required </w:t>
      </w:r>
      <w:r w:rsidR="00F8297D">
        <w:rPr>
          <w:rFonts w:eastAsia="Arial"/>
        </w:rPr>
        <w:t xml:space="preserve">to develop </w:t>
      </w:r>
      <w:r w:rsidR="00214E9E">
        <w:rPr>
          <w:rFonts w:eastAsia="Arial"/>
        </w:rPr>
        <w:t xml:space="preserve">a </w:t>
      </w:r>
      <w:r w:rsidR="007417CD">
        <w:rPr>
          <w:rFonts w:eastAsia="Arial"/>
        </w:rPr>
        <w:t xml:space="preserve">REZ </w:t>
      </w:r>
      <w:r w:rsidR="00214E9E">
        <w:rPr>
          <w:rFonts w:eastAsia="Arial"/>
        </w:rPr>
        <w:t>framework</w:t>
      </w:r>
      <w:r w:rsidR="00F8297D">
        <w:rPr>
          <w:rFonts w:eastAsia="Arial"/>
        </w:rPr>
        <w:t xml:space="preserve"> that can be confidently expected to</w:t>
      </w:r>
      <w:r w:rsidR="001D4AB6">
        <w:rPr>
          <w:rFonts w:eastAsia="Arial"/>
        </w:rPr>
        <w:t xml:space="preserve"> achieve its stated objectives.</w:t>
      </w:r>
      <w:r w:rsidR="00AE0DD5">
        <w:rPr>
          <w:rFonts w:eastAsia="Arial"/>
        </w:rPr>
        <w:t xml:space="preserve"> </w:t>
      </w:r>
      <w:r w:rsidR="00CA1DCD">
        <w:rPr>
          <w:rFonts w:eastAsia="Arial"/>
        </w:rPr>
        <w:t xml:space="preserve"> </w:t>
      </w:r>
      <w:r w:rsidR="001D4AB6">
        <w:rPr>
          <w:rFonts w:eastAsia="Arial"/>
        </w:rPr>
        <w:t xml:space="preserve">The attached submission </w:t>
      </w:r>
      <w:r w:rsidR="000A1ED0">
        <w:rPr>
          <w:rFonts w:eastAsia="Arial"/>
        </w:rPr>
        <w:t>summarises</w:t>
      </w:r>
      <w:r w:rsidR="001D4AB6">
        <w:rPr>
          <w:rFonts w:eastAsia="Arial"/>
        </w:rPr>
        <w:t xml:space="preserve"> </w:t>
      </w:r>
      <w:r w:rsidR="00B44892">
        <w:rPr>
          <w:rFonts w:eastAsia="Arial"/>
        </w:rPr>
        <w:t>ENA’s</w:t>
      </w:r>
      <w:r w:rsidR="001D4AB6">
        <w:rPr>
          <w:rFonts w:eastAsia="Arial"/>
        </w:rPr>
        <w:t xml:space="preserve"> key messages and then discusses </w:t>
      </w:r>
      <w:r w:rsidR="000A1ED0">
        <w:rPr>
          <w:rFonts w:eastAsia="Arial"/>
        </w:rPr>
        <w:t>a number of specific issues in further detail.</w:t>
      </w:r>
      <w:r w:rsidR="001D4AB6">
        <w:rPr>
          <w:rFonts w:eastAsia="Arial"/>
        </w:rPr>
        <w:t xml:space="preserve"> </w:t>
      </w:r>
    </w:p>
    <w:p w14:paraId="21BC4D13" w14:textId="77777777" w:rsidR="00946C19" w:rsidRPr="00616A87" w:rsidRDefault="001D4AB6" w:rsidP="007B23B0">
      <w:pPr>
        <w:pStyle w:val="BodyText"/>
        <w:rPr>
          <w:rFonts w:eastAsia="Arial"/>
        </w:rPr>
      </w:pPr>
      <w:r>
        <w:rPr>
          <w:rFonts w:eastAsia="Arial"/>
        </w:rPr>
        <w:t xml:space="preserve">ENA looks forward to </w:t>
      </w:r>
      <w:r w:rsidR="00B674EB">
        <w:rPr>
          <w:rFonts w:eastAsia="Arial"/>
        </w:rPr>
        <w:t>working with you and your team in further</w:t>
      </w:r>
      <w:r>
        <w:rPr>
          <w:rFonts w:eastAsia="Arial"/>
        </w:rPr>
        <w:t xml:space="preserve"> develop</w:t>
      </w:r>
      <w:r w:rsidR="00B674EB">
        <w:rPr>
          <w:rFonts w:eastAsia="Arial"/>
        </w:rPr>
        <w:t>ing</w:t>
      </w:r>
      <w:r>
        <w:rPr>
          <w:rFonts w:eastAsia="Arial"/>
        </w:rPr>
        <w:t xml:space="preserve"> the interim REZ framework.</w:t>
      </w:r>
      <w:r w:rsidR="00946C19">
        <w:rPr>
          <w:rFonts w:eastAsia="Arial"/>
        </w:rPr>
        <w:t xml:space="preserve">  If you have any queries in relation to this submission, please contact Verity Watson on </w:t>
      </w:r>
      <w:r w:rsidR="009612B5" w:rsidRPr="009612B5">
        <w:rPr>
          <w:rFonts w:eastAsia="Arial"/>
        </w:rPr>
        <w:t>(03) 9103 0407</w:t>
      </w:r>
      <w:r w:rsidR="009612B5">
        <w:rPr>
          <w:rFonts w:eastAsia="Arial"/>
        </w:rPr>
        <w:t>.</w:t>
      </w:r>
    </w:p>
    <w:p w14:paraId="4FE58A06" w14:textId="77777777" w:rsidR="00616A87" w:rsidRPr="00B57BE2" w:rsidRDefault="00616A87" w:rsidP="00B57BE2">
      <w:pPr>
        <w:pStyle w:val="BodyText"/>
        <w:rPr>
          <w:rFonts w:eastAsia="Arial"/>
        </w:rPr>
      </w:pPr>
      <w:r w:rsidRPr="00B57BE2">
        <w:rPr>
          <w:rFonts w:eastAsia="Arial"/>
        </w:rPr>
        <w:t>Yours sincerely,</w:t>
      </w:r>
    </w:p>
    <w:p w14:paraId="7D4B0B10" w14:textId="0A547B74" w:rsidR="00B57BE2" w:rsidRPr="00B57BE2" w:rsidRDefault="00B57BE2" w:rsidP="00B57BE2">
      <w:pPr>
        <w:pStyle w:val="BodyText"/>
      </w:pPr>
    </w:p>
    <w:p w14:paraId="42F462C4" w14:textId="77777777" w:rsidR="00AD62A7" w:rsidRDefault="0020030D" w:rsidP="00AD62A7">
      <w:pPr>
        <w:pStyle w:val="BodyText"/>
        <w:rPr>
          <w:b/>
        </w:rPr>
      </w:pPr>
      <w:r w:rsidRPr="0020030D">
        <w:rPr>
          <w:b/>
        </w:rPr>
        <w:t xml:space="preserve">Andrew </w:t>
      </w:r>
      <w:r w:rsidR="009612B5">
        <w:rPr>
          <w:b/>
        </w:rPr>
        <w:t>Dillon</w:t>
      </w:r>
      <w:r w:rsidR="00616A87" w:rsidRPr="00DA12DA">
        <w:rPr>
          <w:b/>
        </w:rPr>
        <w:br/>
      </w:r>
      <w:r w:rsidR="000F77C4" w:rsidRPr="000F77C4">
        <w:rPr>
          <w:b/>
        </w:rPr>
        <w:t>Chief Executive Officer</w:t>
      </w:r>
    </w:p>
    <w:p w14:paraId="347DE015" w14:textId="77777777" w:rsidR="00AD62A7" w:rsidRPr="00AD62A7" w:rsidRDefault="00AD62A7" w:rsidP="00AD62A7">
      <w:pPr>
        <w:pStyle w:val="Heading1"/>
        <w:spacing w:before="0" w:after="0"/>
        <w:rPr>
          <w:rStyle w:val="CAPS"/>
          <w:caps w:val="0"/>
        </w:rPr>
      </w:pPr>
      <w:r>
        <w:rPr>
          <w:b/>
        </w:rPr>
        <w:br w:type="page"/>
      </w:r>
      <w:bookmarkStart w:id="0" w:name="_Toc61616305"/>
      <w:r w:rsidRPr="00BF09FA">
        <w:lastRenderedPageBreak/>
        <w:t>Key messages</w:t>
      </w:r>
      <w:bookmarkEnd w:id="0"/>
    </w:p>
    <w:tbl>
      <w:tblPr>
        <w:tblpPr w:leftFromText="180" w:rightFromText="180" w:vertAnchor="text" w:horzAnchor="margin" w:tblpY="2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8"/>
      </w:tblGrid>
      <w:tr w:rsidR="00AC0A71" w:rsidRPr="00BF09FA" w14:paraId="30FAE3C5" w14:textId="77777777" w:rsidTr="00AC0A71">
        <w:tc>
          <w:tcPr>
            <w:tcW w:w="8608" w:type="dxa"/>
            <w:shd w:val="clear" w:color="auto" w:fill="F2F2F2"/>
          </w:tcPr>
          <w:p w14:paraId="5C0A482A" w14:textId="77777777" w:rsidR="00AD62A7" w:rsidRPr="00AC0A71" w:rsidRDefault="00AD62A7" w:rsidP="00AC0A71">
            <w:pPr>
              <w:pStyle w:val="TableBullet"/>
              <w:rPr>
                <w:szCs w:val="20"/>
              </w:rPr>
            </w:pPr>
            <w:r w:rsidRPr="00AC0A71">
              <w:rPr>
                <w:szCs w:val="20"/>
              </w:rPr>
              <w:t>The development of a nationally applicable REZ framework to facilitate transformation</w:t>
            </w:r>
            <w:r w:rsidR="00292376">
              <w:rPr>
                <w:szCs w:val="20"/>
              </w:rPr>
              <w:t>al</w:t>
            </w:r>
            <w:r w:rsidRPr="00AC0A71">
              <w:rPr>
                <w:szCs w:val="20"/>
              </w:rPr>
              <w:t xml:space="preserve"> change in the energy market is supported.  The orderly development of renewable generation </w:t>
            </w:r>
            <w:r w:rsidR="00CB0265">
              <w:rPr>
                <w:szCs w:val="20"/>
              </w:rPr>
              <w:t xml:space="preserve">and storage capacity </w:t>
            </w:r>
            <w:r w:rsidRPr="00AC0A71">
              <w:rPr>
                <w:szCs w:val="20"/>
              </w:rPr>
              <w:t xml:space="preserve">in REZs across the National Electricity Market, consistent with the </w:t>
            </w:r>
            <w:r w:rsidR="00DB352C">
              <w:rPr>
                <w:szCs w:val="20"/>
              </w:rPr>
              <w:t xml:space="preserve">ISP </w:t>
            </w:r>
            <w:r w:rsidR="00F47555" w:rsidRPr="00F47555">
              <w:rPr>
                <w:szCs w:val="20"/>
              </w:rPr>
              <w:t>or any jurisdictional identified REZs</w:t>
            </w:r>
            <w:r w:rsidRPr="00AC0A71">
              <w:rPr>
                <w:szCs w:val="20"/>
              </w:rPr>
              <w:t>, will benefit customer</w:t>
            </w:r>
            <w:r w:rsidR="00292376">
              <w:rPr>
                <w:szCs w:val="20"/>
              </w:rPr>
              <w:t>s</w:t>
            </w:r>
            <w:r w:rsidRPr="00AC0A71">
              <w:rPr>
                <w:szCs w:val="20"/>
              </w:rPr>
              <w:t xml:space="preserve"> by facilitating the lowest cost energy solutions.</w:t>
            </w:r>
          </w:p>
          <w:p w14:paraId="117F587D" w14:textId="77777777" w:rsidR="00AD62A7" w:rsidRPr="00AC0A71" w:rsidRDefault="00C4031B" w:rsidP="00AC0A71">
            <w:pPr>
              <w:pStyle w:val="TableBullet"/>
              <w:rPr>
                <w:szCs w:val="20"/>
              </w:rPr>
            </w:pPr>
            <w:r w:rsidRPr="00AC0A71">
              <w:rPr>
                <w:szCs w:val="20"/>
              </w:rPr>
              <w:t xml:space="preserve">ENA agrees with the </w:t>
            </w:r>
            <w:r w:rsidR="00AD62A7" w:rsidRPr="00AC0A71">
              <w:rPr>
                <w:szCs w:val="20"/>
              </w:rPr>
              <w:t>consultation paper</w:t>
            </w:r>
            <w:r w:rsidRPr="00AC0A71">
              <w:rPr>
                <w:szCs w:val="20"/>
              </w:rPr>
              <w:t xml:space="preserve">’s description of the existing </w:t>
            </w:r>
            <w:r w:rsidR="00AD049B" w:rsidRPr="00AC0A71">
              <w:rPr>
                <w:szCs w:val="20"/>
              </w:rPr>
              <w:t>and emerging issues</w:t>
            </w:r>
            <w:r w:rsidR="00AD62A7" w:rsidRPr="00AC0A71">
              <w:rPr>
                <w:szCs w:val="20"/>
              </w:rPr>
              <w:t xml:space="preserve">.  In particular, substantial efficiencies can be obtained by coordinating connection applications to REZs; avoiding a disorderly connection process; managing the risks associated with marginal loss factors; and reducing the risk of inefficient congestion.  </w:t>
            </w:r>
            <w:r w:rsidR="00AD049B" w:rsidRPr="00AC0A71">
              <w:rPr>
                <w:szCs w:val="20"/>
              </w:rPr>
              <w:t>ENA also supports the use of</w:t>
            </w:r>
            <w:r w:rsidR="00AD62A7" w:rsidRPr="00AC0A71">
              <w:rPr>
                <w:szCs w:val="20"/>
              </w:rPr>
              <w:t xml:space="preserve"> auction</w:t>
            </w:r>
            <w:r w:rsidR="00AD049B" w:rsidRPr="00AC0A71">
              <w:rPr>
                <w:szCs w:val="20"/>
              </w:rPr>
              <w:t>s</w:t>
            </w:r>
            <w:r w:rsidR="00AD62A7" w:rsidRPr="00AC0A71">
              <w:rPr>
                <w:szCs w:val="20"/>
              </w:rPr>
              <w:t xml:space="preserve"> or tender</w:t>
            </w:r>
            <w:r w:rsidR="00AD049B" w:rsidRPr="00AC0A71">
              <w:rPr>
                <w:szCs w:val="20"/>
              </w:rPr>
              <w:t>s</w:t>
            </w:r>
            <w:r w:rsidR="00AD62A7" w:rsidRPr="00AC0A71">
              <w:rPr>
                <w:szCs w:val="20"/>
              </w:rPr>
              <w:t xml:space="preserve"> to allocate the available REZ capacity to generators</w:t>
            </w:r>
            <w:r w:rsidR="00C62C5E">
              <w:rPr>
                <w:szCs w:val="20"/>
              </w:rPr>
              <w:t xml:space="preserve"> and storage</w:t>
            </w:r>
            <w:r w:rsidR="00AD62A7" w:rsidRPr="00AC0A71">
              <w:rPr>
                <w:szCs w:val="20"/>
              </w:rPr>
              <w:t xml:space="preserve">. </w:t>
            </w:r>
          </w:p>
          <w:p w14:paraId="5D727618" w14:textId="77777777" w:rsidR="00AD62A7" w:rsidRPr="00AC0A71" w:rsidRDefault="003838C4" w:rsidP="00AC0A71">
            <w:pPr>
              <w:pStyle w:val="TableBullet"/>
              <w:rPr>
                <w:szCs w:val="20"/>
              </w:rPr>
            </w:pPr>
            <w:r>
              <w:rPr>
                <w:szCs w:val="20"/>
              </w:rPr>
              <w:t xml:space="preserve">The </w:t>
            </w:r>
            <w:r w:rsidR="00AD62A7" w:rsidRPr="00AC0A71">
              <w:rPr>
                <w:szCs w:val="20"/>
              </w:rPr>
              <w:t xml:space="preserve">ESB's view that each State Government should appoint their own REZ coordinators is strongly supported.  This approach will promote a national framework for REZs while also providing each State Government with flexibility to pursue their own policy objectives.  </w:t>
            </w:r>
          </w:p>
          <w:p w14:paraId="0B2969E3" w14:textId="77777777" w:rsidR="00AD62A7" w:rsidRPr="00AC0A71" w:rsidRDefault="00AD62A7" w:rsidP="00AC0A71">
            <w:pPr>
              <w:pStyle w:val="TableBullet"/>
              <w:rPr>
                <w:szCs w:val="20"/>
              </w:rPr>
            </w:pPr>
            <w:r w:rsidRPr="00AC0A71">
              <w:rPr>
                <w:szCs w:val="20"/>
              </w:rPr>
              <w:t xml:space="preserve">The role of the REZ coordinator is central to the effective operation of the proposed framework.  The scope of the REZ coordinator's role is only described at a high level in the consultation paper and requires further work to ensure that the proposed approach is workable and efficient.  The integration of this role with the REZ planning process in Step 1 of the REZ framework also needs to be better understood.  In particular, </w:t>
            </w:r>
            <w:r w:rsidRPr="007417CD">
              <w:rPr>
                <w:szCs w:val="20"/>
              </w:rPr>
              <w:t>the planning aspect of the REZ coordinator's role in relation to regulated REZs should be limited to fine-tuning the plans developed</w:t>
            </w:r>
            <w:r w:rsidRPr="00AC0A71">
              <w:rPr>
                <w:szCs w:val="20"/>
              </w:rPr>
              <w:t xml:space="preserve"> by the ISP and the jurisdictional planning body, and not to second-guess or revisit them.</w:t>
            </w:r>
          </w:p>
          <w:p w14:paraId="4ECFE3E9" w14:textId="77777777" w:rsidR="00AD62A7" w:rsidRPr="00AC0A71" w:rsidRDefault="00AD62A7" w:rsidP="00AC0A71">
            <w:pPr>
              <w:pStyle w:val="TableBullet"/>
              <w:rPr>
                <w:szCs w:val="20"/>
              </w:rPr>
            </w:pPr>
            <w:r w:rsidRPr="00AC0A71">
              <w:rPr>
                <w:szCs w:val="20"/>
              </w:rPr>
              <w:t>Relatedly, the consultation paper suggests that if a tender process associated with a REZ stage fails to generate anticipated revenues, then future stages of the REZ would be reassessed and potentially modified or ceased.  Such a proposition is not supported as revenue proceeds from an auction of access rights only provides information on generators' willingness to pay for those rights</w:t>
            </w:r>
            <w:r w:rsidR="00742F25">
              <w:rPr>
                <w:szCs w:val="20"/>
              </w:rPr>
              <w:t>.</w:t>
            </w:r>
            <w:r w:rsidRPr="00AC0A71">
              <w:rPr>
                <w:szCs w:val="20"/>
              </w:rPr>
              <w:t xml:space="preserve"> </w:t>
            </w:r>
            <w:r w:rsidR="00742F25">
              <w:rPr>
                <w:szCs w:val="20"/>
              </w:rPr>
              <w:t xml:space="preserve"> As such, revenue proceeds</w:t>
            </w:r>
            <w:r w:rsidRPr="00AC0A71">
              <w:rPr>
                <w:szCs w:val="20"/>
              </w:rPr>
              <w:t xml:space="preserve"> </w:t>
            </w:r>
            <w:r w:rsidR="006C1D11">
              <w:rPr>
                <w:szCs w:val="20"/>
              </w:rPr>
              <w:t>is not a reasonable proxy for</w:t>
            </w:r>
            <w:r w:rsidRPr="00AC0A71">
              <w:rPr>
                <w:szCs w:val="20"/>
              </w:rPr>
              <w:t xml:space="preserve"> the net market benefit provided by the REZ</w:t>
            </w:r>
            <w:r w:rsidR="006C1D11">
              <w:rPr>
                <w:szCs w:val="20"/>
              </w:rPr>
              <w:t xml:space="preserve"> over its asset life</w:t>
            </w:r>
            <w:r w:rsidR="00742F25">
              <w:rPr>
                <w:szCs w:val="20"/>
              </w:rPr>
              <w:t xml:space="preserve">, </w:t>
            </w:r>
            <w:r w:rsidRPr="00AC0A71">
              <w:rPr>
                <w:szCs w:val="20"/>
              </w:rPr>
              <w:t xml:space="preserve">which </w:t>
            </w:r>
            <w:r w:rsidR="006C1D11">
              <w:rPr>
                <w:szCs w:val="20"/>
              </w:rPr>
              <w:t>should</w:t>
            </w:r>
            <w:r w:rsidRPr="00AC0A71">
              <w:rPr>
                <w:szCs w:val="20"/>
              </w:rPr>
              <w:t xml:space="preserve"> drive the investment decision.</w:t>
            </w:r>
          </w:p>
          <w:p w14:paraId="18672F33" w14:textId="622041E3" w:rsidR="00AD62A7" w:rsidRPr="00AC0A71" w:rsidRDefault="00AD62A7" w:rsidP="00AC0A71">
            <w:pPr>
              <w:pStyle w:val="TableBullet"/>
              <w:rPr>
                <w:szCs w:val="20"/>
              </w:rPr>
            </w:pPr>
            <w:r w:rsidRPr="00AC0A71">
              <w:rPr>
                <w:szCs w:val="20"/>
              </w:rPr>
              <w:t xml:space="preserve">The consultation paper describes the REZ access regime as potentially providing a 'stepping stone' to national access reform.  However, it is also important to acknowledge that the </w:t>
            </w:r>
            <w:r w:rsidR="00106100">
              <w:rPr>
                <w:szCs w:val="20"/>
              </w:rPr>
              <w:t>C</w:t>
            </w:r>
            <w:r w:rsidR="00E62678">
              <w:rPr>
                <w:szCs w:val="20"/>
              </w:rPr>
              <w:t xml:space="preserve">oordination of </w:t>
            </w:r>
            <w:r w:rsidR="00106100">
              <w:rPr>
                <w:szCs w:val="20"/>
              </w:rPr>
              <w:t>G</w:t>
            </w:r>
            <w:r w:rsidR="00E62678">
              <w:rPr>
                <w:szCs w:val="20"/>
              </w:rPr>
              <w:t xml:space="preserve">eneration and </w:t>
            </w:r>
            <w:r w:rsidR="00106100">
              <w:rPr>
                <w:szCs w:val="20"/>
              </w:rPr>
              <w:t>T</w:t>
            </w:r>
            <w:r w:rsidR="001F6CBE">
              <w:rPr>
                <w:szCs w:val="20"/>
              </w:rPr>
              <w:t xml:space="preserve">ransmission </w:t>
            </w:r>
            <w:r w:rsidR="00D236BF">
              <w:rPr>
                <w:szCs w:val="20"/>
              </w:rPr>
              <w:t xml:space="preserve">Investment </w:t>
            </w:r>
            <w:r w:rsidR="00106100">
              <w:rPr>
                <w:szCs w:val="20"/>
              </w:rPr>
              <w:t xml:space="preserve">(COGATI) </w:t>
            </w:r>
            <w:r w:rsidRPr="00AC0A71">
              <w:rPr>
                <w:szCs w:val="20"/>
              </w:rPr>
              <w:t xml:space="preserve">access reforms were not broadly supported by stakeholders and, therefore, there is no shared </w:t>
            </w:r>
            <w:proofErr w:type="gramStart"/>
            <w:r w:rsidRPr="00AC0A71">
              <w:rPr>
                <w:szCs w:val="20"/>
              </w:rPr>
              <w:t>long term</w:t>
            </w:r>
            <w:proofErr w:type="gramEnd"/>
            <w:r w:rsidRPr="00AC0A71">
              <w:rPr>
                <w:szCs w:val="20"/>
              </w:rPr>
              <w:t xml:space="preserve"> vision for national access reform.  As such, it is best to regard the REZ access framework as 'an interim solution' that may or may not be superseded by a national access framework in the future.</w:t>
            </w:r>
          </w:p>
          <w:p w14:paraId="498A6AEE" w14:textId="438FA66D" w:rsidR="00AD62A7" w:rsidRPr="00AC0A71" w:rsidRDefault="00AD62A7" w:rsidP="00AC0A71">
            <w:pPr>
              <w:pStyle w:val="TableBullet"/>
              <w:rPr>
                <w:szCs w:val="20"/>
              </w:rPr>
            </w:pPr>
            <w:r w:rsidRPr="00AC0A71">
              <w:rPr>
                <w:szCs w:val="20"/>
              </w:rPr>
              <w:t xml:space="preserve">Of the four REZ access options described in the consultation paper, </w:t>
            </w:r>
            <w:r w:rsidR="009E0155">
              <w:rPr>
                <w:szCs w:val="20"/>
              </w:rPr>
              <w:t>O</w:t>
            </w:r>
            <w:r w:rsidRPr="00AC0A71">
              <w:rPr>
                <w:szCs w:val="20"/>
              </w:rPr>
              <w:t xml:space="preserve">ption 1 (physical access protection) and </w:t>
            </w:r>
            <w:r w:rsidR="009E0155">
              <w:rPr>
                <w:szCs w:val="20"/>
              </w:rPr>
              <w:t>O</w:t>
            </w:r>
            <w:r w:rsidRPr="00AC0A71">
              <w:rPr>
                <w:szCs w:val="20"/>
              </w:rPr>
              <w:t xml:space="preserve">ption </w:t>
            </w:r>
            <w:r w:rsidR="009E0155">
              <w:rPr>
                <w:szCs w:val="20"/>
              </w:rPr>
              <w:t xml:space="preserve">2 </w:t>
            </w:r>
            <w:r w:rsidRPr="00AC0A71">
              <w:rPr>
                <w:szCs w:val="20"/>
              </w:rPr>
              <w:t xml:space="preserve">(financial access protection) are credible options that should be explored in further detail.  Options 3 and 4 are not supported, as neither option is likely to encourage generators to locate in a REZ.  For </w:t>
            </w:r>
            <w:r w:rsidR="009E0155">
              <w:rPr>
                <w:szCs w:val="20"/>
              </w:rPr>
              <w:t>O</w:t>
            </w:r>
            <w:r w:rsidRPr="00AC0A71">
              <w:rPr>
                <w:szCs w:val="20"/>
              </w:rPr>
              <w:t xml:space="preserve">ption 2, </w:t>
            </w:r>
            <w:r w:rsidR="00AB5E9C">
              <w:rPr>
                <w:szCs w:val="20"/>
              </w:rPr>
              <w:t xml:space="preserve">Transmission Network Service Providers </w:t>
            </w:r>
            <w:r w:rsidR="008A746A">
              <w:rPr>
                <w:szCs w:val="20"/>
              </w:rPr>
              <w:t>(</w:t>
            </w:r>
            <w:r w:rsidRPr="00AC0A71">
              <w:rPr>
                <w:szCs w:val="20"/>
              </w:rPr>
              <w:t>TNSPs</w:t>
            </w:r>
            <w:r w:rsidR="008A746A">
              <w:rPr>
                <w:szCs w:val="20"/>
              </w:rPr>
              <w:t>)</w:t>
            </w:r>
            <w:r w:rsidRPr="00AC0A71">
              <w:rPr>
                <w:szCs w:val="20"/>
              </w:rPr>
              <w:t xml:space="preserve"> should not be responsible for managing the compensation arrangements, which can be managed by the REZ coordinator or through mandated contractual relationships between the REZ participants, outside settlements.  </w:t>
            </w:r>
          </w:p>
          <w:p w14:paraId="5E34F72A" w14:textId="0A8C8A4B" w:rsidR="00AD62A7" w:rsidRPr="00AC0A71" w:rsidRDefault="00AD62A7" w:rsidP="00AC0A71">
            <w:pPr>
              <w:pStyle w:val="TableBullet"/>
              <w:rPr>
                <w:sz w:val="22"/>
              </w:rPr>
            </w:pPr>
            <w:r w:rsidRPr="00AC0A71">
              <w:rPr>
                <w:szCs w:val="20"/>
              </w:rPr>
              <w:t>We do not support further work in developing the</w:t>
            </w:r>
            <w:r w:rsidR="00966318" w:rsidRPr="00FC59DB">
              <w:t xml:space="preserve"> Public Interest Advocacy Centre</w:t>
            </w:r>
            <w:r w:rsidR="00966318">
              <w:t xml:space="preserve"> (</w:t>
            </w:r>
            <w:r w:rsidRPr="00AC0A71">
              <w:rPr>
                <w:szCs w:val="20"/>
              </w:rPr>
              <w:t>PIAC</w:t>
            </w:r>
            <w:r w:rsidR="00966318">
              <w:rPr>
                <w:szCs w:val="20"/>
              </w:rPr>
              <w:t>)</w:t>
            </w:r>
            <w:r w:rsidRPr="00AC0A71">
              <w:rPr>
                <w:szCs w:val="20"/>
              </w:rPr>
              <w:t xml:space="preserve"> model.  The current planning and investment framework, including the ISP and the </w:t>
            </w:r>
            <w:r w:rsidR="008A746A">
              <w:rPr>
                <w:szCs w:val="20"/>
              </w:rPr>
              <w:t xml:space="preserve">Regulatory </w:t>
            </w:r>
            <w:r w:rsidR="007C5C46">
              <w:rPr>
                <w:szCs w:val="20"/>
              </w:rPr>
              <w:t>Investment</w:t>
            </w:r>
            <w:r w:rsidR="008A746A">
              <w:rPr>
                <w:szCs w:val="20"/>
              </w:rPr>
              <w:t xml:space="preserve"> Test </w:t>
            </w:r>
            <w:r w:rsidR="007C5C46">
              <w:rPr>
                <w:szCs w:val="20"/>
              </w:rPr>
              <w:t>– Transmission (</w:t>
            </w:r>
            <w:r w:rsidRPr="00AC0A71">
              <w:rPr>
                <w:szCs w:val="20"/>
              </w:rPr>
              <w:t>RIT-T</w:t>
            </w:r>
            <w:r w:rsidR="007C5C46">
              <w:rPr>
                <w:szCs w:val="20"/>
              </w:rPr>
              <w:t>)</w:t>
            </w:r>
            <w:r w:rsidRPr="00AC0A71">
              <w:rPr>
                <w:szCs w:val="20"/>
              </w:rPr>
              <w:t xml:space="preserve">, are rightly focused on delivering optimal outcomes for customers.  The PIAC model adds significant complexity and risk to these arrangements, but it is unclear </w:t>
            </w:r>
            <w:r w:rsidR="000E7DBF">
              <w:rPr>
                <w:szCs w:val="20"/>
              </w:rPr>
              <w:t>why the PIAC model</w:t>
            </w:r>
            <w:r w:rsidRPr="00AC0A71">
              <w:rPr>
                <w:szCs w:val="20"/>
              </w:rPr>
              <w:t xml:space="preserve"> would deliver better outcomes for customers.  We also note that the ESB's proposed access framework will partly achieve PIAC's objective by creating a funding channel for generators to contribute to the cost of REZ developments, without creating new risks or uncertainties for investors</w:t>
            </w:r>
            <w:r w:rsidR="001C7A3F">
              <w:rPr>
                <w:szCs w:val="20"/>
              </w:rPr>
              <w:t xml:space="preserve"> and higher total costs for customers</w:t>
            </w:r>
            <w:r w:rsidRPr="00AC0A71">
              <w:rPr>
                <w:szCs w:val="20"/>
              </w:rPr>
              <w:t>.</w:t>
            </w:r>
          </w:p>
        </w:tc>
      </w:tr>
    </w:tbl>
    <w:p w14:paraId="2400CA6B" w14:textId="77777777" w:rsidR="00AD62A7" w:rsidRDefault="00AD62A7" w:rsidP="00AD62A7">
      <w:pPr>
        <w:pStyle w:val="Heading1"/>
        <w:numPr>
          <w:ilvl w:val="0"/>
          <w:numId w:val="21"/>
        </w:numPr>
        <w:spacing w:before="240" w:after="120"/>
        <w:ind w:hanging="720"/>
      </w:pPr>
      <w:bookmarkStart w:id="1" w:name="_Toc61616306"/>
      <w:r>
        <w:lastRenderedPageBreak/>
        <w:t>Introduction</w:t>
      </w:r>
      <w:bookmarkEnd w:id="1"/>
    </w:p>
    <w:p w14:paraId="4D623A25" w14:textId="77777777" w:rsidR="000871EA" w:rsidRDefault="00AD62A7" w:rsidP="007B23B0">
      <w:pPr>
        <w:pStyle w:val="BodyText"/>
      </w:pPr>
      <w:r>
        <w:t xml:space="preserve">The context for this consultation paper is that </w:t>
      </w:r>
      <w:r w:rsidR="00177884">
        <w:t xml:space="preserve">the </w:t>
      </w:r>
      <w:r>
        <w:t>St</w:t>
      </w:r>
      <w:r w:rsidR="00CB0265">
        <w:t>ep</w:t>
      </w:r>
      <w:r>
        <w:t xml:space="preserve"> 1 draft Rules, which address</w:t>
      </w:r>
      <w:r w:rsidR="00E172D4">
        <w:t xml:space="preserve"> the</w:t>
      </w:r>
      <w:r>
        <w:t xml:space="preserve"> planning arrangements for REZs, are currently being considered by Energy Ministers. </w:t>
      </w:r>
      <w:r w:rsidR="00D22BD2">
        <w:t>Step 2 of the reform, which is th</w:t>
      </w:r>
      <w:r w:rsidR="006D341F">
        <w:t>e</w:t>
      </w:r>
      <w:r w:rsidR="00D22BD2">
        <w:t xml:space="preserve"> subject of this </w:t>
      </w:r>
      <w:r w:rsidR="00E172D4">
        <w:t>consultation paper</w:t>
      </w:r>
      <w:r w:rsidR="00D22BD2">
        <w:t>,</w:t>
      </w:r>
      <w:r w:rsidR="00E172D4">
        <w:t xml:space="preserve"> is </w:t>
      </w:r>
      <w:r w:rsidR="00CB0265">
        <w:t xml:space="preserve">focused on establishing an interim </w:t>
      </w:r>
      <w:r w:rsidR="00D22BD2">
        <w:t xml:space="preserve">REZ </w:t>
      </w:r>
      <w:r w:rsidR="00CB0265">
        <w:t xml:space="preserve">framework to </w:t>
      </w:r>
      <w:r w:rsidR="00D22BD2">
        <w:t>facilitate the orderly</w:t>
      </w:r>
      <w:r w:rsidR="00CB0265">
        <w:t xml:space="preserve"> </w:t>
      </w:r>
      <w:r>
        <w:t>connection of renewable generat</w:t>
      </w:r>
      <w:r w:rsidR="00CB0265">
        <w:t>ion and storage</w:t>
      </w:r>
      <w:r>
        <w:t xml:space="preserve"> </w:t>
      </w:r>
      <w:r w:rsidR="00CB0265">
        <w:t>capacity</w:t>
      </w:r>
      <w:r w:rsidR="00D22BD2">
        <w:t xml:space="preserve"> in REZs,</w:t>
      </w:r>
      <w:r>
        <w:t xml:space="preserve"> in accordance with the ISP. </w:t>
      </w:r>
    </w:p>
    <w:p w14:paraId="4C5D7E06" w14:textId="77777777" w:rsidR="000A77B9" w:rsidRDefault="00AD62A7" w:rsidP="007B23B0">
      <w:pPr>
        <w:pStyle w:val="BodyText"/>
      </w:pPr>
      <w:r>
        <w:t xml:space="preserve">The further development of the REZ framework comes at a time when </w:t>
      </w:r>
      <w:r w:rsidR="00D22BD2">
        <w:t>S</w:t>
      </w:r>
      <w:r>
        <w:t xml:space="preserve">tate Governments are pressing ahead with initiatives to promote the development of renewable generation, as the transformation of the energy market continues to gather pace. </w:t>
      </w:r>
      <w:r w:rsidR="000A77B9">
        <w:t xml:space="preserve"> In this context, a</w:t>
      </w:r>
      <w:r w:rsidR="006D341F">
        <w:t>n interim</w:t>
      </w:r>
      <w:r w:rsidR="000A77B9">
        <w:t xml:space="preserve"> REZ framework that is capable of being applied nationally across regulated, Government and commercial </w:t>
      </w:r>
      <w:r w:rsidR="00725F32">
        <w:t xml:space="preserve">REZ </w:t>
      </w:r>
      <w:r w:rsidR="000A77B9">
        <w:t xml:space="preserve">developments may provide significant value to participants and, ultimately, </w:t>
      </w:r>
      <w:r w:rsidR="00725F32">
        <w:t xml:space="preserve">to </w:t>
      </w:r>
      <w:r w:rsidR="000A77B9">
        <w:t xml:space="preserve">customers through lower total </w:t>
      </w:r>
      <w:r w:rsidR="008D6EEB">
        <w:t>electricity</w:t>
      </w:r>
      <w:r w:rsidR="000A77B9">
        <w:t xml:space="preserve"> costs.</w:t>
      </w:r>
    </w:p>
    <w:p w14:paraId="39B88B31" w14:textId="77777777" w:rsidR="00AD62A7" w:rsidRPr="00123173" w:rsidRDefault="00AD62A7" w:rsidP="007B23B0">
      <w:pPr>
        <w:pStyle w:val="BodyText"/>
      </w:pPr>
      <w:r>
        <w:t xml:space="preserve">The remainder of this submission </w:t>
      </w:r>
      <w:r w:rsidR="00012C3A">
        <w:t xml:space="preserve">discusses the following </w:t>
      </w:r>
      <w:r w:rsidR="00F147E3">
        <w:t>topics</w:t>
      </w:r>
      <w:r>
        <w:t>:</w:t>
      </w:r>
    </w:p>
    <w:p w14:paraId="77C09690" w14:textId="77777777" w:rsidR="00A811DA" w:rsidRDefault="00B479E7" w:rsidP="007B23B0">
      <w:pPr>
        <w:pStyle w:val="ListBullet0"/>
      </w:pPr>
      <w:r>
        <w:rPr>
          <w:b/>
        </w:rPr>
        <w:t>Identified issues</w:t>
      </w:r>
      <w:r w:rsidR="00A811DA">
        <w:rPr>
          <w:b/>
        </w:rPr>
        <w:t xml:space="preserve"> </w:t>
      </w:r>
      <w:r w:rsidR="00AD62A7">
        <w:t xml:space="preserve">– </w:t>
      </w:r>
      <w:r w:rsidR="007D1F62">
        <w:t xml:space="preserve">ENA supports the description of the </w:t>
      </w:r>
      <w:r w:rsidR="00BF3CFD">
        <w:t>deficiencies</w:t>
      </w:r>
      <w:r w:rsidR="00A811DA">
        <w:t xml:space="preserve"> </w:t>
      </w:r>
      <w:r w:rsidR="00F147E3">
        <w:t>arising from the current framework as</w:t>
      </w:r>
      <w:r w:rsidR="00BF3B3C">
        <w:t xml:space="preserve"> </w:t>
      </w:r>
      <w:r>
        <w:t>presented</w:t>
      </w:r>
      <w:r w:rsidR="005001EE">
        <w:t xml:space="preserve"> in the consultation paper</w:t>
      </w:r>
      <w:r w:rsidR="006569E4">
        <w:t xml:space="preserve">, and notes the importance of ensuring that the scope of the </w:t>
      </w:r>
      <w:r w:rsidR="005001EE">
        <w:t xml:space="preserve">proposed </w:t>
      </w:r>
      <w:r w:rsidR="006569E4">
        <w:t xml:space="preserve">reform is </w:t>
      </w:r>
      <w:r w:rsidR="00C55720">
        <w:t xml:space="preserve">directed </w:t>
      </w:r>
      <w:r w:rsidR="00BF3CFD">
        <w:t>at</w:t>
      </w:r>
      <w:r w:rsidR="006569E4">
        <w:t xml:space="preserve"> address</w:t>
      </w:r>
      <w:r w:rsidR="00BF3CFD">
        <w:t>ing</w:t>
      </w:r>
      <w:r w:rsidR="005001EE">
        <w:t xml:space="preserve"> th</w:t>
      </w:r>
      <w:r w:rsidR="00725F32">
        <w:t>o</w:t>
      </w:r>
      <w:r w:rsidR="00F147E3">
        <w:t>se</w:t>
      </w:r>
      <w:r w:rsidR="005001EE">
        <w:t xml:space="preserve"> issues.</w:t>
      </w:r>
    </w:p>
    <w:p w14:paraId="325D0242" w14:textId="77777777" w:rsidR="00AD62A7" w:rsidRDefault="00AD62A7" w:rsidP="00AD62A7">
      <w:pPr>
        <w:pStyle w:val="ListBullet0"/>
      </w:pPr>
      <w:r>
        <w:rPr>
          <w:b/>
        </w:rPr>
        <w:t>REZ coordinator role</w:t>
      </w:r>
      <w:r>
        <w:t xml:space="preserve"> – this role, which is central to the effectiveness of the </w:t>
      </w:r>
      <w:r w:rsidR="00D8197E">
        <w:t xml:space="preserve">interim </w:t>
      </w:r>
      <w:r>
        <w:t xml:space="preserve">REZ framework, requires further detailed work to ensure that it is appropriately defined and executed. </w:t>
      </w:r>
      <w:r w:rsidR="00567FC4">
        <w:t xml:space="preserve">A further feedback loop to </w:t>
      </w:r>
      <w:r w:rsidR="002876FD">
        <w:t xml:space="preserve">the planning process to </w:t>
      </w:r>
      <w:r w:rsidR="00567FC4">
        <w:t xml:space="preserve">reduce the risk of asset stranding is not </w:t>
      </w:r>
      <w:r w:rsidR="00D8197E">
        <w:t>necessary or desirable</w:t>
      </w:r>
      <w:r w:rsidR="00567FC4">
        <w:t>.</w:t>
      </w:r>
    </w:p>
    <w:p w14:paraId="352C5FD7" w14:textId="77777777" w:rsidR="00AD62A7" w:rsidRDefault="00AD62A7" w:rsidP="00AD62A7">
      <w:pPr>
        <w:pStyle w:val="ListBullet0"/>
      </w:pPr>
      <w:r>
        <w:rPr>
          <w:b/>
        </w:rPr>
        <w:t>Access rights options</w:t>
      </w:r>
      <w:r>
        <w:t xml:space="preserve"> – the options of providing physical protection (</w:t>
      </w:r>
      <w:r w:rsidR="00284084">
        <w:t>O</w:t>
      </w:r>
      <w:r>
        <w:t>ption 1) and financial protection (</w:t>
      </w:r>
      <w:r w:rsidR="00284084">
        <w:t>O</w:t>
      </w:r>
      <w:r>
        <w:t xml:space="preserve">ption 2) of the generators’ access rights are credible </w:t>
      </w:r>
      <w:r w:rsidR="00B479E7">
        <w:t>options that</w:t>
      </w:r>
      <w:r>
        <w:t xml:space="preserve"> should be </w:t>
      </w:r>
      <w:r w:rsidR="00B479E7">
        <w:t xml:space="preserve">explored </w:t>
      </w:r>
      <w:r>
        <w:t>further.</w:t>
      </w:r>
    </w:p>
    <w:p w14:paraId="026587FC" w14:textId="77777777" w:rsidR="00AD62A7" w:rsidRDefault="00AD62A7" w:rsidP="00AD62A7">
      <w:pPr>
        <w:pStyle w:val="ListBullet0"/>
      </w:pPr>
      <w:r>
        <w:rPr>
          <w:b/>
        </w:rPr>
        <w:t>PIAC model –</w:t>
      </w:r>
      <w:r>
        <w:t xml:space="preserve"> this model is not supported because it creates additional complexity and risk, which will ultimately lead to sub-optimal outcomes for customers.  </w:t>
      </w:r>
    </w:p>
    <w:p w14:paraId="0C1E8FF6" w14:textId="77777777" w:rsidR="00AD62A7" w:rsidRPr="00BE293A" w:rsidRDefault="00A80C87" w:rsidP="00AD62A7">
      <w:pPr>
        <w:pStyle w:val="Heading1"/>
        <w:numPr>
          <w:ilvl w:val="0"/>
          <w:numId w:val="21"/>
        </w:numPr>
        <w:spacing w:before="240" w:after="120"/>
        <w:ind w:hanging="720"/>
      </w:pPr>
      <w:r>
        <w:t>Identified issues</w:t>
      </w:r>
      <w:r w:rsidR="00A811DA">
        <w:t xml:space="preserve"> </w:t>
      </w:r>
    </w:p>
    <w:p w14:paraId="0B8599CE" w14:textId="28293CAE" w:rsidR="00A811DA" w:rsidRDefault="008708DE" w:rsidP="00921015">
      <w:pPr>
        <w:pStyle w:val="BodyText"/>
      </w:pPr>
      <w:r>
        <w:t xml:space="preserve">ENA </w:t>
      </w:r>
      <w:r w:rsidR="00B47835">
        <w:t>agree</w:t>
      </w:r>
      <w:r w:rsidR="00072C93">
        <w:t>s</w:t>
      </w:r>
      <w:r>
        <w:t xml:space="preserve"> with the</w:t>
      </w:r>
      <w:r w:rsidR="00A80C87">
        <w:t xml:space="preserve"> identified issues or ‘problem definition’ presented in the </w:t>
      </w:r>
      <w:r>
        <w:t>consultation paper</w:t>
      </w:r>
      <w:r w:rsidR="00A80C87">
        <w:t xml:space="preserve">, </w:t>
      </w:r>
      <w:r>
        <w:t xml:space="preserve">which explains that </w:t>
      </w:r>
      <w:r w:rsidR="005E65FF">
        <w:t xml:space="preserve">renewable </w:t>
      </w:r>
      <w:r>
        <w:t xml:space="preserve">generators </w:t>
      </w:r>
      <w:r w:rsidR="000972B3">
        <w:t xml:space="preserve">may </w:t>
      </w:r>
      <w:r>
        <w:t xml:space="preserve">not currently have an incentive to locate in </w:t>
      </w:r>
      <w:r w:rsidR="00A811DA">
        <w:t>REZ</w:t>
      </w:r>
      <w:r w:rsidR="00A80C87">
        <w:t>s</w:t>
      </w:r>
      <w:r w:rsidR="000972B3">
        <w:t xml:space="preserve"> identified in </w:t>
      </w:r>
      <w:r>
        <w:t>the ISP</w:t>
      </w:r>
      <w:r w:rsidR="000972B3">
        <w:t xml:space="preserve"> in an orderly fashion</w:t>
      </w:r>
      <w:r w:rsidR="001C645C">
        <w:t>.</w:t>
      </w:r>
      <w:r w:rsidR="00072C93">
        <w:rPr>
          <w:rStyle w:val="FootnoteReference"/>
        </w:rPr>
        <w:footnoteReference w:id="2"/>
      </w:r>
      <w:r>
        <w:t xml:space="preserve"> </w:t>
      </w:r>
      <w:r w:rsidR="00CD0A2C">
        <w:t xml:space="preserve"> </w:t>
      </w:r>
      <w:r w:rsidRPr="008708DE">
        <w:t xml:space="preserve">In order to </w:t>
      </w:r>
      <w:r w:rsidR="00CD0A2C">
        <w:t>meet</w:t>
      </w:r>
      <w:r w:rsidRPr="008708DE">
        <w:t xml:space="preserve"> </w:t>
      </w:r>
      <w:r w:rsidR="00934829">
        <w:t xml:space="preserve">customers’ energy needs </w:t>
      </w:r>
      <w:r w:rsidRPr="008708DE">
        <w:t xml:space="preserve">at </w:t>
      </w:r>
      <w:r w:rsidR="00CD0A2C">
        <w:t>the lowest total</w:t>
      </w:r>
      <w:r w:rsidRPr="008708DE">
        <w:t xml:space="preserve"> cost, a mechanism is required to </w:t>
      </w:r>
      <w:r w:rsidR="00A811DA">
        <w:t>promote efficient</w:t>
      </w:r>
      <w:r w:rsidRPr="008708DE">
        <w:t xml:space="preserve"> </w:t>
      </w:r>
      <w:r w:rsidR="00934829">
        <w:t xml:space="preserve">connection of </w:t>
      </w:r>
      <w:r w:rsidR="00A811DA">
        <w:t>generation and storage</w:t>
      </w:r>
      <w:r w:rsidRPr="008708DE">
        <w:t xml:space="preserve"> </w:t>
      </w:r>
      <w:r w:rsidR="00934829">
        <w:t>capacity</w:t>
      </w:r>
      <w:r w:rsidR="00A811DA">
        <w:t xml:space="preserve"> in REZs</w:t>
      </w:r>
      <w:r w:rsidR="00921015">
        <w:t xml:space="preserve">. </w:t>
      </w:r>
      <w:r w:rsidR="00CD0A2C">
        <w:t xml:space="preserve"> </w:t>
      </w:r>
      <w:r w:rsidR="00B47835">
        <w:t>By facilitating the orderly connection of renewable generat</w:t>
      </w:r>
      <w:r w:rsidR="00934829">
        <w:t>ion</w:t>
      </w:r>
      <w:r w:rsidR="00CD0A2C">
        <w:t xml:space="preserve"> and storage capacity</w:t>
      </w:r>
      <w:r w:rsidR="00B47835">
        <w:t xml:space="preserve">, the existing risks </w:t>
      </w:r>
      <w:r w:rsidR="00921015">
        <w:t xml:space="preserve">of inefficient </w:t>
      </w:r>
      <w:r>
        <w:t>network congestion and low marginal loss factors</w:t>
      </w:r>
      <w:r w:rsidR="00921015">
        <w:t xml:space="preserve"> </w:t>
      </w:r>
      <w:r w:rsidR="00CD0A2C">
        <w:t>may</w:t>
      </w:r>
      <w:r w:rsidR="00CC4C35">
        <w:t xml:space="preserve"> be avoided</w:t>
      </w:r>
      <w:r w:rsidR="00921015">
        <w:t>.</w:t>
      </w:r>
      <w:r w:rsidR="00CC4C35">
        <w:t xml:space="preserve"> </w:t>
      </w:r>
    </w:p>
    <w:p w14:paraId="1F6A183E" w14:textId="77777777" w:rsidR="008708DE" w:rsidRDefault="00231FCC" w:rsidP="00921015">
      <w:pPr>
        <w:pStyle w:val="BodyText"/>
      </w:pPr>
      <w:r>
        <w:t>From the perspective of generators</w:t>
      </w:r>
      <w:r w:rsidR="00A811DA">
        <w:t xml:space="preserve"> seeking connection in REZs</w:t>
      </w:r>
      <w:r>
        <w:t xml:space="preserve">, the potential benefits </w:t>
      </w:r>
      <w:r w:rsidR="002877D7">
        <w:t xml:space="preserve">of a workable REZ framework </w:t>
      </w:r>
      <w:r>
        <w:t>are:</w:t>
      </w:r>
    </w:p>
    <w:p w14:paraId="4430D7BF" w14:textId="77777777" w:rsidR="00C04777" w:rsidRDefault="00231FCC" w:rsidP="00C04777">
      <w:pPr>
        <w:pStyle w:val="ListBullet0"/>
      </w:pPr>
      <w:r>
        <w:t>Lower cost connections, by capturing and sharing efficiencies between connecting parties</w:t>
      </w:r>
      <w:r w:rsidR="00A475EE">
        <w:t>;</w:t>
      </w:r>
    </w:p>
    <w:p w14:paraId="20D18970" w14:textId="77777777" w:rsidR="00C04777" w:rsidRDefault="00231FCC" w:rsidP="00C04777">
      <w:pPr>
        <w:pStyle w:val="ListBullet0"/>
      </w:pPr>
      <w:r>
        <w:t>Increased certainty during the connection and approvals process</w:t>
      </w:r>
      <w:r w:rsidR="00A475EE">
        <w:t>; and</w:t>
      </w:r>
    </w:p>
    <w:p w14:paraId="2192595E" w14:textId="77777777" w:rsidR="00231FCC" w:rsidRDefault="00231FCC" w:rsidP="00C04777">
      <w:pPr>
        <w:pStyle w:val="ListBullet0"/>
      </w:pPr>
      <w:r>
        <w:t>Improved investment certainty.</w:t>
      </w:r>
    </w:p>
    <w:p w14:paraId="067B3029" w14:textId="77777777" w:rsidR="008E6088" w:rsidRDefault="00B865B0" w:rsidP="001D29C5">
      <w:pPr>
        <w:pStyle w:val="ListBullet0"/>
        <w:numPr>
          <w:ilvl w:val="0"/>
          <w:numId w:val="0"/>
        </w:numPr>
      </w:pPr>
      <w:r>
        <w:lastRenderedPageBreak/>
        <w:t>T</w:t>
      </w:r>
      <w:r w:rsidR="002877D7">
        <w:t xml:space="preserve">hese </w:t>
      </w:r>
      <w:r w:rsidR="00E34BEC">
        <w:t xml:space="preserve">potential </w:t>
      </w:r>
      <w:r w:rsidR="002877D7">
        <w:t>benefits</w:t>
      </w:r>
      <w:r>
        <w:t xml:space="preserve">, </w:t>
      </w:r>
      <w:r w:rsidR="00E34BEC">
        <w:t>supported</w:t>
      </w:r>
      <w:r>
        <w:t xml:space="preserve"> by the efficient </w:t>
      </w:r>
      <w:r w:rsidR="00E34BEC">
        <w:t>deployment</w:t>
      </w:r>
      <w:r>
        <w:t xml:space="preserve"> of storage capacity,</w:t>
      </w:r>
      <w:r w:rsidR="002877D7">
        <w:t xml:space="preserve"> </w:t>
      </w:r>
      <w:r w:rsidR="00423F3C">
        <w:t>should</w:t>
      </w:r>
      <w:r w:rsidR="002877D7">
        <w:t xml:space="preserve"> </w:t>
      </w:r>
      <w:r w:rsidR="00423F3C">
        <w:t>facilitate</w:t>
      </w:r>
      <w:r w:rsidR="002877D7">
        <w:t xml:space="preserve"> lower total energy costs and lower </w:t>
      </w:r>
      <w:r w:rsidR="008E6088">
        <w:t xml:space="preserve">electricity prices </w:t>
      </w:r>
      <w:r w:rsidR="002877D7">
        <w:t xml:space="preserve">for </w:t>
      </w:r>
      <w:r w:rsidR="008E6088">
        <w:t>customers</w:t>
      </w:r>
      <w:r w:rsidR="00423F3C">
        <w:t xml:space="preserve"> than would otherwise be the case</w:t>
      </w:r>
      <w:r w:rsidR="008E6088">
        <w:t xml:space="preserve">. </w:t>
      </w:r>
      <w:r w:rsidR="00DB7490">
        <w:t xml:space="preserve"> </w:t>
      </w:r>
      <w:r w:rsidR="008E6088">
        <w:t>ENA therefore supports the objective of the reform</w:t>
      </w:r>
      <w:r w:rsidR="00F10FF6">
        <w:t>, noting that it is ultimately focused on delivering better outcomes for customers.</w:t>
      </w:r>
    </w:p>
    <w:p w14:paraId="3EF35389" w14:textId="77777777" w:rsidR="006C7902" w:rsidRDefault="006C7902" w:rsidP="001D29C5">
      <w:pPr>
        <w:pStyle w:val="ListBullet0"/>
        <w:numPr>
          <w:ilvl w:val="0"/>
          <w:numId w:val="0"/>
        </w:numPr>
      </w:pPr>
      <w:r>
        <w:t xml:space="preserve">For the proposed REZ framework to be effective, it should be designed to facilitate the orderly and efficient connection of renewable generation in response to known deficiencies with the current arrangements. As explained in further detail in </w:t>
      </w:r>
      <w:r w:rsidR="00F10FF6">
        <w:t>this submission</w:t>
      </w:r>
      <w:r>
        <w:t>, ENA considers that the proposed REZ framework is appropriately targeted in the following respects:</w:t>
      </w:r>
    </w:p>
    <w:p w14:paraId="17D882EB" w14:textId="4C2F6F3C" w:rsidR="004005F4" w:rsidRDefault="006C7902" w:rsidP="00202156">
      <w:pPr>
        <w:pStyle w:val="TableBullet"/>
      </w:pPr>
      <w:r>
        <w:t xml:space="preserve">It is focused on </w:t>
      </w:r>
      <w:r w:rsidRPr="004005F4">
        <w:rPr>
          <w:u w:val="single"/>
        </w:rPr>
        <w:t>regulated</w:t>
      </w:r>
      <w:r w:rsidRPr="004005F4">
        <w:t xml:space="preserve"> </w:t>
      </w:r>
      <w:r>
        <w:t>REZs,</w:t>
      </w:r>
      <w:r w:rsidR="00ED5ED1">
        <w:rPr>
          <w:rStyle w:val="FootnoteReference"/>
        </w:rPr>
        <w:footnoteReference w:id="3"/>
      </w:r>
      <w:r>
        <w:t xml:space="preserve"> noting that the objective is to promote outcomes consistent with the ISP, which is </w:t>
      </w:r>
      <w:r w:rsidR="004005F4">
        <w:t>an important driver of regulated transmission investments</w:t>
      </w:r>
      <w:r w:rsidR="00142D9D">
        <w:t xml:space="preserve">. </w:t>
      </w:r>
      <w:r w:rsidR="00142D9D" w:rsidRPr="00142D9D">
        <w:t>As the interim framework applies to regulated REZs, it does not impose any obligations in relation to REZs that do not form part of the TNSP’s regulated transmission network</w:t>
      </w:r>
      <w:r w:rsidR="003F58A4">
        <w:t>;</w:t>
      </w:r>
    </w:p>
    <w:p w14:paraId="6823242C" w14:textId="77777777" w:rsidR="004005F4" w:rsidRPr="00202156" w:rsidRDefault="007F6B75" w:rsidP="00202156">
      <w:pPr>
        <w:pStyle w:val="ListBullet0"/>
      </w:pPr>
      <w:r w:rsidRPr="00202156">
        <w:t xml:space="preserve">It introduces the role of the REZ coordinator to encourage the orderly and efficient connection of generation and storage </w:t>
      </w:r>
      <w:r w:rsidR="00F10FF6" w:rsidRPr="00202156">
        <w:t xml:space="preserve">capacity </w:t>
      </w:r>
      <w:r w:rsidRPr="00202156">
        <w:t>in REZ</w:t>
      </w:r>
      <w:r w:rsidR="00F10FF6" w:rsidRPr="00202156">
        <w:t>s</w:t>
      </w:r>
      <w:r w:rsidR="003F58A4">
        <w:t>; and</w:t>
      </w:r>
    </w:p>
    <w:p w14:paraId="272F8BAB" w14:textId="77777777" w:rsidR="006C7902" w:rsidRDefault="007F6B75" w:rsidP="00202156">
      <w:pPr>
        <w:pStyle w:val="ListBullet0"/>
      </w:pPr>
      <w:r w:rsidRPr="00202156">
        <w:t>It provides for an access regime</w:t>
      </w:r>
      <w:r w:rsidR="00F253D3">
        <w:t>,</w:t>
      </w:r>
      <w:r w:rsidRPr="00202156">
        <w:t xml:space="preserve"> </w:t>
      </w:r>
      <w:r w:rsidR="00DE55BF" w:rsidRPr="00202156">
        <w:t xml:space="preserve">so that generators </w:t>
      </w:r>
      <w:r w:rsidR="00A12764" w:rsidRPr="00202156">
        <w:t xml:space="preserve">and storage </w:t>
      </w:r>
      <w:r w:rsidR="00DE55BF" w:rsidRPr="00202156">
        <w:t xml:space="preserve">that successfully obtain access to a REZ </w:t>
      </w:r>
      <w:r w:rsidR="00A12764" w:rsidRPr="00202156">
        <w:t>are</w:t>
      </w:r>
      <w:r w:rsidR="00A12764">
        <w:t xml:space="preserve"> able to </w:t>
      </w:r>
      <w:r w:rsidR="00DE55BF">
        <w:t>secure access rights that protect their</w:t>
      </w:r>
      <w:r w:rsidR="00515715">
        <w:t xml:space="preserve"> interests.</w:t>
      </w:r>
      <w:r w:rsidR="00DE55BF">
        <w:t xml:space="preserve"> </w:t>
      </w:r>
    </w:p>
    <w:p w14:paraId="660DF73C" w14:textId="77777777" w:rsidR="006C7902" w:rsidRDefault="00630645" w:rsidP="001D29C5">
      <w:pPr>
        <w:pStyle w:val="ListBullet0"/>
        <w:numPr>
          <w:ilvl w:val="0"/>
          <w:numId w:val="0"/>
        </w:numPr>
      </w:pPr>
      <w:r>
        <w:t>H</w:t>
      </w:r>
      <w:r w:rsidR="00117ADB">
        <w:t xml:space="preserve">owever, the consultation paper </w:t>
      </w:r>
      <w:r w:rsidR="005E2344">
        <w:t>also raises the prospect</w:t>
      </w:r>
      <w:r w:rsidR="00D10D0C">
        <w:t xml:space="preserve"> </w:t>
      </w:r>
      <w:r w:rsidR="005E2344">
        <w:t xml:space="preserve">of </w:t>
      </w:r>
      <w:r w:rsidR="00D10D0C">
        <w:t xml:space="preserve">changes to the current arrangements </w:t>
      </w:r>
      <w:r w:rsidR="00E22E9D">
        <w:t xml:space="preserve">that are not </w:t>
      </w:r>
      <w:r w:rsidR="003F58A4">
        <w:t xml:space="preserve">directly </w:t>
      </w:r>
      <w:r w:rsidR="00E22E9D">
        <w:t xml:space="preserve">related to the </w:t>
      </w:r>
      <w:r w:rsidR="003F58A4">
        <w:t>‘problem definition’ described</w:t>
      </w:r>
      <w:r w:rsidR="00AA5FBD">
        <w:t xml:space="preserve"> in the consultation paper. </w:t>
      </w:r>
      <w:r w:rsidR="00E22E9D">
        <w:t xml:space="preserve"> </w:t>
      </w:r>
      <w:r w:rsidR="00F95D11">
        <w:t xml:space="preserve">In particular, </w:t>
      </w:r>
      <w:r w:rsidR="007345B6">
        <w:t>the consultation paper</w:t>
      </w:r>
      <w:r w:rsidR="00745EE2">
        <w:t xml:space="preserve"> suggests that</w:t>
      </w:r>
      <w:r w:rsidR="00555BE6">
        <w:t>:</w:t>
      </w:r>
    </w:p>
    <w:p w14:paraId="40D2AA04" w14:textId="77777777" w:rsidR="00555BE6" w:rsidRDefault="002A13C3" w:rsidP="00202156">
      <w:pPr>
        <w:pStyle w:val="TableBullet"/>
      </w:pPr>
      <w:r>
        <w:t>R</w:t>
      </w:r>
      <w:r w:rsidR="00FD6AF5">
        <w:t xml:space="preserve">evenue receipts from the sale of </w:t>
      </w:r>
      <w:r w:rsidR="007345B6">
        <w:t xml:space="preserve">access rights </w:t>
      </w:r>
      <w:r w:rsidR="001354E7">
        <w:t xml:space="preserve">could inform the planning process for </w:t>
      </w:r>
      <w:r w:rsidR="007345B6">
        <w:t>regulated REZ</w:t>
      </w:r>
      <w:r w:rsidR="00406157">
        <w:t>s</w:t>
      </w:r>
      <w:r w:rsidR="001354E7">
        <w:t>, possibly leading plans to be</w:t>
      </w:r>
      <w:r w:rsidR="00FD6AF5">
        <w:t xml:space="preserve"> </w:t>
      </w:r>
      <w:r w:rsidR="00FD6AF5" w:rsidRPr="00FD6AF5">
        <w:t>reassessed</w:t>
      </w:r>
      <w:r w:rsidR="00FD6AF5">
        <w:t xml:space="preserve">, </w:t>
      </w:r>
      <w:r w:rsidR="00FD6AF5" w:rsidRPr="00FD6AF5">
        <w:t xml:space="preserve">modified or </w:t>
      </w:r>
      <w:r w:rsidR="00193685">
        <w:t>cancelled</w:t>
      </w:r>
      <w:r w:rsidR="00A475EE">
        <w:t>;</w:t>
      </w:r>
      <w:r w:rsidR="00A475EE" w:rsidRPr="00A475EE">
        <w:rPr>
          <w:rStyle w:val="None"/>
          <w:vertAlign w:val="superscript"/>
        </w:rPr>
        <w:t xml:space="preserve"> </w:t>
      </w:r>
      <w:r w:rsidR="00A475EE" w:rsidRPr="00BF4082">
        <w:rPr>
          <w:rStyle w:val="None"/>
          <w:vertAlign w:val="superscript"/>
        </w:rPr>
        <w:footnoteReference w:id="4"/>
      </w:r>
      <w:r w:rsidR="007345B6">
        <w:t xml:space="preserve"> and</w:t>
      </w:r>
    </w:p>
    <w:p w14:paraId="6CD12089" w14:textId="77777777" w:rsidR="007345B6" w:rsidRDefault="007C43CF" w:rsidP="00202156">
      <w:pPr>
        <w:pStyle w:val="TableBullet"/>
      </w:pPr>
      <w:r>
        <w:t>A</w:t>
      </w:r>
      <w:r w:rsidR="003F3704">
        <w:t xml:space="preserve">lternative </w:t>
      </w:r>
      <w:r>
        <w:t xml:space="preserve">regulatory </w:t>
      </w:r>
      <w:r w:rsidR="003F3704">
        <w:t>models</w:t>
      </w:r>
      <w:r w:rsidR="00EB2273">
        <w:t xml:space="preserve"> </w:t>
      </w:r>
      <w:r w:rsidR="001A7A65">
        <w:t>may</w:t>
      </w:r>
      <w:r>
        <w:t xml:space="preserve"> be considered that re</w:t>
      </w:r>
      <w:r w:rsidR="003F3704">
        <w:t>allocat</w:t>
      </w:r>
      <w:r>
        <w:t>e</w:t>
      </w:r>
      <w:r w:rsidR="003F3704">
        <w:t xml:space="preserve"> </w:t>
      </w:r>
      <w:r w:rsidR="003F3704" w:rsidRPr="003F3704">
        <w:t>risk away from customers and allow generators to drive transmission investment decisions</w:t>
      </w:r>
      <w:r w:rsidR="003F3704">
        <w:t>.</w:t>
      </w:r>
      <w:r w:rsidR="001C645C">
        <w:rPr>
          <w:rStyle w:val="FootnoteReference"/>
        </w:rPr>
        <w:footnoteReference w:id="5"/>
      </w:r>
    </w:p>
    <w:p w14:paraId="2DDA13BE" w14:textId="690DE180" w:rsidR="00C40704" w:rsidRDefault="001A7A65" w:rsidP="00D80B11">
      <w:pPr>
        <w:pStyle w:val="ListBullet0"/>
        <w:numPr>
          <w:ilvl w:val="0"/>
          <w:numId w:val="0"/>
        </w:numPr>
      </w:pPr>
      <w:r>
        <w:t xml:space="preserve">We discuss each of these specific issues in later sections of this submission.  </w:t>
      </w:r>
      <w:r w:rsidR="0017667A">
        <w:t xml:space="preserve">The general observation to make at this point, however, is </w:t>
      </w:r>
      <w:r w:rsidR="00CC7345">
        <w:t>that</w:t>
      </w:r>
      <w:r w:rsidR="0017667A">
        <w:t xml:space="preserve"> </w:t>
      </w:r>
      <w:r w:rsidR="00C40704">
        <w:t xml:space="preserve">these initiatives </w:t>
      </w:r>
      <w:r w:rsidR="00406157">
        <w:t xml:space="preserve">would </w:t>
      </w:r>
      <w:r w:rsidR="00C40704">
        <w:t xml:space="preserve">extend into areas of </w:t>
      </w:r>
      <w:r w:rsidR="00406157">
        <w:t>transmission</w:t>
      </w:r>
      <w:r w:rsidR="00C40704">
        <w:t xml:space="preserve"> planning and economic regulation that have</w:t>
      </w:r>
      <w:r w:rsidR="007343DF">
        <w:t xml:space="preserve"> </w:t>
      </w:r>
      <w:r w:rsidR="008B7089">
        <w:t>been</w:t>
      </w:r>
      <w:r w:rsidR="00C40704">
        <w:t xml:space="preserve"> </w:t>
      </w:r>
      <w:r w:rsidR="00B531BD">
        <w:t xml:space="preserve">the </w:t>
      </w:r>
      <w:r w:rsidR="00C40704">
        <w:t xml:space="preserve">subject </w:t>
      </w:r>
      <w:r w:rsidR="00B531BD">
        <w:t>of</w:t>
      </w:r>
      <w:r w:rsidR="00C40704">
        <w:t xml:space="preserve"> </w:t>
      </w:r>
      <w:r w:rsidR="007343DF">
        <w:t>numerous</w:t>
      </w:r>
      <w:r w:rsidR="00C40704">
        <w:t xml:space="preserve"> </w:t>
      </w:r>
      <w:r w:rsidR="00605F42">
        <w:t xml:space="preserve">reviews and </w:t>
      </w:r>
      <w:r w:rsidR="007343DF">
        <w:t>enhancements</w:t>
      </w:r>
      <w:r w:rsidR="00406157">
        <w:t>, some of which are currently being finalised</w:t>
      </w:r>
      <w:r w:rsidR="00605F42">
        <w:t>.</w:t>
      </w:r>
      <w:r w:rsidR="00D72531">
        <w:rPr>
          <w:rStyle w:val="FootnoteReference"/>
        </w:rPr>
        <w:footnoteReference w:id="6"/>
      </w:r>
      <w:r w:rsidR="00C40704">
        <w:t xml:space="preserve">  </w:t>
      </w:r>
      <w:r w:rsidR="00605F42">
        <w:t xml:space="preserve">While ENA is not opposed to improving these </w:t>
      </w:r>
      <w:r w:rsidR="009E3B01">
        <w:t xml:space="preserve">arrangements, a </w:t>
      </w:r>
      <w:r w:rsidR="00406157">
        <w:t xml:space="preserve">compelling </w:t>
      </w:r>
      <w:r w:rsidR="009E3B01">
        <w:t xml:space="preserve">case for change </w:t>
      </w:r>
      <w:r w:rsidR="003F58A4">
        <w:t>should</w:t>
      </w:r>
      <w:r w:rsidR="009E3B01">
        <w:t xml:space="preserve"> be </w:t>
      </w:r>
      <w:r w:rsidR="00406157">
        <w:t>established</w:t>
      </w:r>
      <w:r w:rsidR="009E3B01">
        <w:t xml:space="preserve"> before embarking on </w:t>
      </w:r>
      <w:r w:rsidR="00273F97">
        <w:t xml:space="preserve">any </w:t>
      </w:r>
      <w:r w:rsidR="00B531BD">
        <w:t>further</w:t>
      </w:r>
      <w:r w:rsidR="009E3B01">
        <w:t xml:space="preserve"> </w:t>
      </w:r>
      <w:r w:rsidR="00B531BD">
        <w:t>reforms</w:t>
      </w:r>
      <w:r w:rsidR="005979C8">
        <w:t>, and should be addressed through a separate consultation process</w:t>
      </w:r>
      <w:r w:rsidR="009E3B01">
        <w:t>.</w:t>
      </w:r>
    </w:p>
    <w:p w14:paraId="22343020" w14:textId="77777777" w:rsidR="00AD62A7" w:rsidRPr="00BE293A" w:rsidRDefault="00AD62A7" w:rsidP="00AD62A7">
      <w:pPr>
        <w:pStyle w:val="Heading1"/>
        <w:numPr>
          <w:ilvl w:val="0"/>
          <w:numId w:val="21"/>
        </w:numPr>
        <w:spacing w:before="240" w:after="120"/>
        <w:ind w:hanging="720"/>
      </w:pPr>
      <w:r w:rsidRPr="009E5925">
        <w:t>REZ coordinator</w:t>
      </w:r>
    </w:p>
    <w:p w14:paraId="4726F5C5" w14:textId="77777777" w:rsidR="00A40625" w:rsidRDefault="00BB3946" w:rsidP="00AD62A7">
      <w:pPr>
        <w:pStyle w:val="BodyText"/>
      </w:pPr>
      <w:r>
        <w:t xml:space="preserve">A key aspect of the proposed framework is the establishment of an auction or tender process to optimise generation </w:t>
      </w:r>
      <w:r w:rsidR="00D80B11">
        <w:t xml:space="preserve">and storage </w:t>
      </w:r>
      <w:r>
        <w:t>connections in REZ</w:t>
      </w:r>
      <w:r w:rsidR="006A1EAA">
        <w:t>s</w:t>
      </w:r>
      <w:r>
        <w:t>, supported by arrangements to protect the access rights secured by the successful bidders.</w:t>
      </w:r>
      <w:r w:rsidR="00D80B11">
        <w:t xml:space="preserve"> </w:t>
      </w:r>
      <w:r w:rsidR="00A61EDE">
        <w:t xml:space="preserve"> </w:t>
      </w:r>
      <w:r w:rsidR="00A40625">
        <w:t xml:space="preserve">In addition to optimising the use of REZ capacity, the proposed framework is intended to provide incentives for generation and storage capacity to locate in REZs, as </w:t>
      </w:r>
      <w:r w:rsidR="00A40625">
        <w:lastRenderedPageBreak/>
        <w:t>envisaged by the ISP.  By coordinati</w:t>
      </w:r>
      <w:r w:rsidR="00456BE5">
        <w:t>ng</w:t>
      </w:r>
      <w:r w:rsidR="00A40625">
        <w:t xml:space="preserve"> connections in a REZ, efficiencies may also be obtained in designing and constructing connection assets to meet the needs of the connecting parties at the lowest cost.</w:t>
      </w:r>
    </w:p>
    <w:p w14:paraId="3CAF5E9C" w14:textId="7B4A426F" w:rsidR="009756AD" w:rsidRDefault="009756AD" w:rsidP="00AD62A7">
      <w:pPr>
        <w:pStyle w:val="BodyText"/>
      </w:pPr>
      <w:r>
        <w:t xml:space="preserve">ENA supports ESB’s view that each State Government should determine which party performs the role of REZ coordinator.  This approach will provide flexibility to the State Governments while ensuring that the REZ coordinator role is recognised in the national framework, which </w:t>
      </w:r>
      <w:r w:rsidR="00A61EDE">
        <w:t>will provide</w:t>
      </w:r>
      <w:r>
        <w:t xml:space="preserve"> </w:t>
      </w:r>
      <w:r w:rsidR="00A61EDE">
        <w:t xml:space="preserve">valuable </w:t>
      </w:r>
      <w:r>
        <w:t xml:space="preserve">consistency across the </w:t>
      </w:r>
      <w:r w:rsidR="00216D1C">
        <w:t>national electricity market</w:t>
      </w:r>
      <w:r>
        <w:t>.</w:t>
      </w:r>
    </w:p>
    <w:p w14:paraId="2ECD4A8F" w14:textId="77777777" w:rsidR="00663B9B" w:rsidRDefault="00A40625" w:rsidP="00663B9B">
      <w:pPr>
        <w:pStyle w:val="BodyText"/>
      </w:pPr>
      <w:r>
        <w:t>The</w:t>
      </w:r>
      <w:r w:rsidR="00BC22CF">
        <w:t xml:space="preserve"> consultation paper recognises that the activities associated with establishing and maintaining a REZ requires the role of REZ coordinator to be introduced. </w:t>
      </w:r>
      <w:r w:rsidR="00663B9B">
        <w:t>The consultation paper explains that the role of REZ coordinator could include</w:t>
      </w:r>
      <w:r w:rsidR="004E2402">
        <w:t xml:space="preserve"> the following functions</w:t>
      </w:r>
      <w:r w:rsidR="00663B9B">
        <w:t>:</w:t>
      </w:r>
      <w:r w:rsidR="00806E64" w:rsidRPr="00806E64">
        <w:rPr>
          <w:rStyle w:val="None"/>
          <w:vertAlign w:val="superscript"/>
        </w:rPr>
        <w:t xml:space="preserve"> </w:t>
      </w:r>
      <w:r w:rsidR="00806E64" w:rsidRPr="00BF4082">
        <w:rPr>
          <w:rStyle w:val="None"/>
          <w:vertAlign w:val="superscript"/>
        </w:rPr>
        <w:footnoteReference w:id="7"/>
      </w:r>
    </w:p>
    <w:p w14:paraId="14B21928" w14:textId="77777777" w:rsidR="00663B9B" w:rsidRDefault="00663B9B" w:rsidP="00663B9B">
      <w:pPr>
        <w:pStyle w:val="ListBullet0"/>
      </w:pPr>
      <w:r>
        <w:t>selecting the successful tenderers</w:t>
      </w:r>
      <w:r w:rsidR="00B233EC">
        <w:t>;</w:t>
      </w:r>
    </w:p>
    <w:p w14:paraId="0F7BD8C5" w14:textId="77777777" w:rsidR="00663B9B" w:rsidRDefault="00663B9B" w:rsidP="00663B9B">
      <w:pPr>
        <w:pStyle w:val="ListBullet0"/>
      </w:pPr>
      <w:r>
        <w:t>returning net auction revenue to customers</w:t>
      </w:r>
      <w:r w:rsidR="00B233EC">
        <w:t>;</w:t>
      </w:r>
    </w:p>
    <w:p w14:paraId="1D37AAC0" w14:textId="77777777" w:rsidR="00663B9B" w:rsidRDefault="00663B9B" w:rsidP="00663B9B">
      <w:pPr>
        <w:pStyle w:val="ListBullet0"/>
      </w:pPr>
      <w:r>
        <w:t>providing information to help transmission planners assess whether future REZ stages should proceed</w:t>
      </w:r>
      <w:r w:rsidR="00B233EC">
        <w:t>; and</w:t>
      </w:r>
    </w:p>
    <w:p w14:paraId="7B9E4F87" w14:textId="77777777" w:rsidR="00663B9B" w:rsidRDefault="00663B9B" w:rsidP="00AD62A7">
      <w:pPr>
        <w:pStyle w:val="ListBullet0"/>
      </w:pPr>
      <w:r>
        <w:t>managing the access regime that applies within the REZ</w:t>
      </w:r>
      <w:r w:rsidR="00873051">
        <w:t>.</w:t>
      </w:r>
    </w:p>
    <w:p w14:paraId="035DEEB3" w14:textId="77777777" w:rsidR="00B233EC" w:rsidRDefault="004E2402" w:rsidP="006A1EAA">
      <w:pPr>
        <w:pStyle w:val="BodyText"/>
      </w:pPr>
      <w:r>
        <w:t xml:space="preserve">ENA notes that the </w:t>
      </w:r>
      <w:r w:rsidR="00C46AF1">
        <w:t>consultation paper does not provide much detail regarding the scope of the</w:t>
      </w:r>
      <w:r w:rsidR="005F3D26">
        <w:t xml:space="preserve">se activities or how they would dovetail with the existing planning and investment framework. </w:t>
      </w:r>
      <w:r w:rsidR="00203FE0">
        <w:t xml:space="preserve"> For example, the Step 1 draft Rules, which address the planning </w:t>
      </w:r>
      <w:r w:rsidR="0081009E">
        <w:t xml:space="preserve">arrangements for REZs, require the jurisdictional planning body to prepare a REZ design report that, amongst other things, </w:t>
      </w:r>
      <w:r w:rsidR="0081009E" w:rsidRPr="0081009E">
        <w:t>has regard to the anticipated location and configuration of connection assets, together with any associated infrastructure</w:t>
      </w:r>
      <w:r w:rsidR="0081009E">
        <w:t>.  In addition, in preparing the REZ design report, the jurisdictional planning b</w:t>
      </w:r>
      <w:r w:rsidR="0023510E">
        <w:t xml:space="preserve">ody must consult with </w:t>
      </w:r>
      <w:r w:rsidR="0023510E" w:rsidRPr="0023510E">
        <w:t>interested parties wishing to register their interest in developing one or more projects in the REZ</w:t>
      </w:r>
      <w:r w:rsidR="0023510E">
        <w:t xml:space="preserve">.  </w:t>
      </w:r>
    </w:p>
    <w:p w14:paraId="459AF7DC" w14:textId="77777777" w:rsidR="00B233EC" w:rsidRDefault="0023510E" w:rsidP="0081009E">
      <w:pPr>
        <w:pStyle w:val="BodyText"/>
      </w:pPr>
      <w:r>
        <w:t xml:space="preserve">Evidently, </w:t>
      </w:r>
      <w:r w:rsidR="006A1EAA">
        <w:t>the</w:t>
      </w:r>
      <w:r w:rsidR="00B233EC">
        <w:t xml:space="preserve"> role of the jurisdictional planning body</w:t>
      </w:r>
      <w:r w:rsidR="006A1EAA">
        <w:t xml:space="preserve"> </w:t>
      </w:r>
      <w:r w:rsidR="00B233EC">
        <w:t xml:space="preserve">in relation to REZ design </w:t>
      </w:r>
      <w:r w:rsidR="006A1EAA">
        <w:t>appear</w:t>
      </w:r>
      <w:r w:rsidR="00B233EC">
        <w:t>s</w:t>
      </w:r>
      <w:r w:rsidR="006A1EAA">
        <w:t xml:space="preserve"> to overlap with </w:t>
      </w:r>
      <w:r>
        <w:t xml:space="preserve">the REZ coordinator’s role in conducting </w:t>
      </w:r>
      <w:r w:rsidR="006A1EAA">
        <w:t xml:space="preserve">the </w:t>
      </w:r>
      <w:r>
        <w:t>tender process and optimising generation and storage connections.</w:t>
      </w:r>
      <w:r w:rsidR="00B233EC">
        <w:t xml:space="preserve">  </w:t>
      </w:r>
      <w:r w:rsidR="00694F44">
        <w:t>ENA notes that the consultation paper makes mention of the need for the REZ coordinator and the jurisdictional planning body to work together,</w:t>
      </w:r>
      <w:r w:rsidR="004A14BF">
        <w:rPr>
          <w:rStyle w:val="FootnoteReference"/>
        </w:rPr>
        <w:footnoteReference w:id="8"/>
      </w:r>
      <w:r w:rsidR="00694F44">
        <w:t xml:space="preserve"> noting that the </w:t>
      </w:r>
      <w:r w:rsidR="00694F44" w:rsidRPr="00694F44">
        <w:t xml:space="preserve">plans set out in REZ design reports would not be </w:t>
      </w:r>
      <w:r w:rsidR="00694F44">
        <w:t>‘</w:t>
      </w:r>
      <w:r w:rsidR="00694F44" w:rsidRPr="00694F44">
        <w:t>set in stone</w:t>
      </w:r>
      <w:r w:rsidR="00694F44">
        <w:t>’</w:t>
      </w:r>
      <w:r w:rsidR="00694F44" w:rsidRPr="00694F44">
        <w:t>.</w:t>
      </w:r>
      <w:r w:rsidR="004A14BF">
        <w:rPr>
          <w:rStyle w:val="FootnoteReference"/>
        </w:rPr>
        <w:footnoteReference w:id="9"/>
      </w:r>
      <w:r w:rsidR="004A14BF">
        <w:t xml:space="preserve"> </w:t>
      </w:r>
      <w:r w:rsidR="00694F44" w:rsidRPr="00694F44">
        <w:t xml:space="preserve"> </w:t>
      </w:r>
      <w:r w:rsidR="006204A5">
        <w:t xml:space="preserve">While ENA has no doubt that the relevant parties will work together to ensure that the </w:t>
      </w:r>
      <w:r w:rsidR="001255E7">
        <w:t xml:space="preserve">planning </w:t>
      </w:r>
      <w:r w:rsidR="006204A5">
        <w:t xml:space="preserve">arrangements work as smoothly as possible, </w:t>
      </w:r>
      <w:r w:rsidR="00B572FB">
        <w:t xml:space="preserve">efficiencies can be achieved if overlapping responsibilities </w:t>
      </w:r>
      <w:r w:rsidR="001255E7">
        <w:t>and</w:t>
      </w:r>
      <w:r w:rsidR="00B572FB">
        <w:t xml:space="preserve"> iterative processes are </w:t>
      </w:r>
      <w:r w:rsidR="00493765">
        <w:t>minimised</w:t>
      </w:r>
      <w:r w:rsidR="00B572FB">
        <w:t xml:space="preserve">.  </w:t>
      </w:r>
    </w:p>
    <w:p w14:paraId="65237A8D" w14:textId="77777777" w:rsidR="00220EBD" w:rsidRDefault="00D20DC6" w:rsidP="0081009E">
      <w:pPr>
        <w:pStyle w:val="BodyText"/>
      </w:pPr>
      <w:r>
        <w:t xml:space="preserve">ENA considers that </w:t>
      </w:r>
      <w:r w:rsidR="00220EBD">
        <w:t xml:space="preserve">further work is required to </w:t>
      </w:r>
      <w:r w:rsidR="00AF24EF">
        <w:t>clarify</w:t>
      </w:r>
      <w:r w:rsidR="00220EBD">
        <w:t xml:space="preserve"> the planning responsibilities of the REZ coordinator and the jurisdictional planning body.</w:t>
      </w:r>
      <w:r w:rsidR="00493765">
        <w:t xml:space="preserve">  For example, it seems appropriate that the REZ coordinator’s </w:t>
      </w:r>
      <w:r w:rsidR="00ED17C2">
        <w:t>contribution</w:t>
      </w:r>
      <w:r w:rsidR="00493765">
        <w:t xml:space="preserve"> is to </w:t>
      </w:r>
      <w:r w:rsidR="00ED17C2">
        <w:t xml:space="preserve">assist in </w:t>
      </w:r>
      <w:r w:rsidR="00493765">
        <w:t>fine-tun</w:t>
      </w:r>
      <w:r w:rsidR="00ED17C2">
        <w:t>ing</w:t>
      </w:r>
      <w:r w:rsidR="00493765">
        <w:t xml:space="preserve"> the </w:t>
      </w:r>
      <w:r w:rsidR="00ED17C2">
        <w:t xml:space="preserve">REZ </w:t>
      </w:r>
      <w:r w:rsidR="00493765">
        <w:t xml:space="preserve">planning undertaken by the </w:t>
      </w:r>
      <w:r w:rsidR="00ED17C2">
        <w:t>jurisdictional planning body, rather than revisiting or second-guessing those plans.</w:t>
      </w:r>
    </w:p>
    <w:p w14:paraId="1D2165F1" w14:textId="77777777" w:rsidR="00CF7CDF" w:rsidRDefault="00F6274B" w:rsidP="003B5D49">
      <w:pPr>
        <w:pStyle w:val="BodyText"/>
      </w:pPr>
      <w:r>
        <w:t xml:space="preserve">A related issue is the </w:t>
      </w:r>
      <w:r w:rsidR="00487CBF">
        <w:t xml:space="preserve">suggestion that </w:t>
      </w:r>
      <w:r>
        <w:t xml:space="preserve">the REZ coordinator </w:t>
      </w:r>
      <w:r w:rsidR="00487CBF">
        <w:t>may</w:t>
      </w:r>
      <w:r w:rsidR="00B05335">
        <w:t xml:space="preserve"> </w:t>
      </w:r>
      <w:r w:rsidR="00487CBF">
        <w:t>assist</w:t>
      </w:r>
      <w:r w:rsidR="00B05335">
        <w:t xml:space="preserve"> transmission planners </w:t>
      </w:r>
      <w:r w:rsidR="00487CBF">
        <w:t xml:space="preserve">in </w:t>
      </w:r>
      <w:r w:rsidR="00B05335">
        <w:t>assess</w:t>
      </w:r>
      <w:r w:rsidR="00487CBF">
        <w:t>ing</w:t>
      </w:r>
      <w:r w:rsidR="00B05335">
        <w:t xml:space="preserve"> whether future REZ stages should proceed.  </w:t>
      </w:r>
      <w:r w:rsidR="003B5D49">
        <w:t>The consultation paper comments that the REZ framework could further protect against the risk of asset stranding by linking the success or otherwise of preceding REZ stages to the development of subsequent REZ stages.</w:t>
      </w:r>
      <w:r w:rsidR="00231AB1">
        <w:t xml:space="preserve"> </w:t>
      </w:r>
      <w:r w:rsidR="003B5D49">
        <w:t xml:space="preserve"> In particular, the paper explains that if a REZ </w:t>
      </w:r>
      <w:r w:rsidR="003B5D49">
        <w:lastRenderedPageBreak/>
        <w:t>tender process “fails to generate anticipated revenues, then future stages of the REZ would be reassessed and potentially modified or ceased.”</w:t>
      </w:r>
      <w:r w:rsidR="00FE044D">
        <w:rPr>
          <w:rStyle w:val="FootnoteReference"/>
        </w:rPr>
        <w:footnoteReference w:id="10"/>
      </w:r>
    </w:p>
    <w:p w14:paraId="2550858D" w14:textId="77777777" w:rsidR="00DC129B" w:rsidRDefault="00CF7CDF" w:rsidP="00680E29">
      <w:pPr>
        <w:pStyle w:val="BodyText"/>
      </w:pPr>
      <w:r>
        <w:t xml:space="preserve">As noted in the previous section, ENA’s concern is that this </w:t>
      </w:r>
      <w:r w:rsidR="00DC6964">
        <w:t>proposed</w:t>
      </w:r>
      <w:r>
        <w:t xml:space="preserve"> role for the REZ coordinator </w:t>
      </w:r>
      <w:r w:rsidR="00DC6964">
        <w:t>does not</w:t>
      </w:r>
      <w:r>
        <w:t xml:space="preserve"> address a deficiency or gap in the existing </w:t>
      </w:r>
      <w:r w:rsidR="00AC25B3">
        <w:t xml:space="preserve">transmission </w:t>
      </w:r>
      <w:r w:rsidR="00C96CF4">
        <w:t xml:space="preserve">planning and investment </w:t>
      </w:r>
      <w:r>
        <w:t xml:space="preserve">framework.  </w:t>
      </w:r>
      <w:r w:rsidR="009B6F12">
        <w:t>Firstly, the</w:t>
      </w:r>
      <w:r w:rsidR="009B6F12" w:rsidRPr="009B6F12">
        <w:t xml:space="preserve"> </w:t>
      </w:r>
      <w:r w:rsidR="00855C3D">
        <w:t>jurisdictional planner</w:t>
      </w:r>
      <w:r w:rsidR="009B6F12" w:rsidRPr="009B6F12">
        <w:t xml:space="preserve"> will be fully aware of the current and projected level of asset utilisation in each REZ</w:t>
      </w:r>
      <w:r w:rsidR="009B6F12">
        <w:t xml:space="preserve">, and does not require this information to be provided by the REZ coordinator.  Secondly, </w:t>
      </w:r>
      <w:r w:rsidR="001649F2">
        <w:t xml:space="preserve">an unexpectedly low utilisation for an existing REZ </w:t>
      </w:r>
      <w:r w:rsidR="00DC6964">
        <w:t xml:space="preserve">would </w:t>
      </w:r>
      <w:r w:rsidR="00680E29">
        <w:t>be considered by the relevant TNSP</w:t>
      </w:r>
      <w:r w:rsidR="00DC6964">
        <w:t xml:space="preserve"> </w:t>
      </w:r>
      <w:r w:rsidR="001649F2">
        <w:t>in deciding whether to proceed with a subsequent stage</w:t>
      </w:r>
      <w:r w:rsidR="00855C3D">
        <w:t xml:space="preserve"> of the REZ</w:t>
      </w:r>
      <w:r w:rsidR="001649F2">
        <w:t xml:space="preserve">.  </w:t>
      </w:r>
      <w:r w:rsidR="008F2505">
        <w:t>In particular, the following aspects of the transmission investment and planning framework reinforce the business practice of reappraising projects in light of new information</w:t>
      </w:r>
      <w:r w:rsidR="001B05AB">
        <w:t>:</w:t>
      </w:r>
    </w:p>
    <w:p w14:paraId="1D203224" w14:textId="77777777" w:rsidR="001B05AB" w:rsidRDefault="001B05AB" w:rsidP="00680E29">
      <w:pPr>
        <w:pStyle w:val="ListBullet0"/>
      </w:pPr>
      <w:r>
        <w:t xml:space="preserve">Chapter 6A </w:t>
      </w:r>
      <w:r w:rsidR="004D1754">
        <w:t>has been</w:t>
      </w:r>
      <w:r w:rsidR="005157D1">
        <w:t xml:space="preserve"> designed to </w:t>
      </w:r>
      <w:r>
        <w:t xml:space="preserve">provide strong financial incentives </w:t>
      </w:r>
      <w:r w:rsidR="00642309">
        <w:t>on</w:t>
      </w:r>
      <w:r w:rsidR="005157D1">
        <w:t xml:space="preserve"> </w:t>
      </w:r>
      <w:r w:rsidR="004D1754">
        <w:t xml:space="preserve">each </w:t>
      </w:r>
      <w:r w:rsidR="005157D1">
        <w:t xml:space="preserve">TNSP </w:t>
      </w:r>
      <w:r>
        <w:t xml:space="preserve">to minimise </w:t>
      </w:r>
      <w:r w:rsidR="004D1754">
        <w:t xml:space="preserve">its actual </w:t>
      </w:r>
      <w:r>
        <w:t>capital expenditure</w:t>
      </w:r>
      <w:r w:rsidR="00EA36CB">
        <w:t xml:space="preserve">, subject to meeting </w:t>
      </w:r>
      <w:r w:rsidR="00BD40FD">
        <w:t>its</w:t>
      </w:r>
      <w:r w:rsidR="00EA36CB">
        <w:t xml:space="preserve"> </w:t>
      </w:r>
      <w:r w:rsidR="00642702">
        <w:t>performance targets</w:t>
      </w:r>
      <w:r w:rsidR="009A0450">
        <w:t xml:space="preserve"> and compliance obligations </w:t>
      </w:r>
    </w:p>
    <w:p w14:paraId="7730403A" w14:textId="77777777" w:rsidR="001B05AB" w:rsidRDefault="001B05AB" w:rsidP="00680E29">
      <w:pPr>
        <w:pStyle w:val="ListBullet0"/>
      </w:pPr>
      <w:r>
        <w:t>C</w:t>
      </w:r>
      <w:r w:rsidR="00EC4F41">
        <w:t xml:space="preserve">lause 5.16.4(z3) </w:t>
      </w:r>
      <w:r w:rsidR="004B1F04">
        <w:t xml:space="preserve">of the National Electricity Rules </w:t>
      </w:r>
      <w:r w:rsidR="00EC4F41">
        <w:t xml:space="preserve">requires </w:t>
      </w:r>
      <w:r w:rsidR="001649F2">
        <w:t xml:space="preserve">a </w:t>
      </w:r>
      <w:r w:rsidR="00EC4F41">
        <w:t>RIT-T</w:t>
      </w:r>
      <w:r w:rsidR="001649F2">
        <w:t xml:space="preserve"> proponent to </w:t>
      </w:r>
      <w:r w:rsidR="00EC4F41">
        <w:t xml:space="preserve">reapply the RIT-T if </w:t>
      </w:r>
      <w:r w:rsidR="001649F2">
        <w:t xml:space="preserve">there has been a material change of circumstance </w:t>
      </w:r>
      <w:r w:rsidR="00EC4F41">
        <w:t xml:space="preserve">which affects the preferred option.  </w:t>
      </w:r>
    </w:p>
    <w:p w14:paraId="111CF745" w14:textId="77777777" w:rsidR="0033370C" w:rsidRDefault="008C60E6" w:rsidP="00123346">
      <w:pPr>
        <w:pStyle w:val="BodyText"/>
      </w:pPr>
      <w:r>
        <w:t xml:space="preserve">Given the </w:t>
      </w:r>
      <w:r w:rsidR="009B6F12">
        <w:t>above observations</w:t>
      </w:r>
      <w:r>
        <w:t xml:space="preserve">, ENA does not consider that an additional feedback loop is required to </w:t>
      </w:r>
      <w:r w:rsidR="00157F94">
        <w:t>safeguard against asset stranding</w:t>
      </w:r>
      <w:r>
        <w:t xml:space="preserve">.  </w:t>
      </w:r>
      <w:r w:rsidR="0033370C">
        <w:t>In addition, the consultation paper’s suggestion that the proceeds from the tender process should inform future investment decision</w:t>
      </w:r>
      <w:r w:rsidR="00E947B6">
        <w:t>s</w:t>
      </w:r>
      <w:r w:rsidR="0033370C">
        <w:t xml:space="preserve"> is </w:t>
      </w:r>
      <w:r w:rsidR="0064538B">
        <w:t>not supported</w:t>
      </w:r>
      <w:r w:rsidR="0033370C">
        <w:t>.  The level of proceeds obtained will reflect the value that generators place on the access rights they receive</w:t>
      </w:r>
      <w:r w:rsidR="00123346">
        <w:t xml:space="preserve">, </w:t>
      </w:r>
      <w:r w:rsidR="00280A42">
        <w:t xml:space="preserve">which will be influenced by </w:t>
      </w:r>
      <w:r w:rsidR="00D32B2B">
        <w:t>numerous</w:t>
      </w:r>
      <w:r w:rsidR="00280A42">
        <w:t xml:space="preserve"> factors</w:t>
      </w:r>
      <w:r w:rsidR="00123346">
        <w:t xml:space="preserve">.  The value </w:t>
      </w:r>
      <w:r w:rsidR="00D32B2B">
        <w:t>attributed to</w:t>
      </w:r>
      <w:r w:rsidR="00123346">
        <w:t xml:space="preserve"> the</w:t>
      </w:r>
      <w:r w:rsidR="00D32B2B">
        <w:t>se</w:t>
      </w:r>
      <w:r w:rsidR="00123346">
        <w:t xml:space="preserve"> access rights will be a poor proxy for the expected </w:t>
      </w:r>
      <w:r w:rsidR="00052658">
        <w:t>net market benefit provided by the REZ</w:t>
      </w:r>
      <w:r w:rsidR="00123346">
        <w:t xml:space="preserve"> over its asset life,</w:t>
      </w:r>
      <w:r w:rsidR="00501D6F">
        <w:t xml:space="preserve"> which should drive the investment decision</w:t>
      </w:r>
      <w:r w:rsidR="00610A5B">
        <w:t>.</w:t>
      </w:r>
      <w:r w:rsidR="00E947B6">
        <w:t xml:space="preserve"> </w:t>
      </w:r>
      <w:r w:rsidR="00501D6F">
        <w:t xml:space="preserve"> </w:t>
      </w:r>
    </w:p>
    <w:p w14:paraId="1F46D1D5" w14:textId="77777777" w:rsidR="001B7EE9" w:rsidRDefault="00713900" w:rsidP="00EC4F41">
      <w:pPr>
        <w:pStyle w:val="BodyText"/>
      </w:pPr>
      <w:r>
        <w:t>ENA</w:t>
      </w:r>
      <w:r w:rsidR="00B22A3D">
        <w:t xml:space="preserve"> notes that </w:t>
      </w:r>
      <w:r w:rsidR="00E947B6">
        <w:t xml:space="preserve">the existing ISP and RIT-T planning and investment arrangements </w:t>
      </w:r>
      <w:r w:rsidR="00B22A3D">
        <w:t>have been</w:t>
      </w:r>
      <w:r w:rsidR="00E947B6">
        <w:t xml:space="preserve"> </w:t>
      </w:r>
      <w:r w:rsidR="00107BAD">
        <w:t>designed to drive efficient transmission investments</w:t>
      </w:r>
      <w:r w:rsidR="00E947B6">
        <w:t xml:space="preserve">.  </w:t>
      </w:r>
      <w:r w:rsidR="001B7EE9">
        <w:t xml:space="preserve">These planning arrangements, together with supporting AER guidelines, </w:t>
      </w:r>
      <w:r w:rsidR="00107BAD">
        <w:t>have recently been updated to incorporate the ISP projects</w:t>
      </w:r>
      <w:r w:rsidR="001B7EE9">
        <w:t xml:space="preserve"> </w:t>
      </w:r>
      <w:r w:rsidR="00107BAD">
        <w:t>to ensure that only efficient and prudent investments proceed</w:t>
      </w:r>
      <w:r w:rsidR="001B7EE9">
        <w:t>.  Given these circumstances,</w:t>
      </w:r>
      <w:r w:rsidR="00D21E16">
        <w:t xml:space="preserve"> </w:t>
      </w:r>
      <w:r w:rsidR="003A46B7">
        <w:t xml:space="preserve">ENA’s position is that </w:t>
      </w:r>
      <w:r w:rsidR="00D21E16">
        <w:t xml:space="preserve">it </w:t>
      </w:r>
      <w:r w:rsidR="003A46B7">
        <w:t xml:space="preserve">is not </w:t>
      </w:r>
      <w:r w:rsidR="00783F4B">
        <w:t xml:space="preserve">necessary or desirable for </w:t>
      </w:r>
      <w:r w:rsidR="00EA54FE">
        <w:t xml:space="preserve">the REZ coordinator’s role to </w:t>
      </w:r>
      <w:r w:rsidR="00BD19D2">
        <w:t xml:space="preserve">stretch into the </w:t>
      </w:r>
      <w:r w:rsidR="00F27629">
        <w:t xml:space="preserve">transmission </w:t>
      </w:r>
      <w:r w:rsidR="00BD19D2">
        <w:t>investment process.</w:t>
      </w:r>
    </w:p>
    <w:p w14:paraId="7AECA1F5" w14:textId="77777777" w:rsidR="00AD62A7" w:rsidRDefault="009756AD" w:rsidP="00AD62A7">
      <w:pPr>
        <w:pStyle w:val="BodyText"/>
      </w:pPr>
      <w:r>
        <w:t>As already noted, ENA recognises that further work is required to define the REZ coordinator’s role and ensure that it dovetails with the existing transmission and investment planning arrangements.  ENA looks forward to working with the ESB</w:t>
      </w:r>
      <w:r w:rsidR="00872A72">
        <w:t xml:space="preserve"> to further develop this aspect of the interim REZ framework.</w:t>
      </w:r>
    </w:p>
    <w:p w14:paraId="630E1C14" w14:textId="77777777" w:rsidR="00AD62A7" w:rsidRPr="00BE293A" w:rsidRDefault="00AD62A7" w:rsidP="00AD62A7">
      <w:pPr>
        <w:pStyle w:val="Heading1"/>
        <w:numPr>
          <w:ilvl w:val="0"/>
          <w:numId w:val="21"/>
        </w:numPr>
        <w:spacing w:before="240" w:after="120"/>
        <w:ind w:hanging="720"/>
      </w:pPr>
      <w:r w:rsidRPr="00CE1668">
        <w:t>Access rights options</w:t>
      </w:r>
    </w:p>
    <w:p w14:paraId="2F5810A5" w14:textId="77777777" w:rsidR="00406DF6" w:rsidRDefault="004C2C75" w:rsidP="00AD62A7">
      <w:pPr>
        <w:pStyle w:val="ListBullet0"/>
        <w:numPr>
          <w:ilvl w:val="0"/>
          <w:numId w:val="0"/>
        </w:numPr>
      </w:pPr>
      <w:r>
        <w:t xml:space="preserve">In order to maintain </w:t>
      </w:r>
      <w:r w:rsidR="00406DF6">
        <w:t xml:space="preserve">a </w:t>
      </w:r>
      <w:r>
        <w:t xml:space="preserve">REZ, it is necessary to protect the </w:t>
      </w:r>
      <w:r w:rsidR="00D30141">
        <w:t>allocat</w:t>
      </w:r>
      <w:r w:rsidR="008D6EE7">
        <w:t>ed network</w:t>
      </w:r>
      <w:r w:rsidR="001C5C47">
        <w:t xml:space="preserve"> capacity </w:t>
      </w:r>
      <w:r w:rsidR="00D30141">
        <w:t xml:space="preserve">to </w:t>
      </w:r>
      <w:r w:rsidR="008D6EE7">
        <w:t>those parties that initially secured it</w:t>
      </w:r>
      <w:r w:rsidR="00D30141">
        <w:t xml:space="preserve"> th</w:t>
      </w:r>
      <w:r w:rsidR="00206FED">
        <w:t>rough the tender process</w:t>
      </w:r>
      <w:r w:rsidR="001C5C47">
        <w:t xml:space="preserve">.  </w:t>
      </w:r>
      <w:r w:rsidR="00DA42A7">
        <w:t xml:space="preserve">ENA therefore </w:t>
      </w:r>
      <w:r w:rsidR="00406DF6">
        <w:t xml:space="preserve">supports the development of an access rights regime as </w:t>
      </w:r>
      <w:r w:rsidR="00DA42A7">
        <w:t>an integral component</w:t>
      </w:r>
      <w:r w:rsidR="00406DF6">
        <w:t xml:space="preserve"> of the interim REZ framework.</w:t>
      </w:r>
      <w:r w:rsidR="008D6EE7">
        <w:t xml:space="preserve">  ENA also supports the consultation paper’s view that the proceeds from the tender process should defray the costs of the transmission network that is borne by customers.  </w:t>
      </w:r>
    </w:p>
    <w:p w14:paraId="60835A90" w14:textId="77777777" w:rsidR="009D4DB4" w:rsidRDefault="00406DF6" w:rsidP="00915C7A">
      <w:pPr>
        <w:pStyle w:val="ListBullet0"/>
        <w:numPr>
          <w:ilvl w:val="0"/>
          <w:numId w:val="0"/>
        </w:numPr>
      </w:pPr>
      <w:r>
        <w:t>I</w:t>
      </w:r>
      <w:r w:rsidR="00DA42A7">
        <w:t>n developing this framework, i</w:t>
      </w:r>
      <w:r>
        <w:t xml:space="preserve">t </w:t>
      </w:r>
      <w:r w:rsidR="00DA42A7">
        <w:t>should</w:t>
      </w:r>
      <w:r>
        <w:t xml:space="preserve"> be acknowledged that the access reform </w:t>
      </w:r>
      <w:r w:rsidR="00DA42A7">
        <w:t xml:space="preserve">canvassed by the </w:t>
      </w:r>
      <w:r>
        <w:t xml:space="preserve">COGATI review did not obtain broad stakeholder support.  </w:t>
      </w:r>
      <w:r w:rsidR="00DA42A7">
        <w:t xml:space="preserve">As a consequence, there is no shared view on </w:t>
      </w:r>
      <w:r w:rsidR="00873798">
        <w:t xml:space="preserve">the design of </w:t>
      </w:r>
      <w:r w:rsidR="00D075FC">
        <w:t xml:space="preserve">a </w:t>
      </w:r>
      <w:r w:rsidR="00F9645D">
        <w:t xml:space="preserve">future </w:t>
      </w:r>
      <w:r w:rsidR="00D075FC">
        <w:t>national access regime</w:t>
      </w:r>
      <w:r w:rsidR="00873798">
        <w:t xml:space="preserve"> or its likely timing</w:t>
      </w:r>
      <w:r w:rsidR="00D075FC">
        <w:t xml:space="preserve">. </w:t>
      </w:r>
      <w:r w:rsidR="00DA42A7">
        <w:t xml:space="preserve"> </w:t>
      </w:r>
      <w:r w:rsidR="0017248A">
        <w:t xml:space="preserve">Given this observation, ENA’s position is </w:t>
      </w:r>
      <w:r w:rsidR="0017248A">
        <w:lastRenderedPageBreak/>
        <w:t>that it is not necessarily helpful to regard the REZ access regime as a ‘stepping stone’ to a national framework.  Instead, ENA considers it preferable to design a regime that is appropriate for REZs</w:t>
      </w:r>
      <w:r w:rsidR="009D4DB4">
        <w:t xml:space="preserve"> and </w:t>
      </w:r>
      <w:r w:rsidR="00F9645D">
        <w:t xml:space="preserve">provides flexibility to </w:t>
      </w:r>
      <w:r w:rsidR="009D4DB4">
        <w:t xml:space="preserve">transition to a national </w:t>
      </w:r>
      <w:r w:rsidR="00F9645D">
        <w:t xml:space="preserve">access regime </w:t>
      </w:r>
      <w:r w:rsidR="003C6B58">
        <w:t xml:space="preserve">should </w:t>
      </w:r>
      <w:r w:rsidR="00F9645D">
        <w:t xml:space="preserve">one </w:t>
      </w:r>
      <w:r w:rsidR="003C6B58">
        <w:t>eventuate.</w:t>
      </w:r>
    </w:p>
    <w:p w14:paraId="2A36313D" w14:textId="77777777" w:rsidR="00203DDD" w:rsidRDefault="0049368E" w:rsidP="00797908">
      <w:pPr>
        <w:pStyle w:val="ListBullet0"/>
        <w:numPr>
          <w:ilvl w:val="0"/>
          <w:numId w:val="0"/>
        </w:numPr>
        <w:rPr>
          <w:rFonts w:cs="Calibri"/>
          <w:lang w:val="en-US"/>
        </w:rPr>
      </w:pPr>
      <w:r>
        <w:t xml:space="preserve">Of the four options described in the consultation paper, </w:t>
      </w:r>
      <w:r w:rsidR="00797908">
        <w:t xml:space="preserve">the connection access protection model (Option 1) and the financial access protection model (Option 2) appear to be the most credible options.  </w:t>
      </w:r>
      <w:r w:rsidR="00203DDD">
        <w:t xml:space="preserve">In contrast, the proposal to create a region for each REZ (Option 3) is likely to </w:t>
      </w:r>
      <w:r w:rsidR="00203DDD" w:rsidRPr="00203DDD">
        <w:rPr>
          <w:rFonts w:cs="Calibri"/>
          <w:lang w:val="en-US"/>
        </w:rPr>
        <w:t xml:space="preserve">discourage generators </w:t>
      </w:r>
      <w:r w:rsidR="00203DDD">
        <w:rPr>
          <w:rFonts w:cs="Calibri"/>
          <w:lang w:val="en-US"/>
        </w:rPr>
        <w:t xml:space="preserve">from </w:t>
      </w:r>
      <w:r w:rsidR="00203DDD" w:rsidRPr="00203DDD">
        <w:rPr>
          <w:rFonts w:cs="Calibri"/>
          <w:lang w:val="en-US"/>
        </w:rPr>
        <w:t>locating in the REZ</w:t>
      </w:r>
      <w:r w:rsidR="00203DDD" w:rsidRPr="00203DDD">
        <w:rPr>
          <w:rStyle w:val="FootnoteReference"/>
          <w:rFonts w:cs="Calibri"/>
          <w:lang w:val="en-US"/>
        </w:rPr>
        <w:footnoteReference w:id="11"/>
      </w:r>
      <w:r w:rsidR="00C4109B">
        <w:rPr>
          <w:rFonts w:cs="Calibri"/>
          <w:lang w:val="en-US"/>
        </w:rPr>
        <w:t xml:space="preserve"> </w:t>
      </w:r>
      <w:r w:rsidR="00203DDD">
        <w:rPr>
          <w:rFonts w:cs="Calibri"/>
          <w:lang w:val="en-US"/>
        </w:rPr>
        <w:t xml:space="preserve">(contrary to the stated objective), as the newly established regional reference price is likely to be lower than adjacent regions.  Option 4 appears to be impractical, as it depends on the introduction of a national </w:t>
      </w:r>
      <w:r w:rsidR="003F33F1">
        <w:rPr>
          <w:rFonts w:cs="Calibri"/>
          <w:lang w:val="en-US"/>
        </w:rPr>
        <w:t xml:space="preserve">access </w:t>
      </w:r>
      <w:r w:rsidR="00203DDD">
        <w:rPr>
          <w:rFonts w:cs="Calibri"/>
          <w:lang w:val="en-US"/>
        </w:rPr>
        <w:t>regime</w:t>
      </w:r>
      <w:r w:rsidR="0010362A">
        <w:rPr>
          <w:rFonts w:cs="Calibri"/>
          <w:lang w:val="en-US"/>
        </w:rPr>
        <w:t xml:space="preserve"> at a known point in time.</w:t>
      </w:r>
    </w:p>
    <w:p w14:paraId="7C0BAC5A" w14:textId="77777777" w:rsidR="006B764B" w:rsidRDefault="00C6776F" w:rsidP="00A87A55">
      <w:pPr>
        <w:pStyle w:val="ListParagraph0"/>
        <w:numPr>
          <w:ilvl w:val="0"/>
          <w:numId w:val="0"/>
        </w:numPr>
        <w:rPr>
          <w:rFonts w:cs="Calibri"/>
          <w:lang w:val="en-US"/>
        </w:rPr>
      </w:pPr>
      <w:r>
        <w:rPr>
          <w:rFonts w:cs="Calibri"/>
          <w:lang w:val="en-US"/>
        </w:rPr>
        <w:t xml:space="preserve">In relation to Option 1, ENA </w:t>
      </w:r>
      <w:r w:rsidR="00FD04AD">
        <w:rPr>
          <w:rFonts w:cs="Calibri"/>
          <w:lang w:val="en-US"/>
        </w:rPr>
        <w:t xml:space="preserve">notes </w:t>
      </w:r>
      <w:r w:rsidR="008747B6">
        <w:rPr>
          <w:rFonts w:cs="Calibri"/>
          <w:lang w:val="en-US"/>
        </w:rPr>
        <w:t xml:space="preserve">that in order to protect </w:t>
      </w:r>
      <w:r w:rsidR="00491973">
        <w:rPr>
          <w:rFonts w:cs="Calibri"/>
          <w:lang w:val="en-US"/>
        </w:rPr>
        <w:t xml:space="preserve">the </w:t>
      </w:r>
      <w:r w:rsidR="008747B6">
        <w:rPr>
          <w:rFonts w:cs="Calibri"/>
          <w:lang w:val="en-US"/>
        </w:rPr>
        <w:t>access rights of those parties connected within the REZ, it may be necessary to impose obligations on new connecting parties ‘in the vicinity’ of the REZ, i.e. outside the REZ boundar</w:t>
      </w:r>
      <w:r w:rsidR="003F33F1">
        <w:rPr>
          <w:rFonts w:cs="Calibri"/>
          <w:lang w:val="en-US"/>
        </w:rPr>
        <w:t>y</w:t>
      </w:r>
      <w:r w:rsidR="008747B6">
        <w:rPr>
          <w:rFonts w:cs="Calibri"/>
          <w:lang w:val="en-US"/>
        </w:rPr>
        <w:t xml:space="preserve">.  </w:t>
      </w:r>
      <w:r w:rsidR="00CA7DB9">
        <w:rPr>
          <w:rFonts w:cs="Calibri"/>
          <w:lang w:val="en-US"/>
        </w:rPr>
        <w:t xml:space="preserve">Evidently, it is not clear how ‘in the vicinity’ should be defined, which will inevitably create some uncertainty for participants.  The determination as to whether physical rights will be infringed by a new connection </w:t>
      </w:r>
      <w:r w:rsidR="00491973">
        <w:rPr>
          <w:rFonts w:cs="Calibri"/>
          <w:lang w:val="en-US"/>
        </w:rPr>
        <w:t xml:space="preserve">will also </w:t>
      </w:r>
      <w:r w:rsidR="003F33F1">
        <w:rPr>
          <w:rFonts w:cs="Calibri"/>
          <w:lang w:val="en-US"/>
        </w:rPr>
        <w:t>involve</w:t>
      </w:r>
      <w:r w:rsidR="00B225E5">
        <w:rPr>
          <w:rFonts w:cs="Calibri"/>
          <w:lang w:val="en-US"/>
        </w:rPr>
        <w:t xml:space="preserve"> </w:t>
      </w:r>
      <w:r w:rsidR="00491973">
        <w:rPr>
          <w:rFonts w:cs="Calibri"/>
          <w:lang w:val="en-US"/>
        </w:rPr>
        <w:t xml:space="preserve">an </w:t>
      </w:r>
      <w:r w:rsidR="00B225E5">
        <w:rPr>
          <w:rFonts w:cs="Calibri"/>
          <w:lang w:val="en-US"/>
        </w:rPr>
        <w:t xml:space="preserve">element of subjectivity, as </w:t>
      </w:r>
      <w:r w:rsidR="00A87A55">
        <w:rPr>
          <w:rFonts w:cs="Calibri"/>
          <w:lang w:val="en-US"/>
        </w:rPr>
        <w:t>the assessment</w:t>
      </w:r>
      <w:r w:rsidR="00B225E5">
        <w:rPr>
          <w:rFonts w:cs="Calibri"/>
          <w:lang w:val="en-US"/>
        </w:rPr>
        <w:t xml:space="preserve"> will depend on the system modelling and assumed operating conditions.  </w:t>
      </w:r>
    </w:p>
    <w:p w14:paraId="66DFE590" w14:textId="134BE7D3" w:rsidR="000736AD" w:rsidRDefault="004A7E06" w:rsidP="00C4109B">
      <w:pPr>
        <w:pStyle w:val="ListParagraph0"/>
        <w:numPr>
          <w:ilvl w:val="0"/>
          <w:numId w:val="0"/>
        </w:numPr>
        <w:rPr>
          <w:rFonts w:cs="Calibri"/>
          <w:lang w:val="en-US"/>
        </w:rPr>
      </w:pPr>
      <w:r>
        <w:rPr>
          <w:rFonts w:cs="Calibri"/>
          <w:lang w:val="en-US"/>
        </w:rPr>
        <w:t>A</w:t>
      </w:r>
      <w:r w:rsidR="000E58E1">
        <w:rPr>
          <w:rFonts w:cs="Calibri"/>
          <w:lang w:val="en-US"/>
        </w:rPr>
        <w:t xml:space="preserve"> potential benefit of</w:t>
      </w:r>
      <w:r>
        <w:rPr>
          <w:rFonts w:cs="Calibri"/>
          <w:lang w:val="en-US"/>
        </w:rPr>
        <w:t xml:space="preserve"> Option 2 is that </w:t>
      </w:r>
      <w:r w:rsidR="000E58E1">
        <w:rPr>
          <w:rFonts w:cs="Calibri"/>
          <w:lang w:val="en-US"/>
        </w:rPr>
        <w:t>it provides financial protection of access rights, which is inherently more flexible and tailored to reflect the costs imposed on holders of access rights</w:t>
      </w:r>
      <w:r w:rsidR="00620008">
        <w:rPr>
          <w:rFonts w:cs="Calibri"/>
          <w:lang w:val="en-US"/>
        </w:rPr>
        <w:t xml:space="preserve"> compared to Option 1.  </w:t>
      </w:r>
      <w:r w:rsidR="00980A48">
        <w:rPr>
          <w:rFonts w:cs="Calibri"/>
          <w:lang w:val="en-US"/>
        </w:rPr>
        <w:t xml:space="preserve">A further potential benefit with respect to Option 2 is the incentive for storage to locate in a REZ and operate in a manner that relieves congestion, thereby enhancing the effective capacity of the REZ.  Whilst these aspects of the </w:t>
      </w:r>
      <w:r w:rsidR="00DC6A1D">
        <w:rPr>
          <w:rFonts w:cs="Calibri"/>
          <w:lang w:val="en-US"/>
        </w:rPr>
        <w:t>Option 2</w:t>
      </w:r>
      <w:r w:rsidR="00980A48">
        <w:rPr>
          <w:rFonts w:cs="Calibri"/>
          <w:lang w:val="en-US"/>
        </w:rPr>
        <w:t xml:space="preserve"> are positive, </w:t>
      </w:r>
      <w:r w:rsidR="00FF2778">
        <w:rPr>
          <w:rFonts w:cs="Calibri"/>
          <w:lang w:val="en-US"/>
        </w:rPr>
        <w:t xml:space="preserve">the arrangements to support </w:t>
      </w:r>
      <w:r w:rsidR="00F772AF">
        <w:rPr>
          <w:rFonts w:cs="Calibri"/>
          <w:lang w:val="en-US"/>
        </w:rPr>
        <w:t xml:space="preserve">the compensation payments will need to be considered in detail to ensure that they are workable.  For example, while such payments may occur outside the settlements process, </w:t>
      </w:r>
      <w:r w:rsidR="000736AD">
        <w:rPr>
          <w:rFonts w:cs="Calibri"/>
          <w:lang w:val="en-US"/>
        </w:rPr>
        <w:t xml:space="preserve">a payment mechanism will need to be developed that is acceptable to participants.  ENA’s position is that TNSPs </w:t>
      </w:r>
      <w:r w:rsidR="00DC6A1D">
        <w:rPr>
          <w:rFonts w:cs="Calibri"/>
          <w:lang w:val="en-US"/>
        </w:rPr>
        <w:t>are</w:t>
      </w:r>
      <w:r w:rsidR="000736AD">
        <w:rPr>
          <w:rFonts w:cs="Calibri"/>
          <w:lang w:val="en-US"/>
        </w:rPr>
        <w:t xml:space="preserve"> not well placed to manage this process. </w:t>
      </w:r>
    </w:p>
    <w:p w14:paraId="3676C2AB" w14:textId="3659816A" w:rsidR="00F953FB" w:rsidRDefault="003055DD" w:rsidP="00C4109B">
      <w:pPr>
        <w:pStyle w:val="ListParagraph0"/>
        <w:numPr>
          <w:ilvl w:val="0"/>
          <w:numId w:val="0"/>
        </w:numPr>
        <w:rPr>
          <w:rFonts w:cs="Calibri"/>
          <w:lang w:val="en-US"/>
        </w:rPr>
      </w:pPr>
      <w:r>
        <w:rPr>
          <w:rFonts w:cs="Calibri"/>
          <w:lang w:val="en-US"/>
        </w:rPr>
        <w:t xml:space="preserve">Option 2 also faces the same challenge as Option 1 in </w:t>
      </w:r>
      <w:r w:rsidR="00A43812">
        <w:rPr>
          <w:rFonts w:cs="Calibri"/>
          <w:lang w:val="en-US"/>
        </w:rPr>
        <w:t xml:space="preserve">managing infringements on access rights </w:t>
      </w:r>
      <w:r>
        <w:rPr>
          <w:rFonts w:cs="Calibri"/>
          <w:lang w:val="en-US"/>
        </w:rPr>
        <w:t>that arise from new connections</w:t>
      </w:r>
      <w:r w:rsidR="00A43812">
        <w:rPr>
          <w:rFonts w:cs="Calibri"/>
          <w:lang w:val="en-US"/>
        </w:rPr>
        <w:t xml:space="preserve"> outside the REZ. A potential remedy is to </w:t>
      </w:r>
      <w:r w:rsidR="00F953FB">
        <w:rPr>
          <w:rFonts w:cs="Calibri"/>
          <w:lang w:val="en-US"/>
        </w:rPr>
        <w:t>widen the</w:t>
      </w:r>
      <w:r w:rsidR="00A43812">
        <w:rPr>
          <w:rFonts w:cs="Calibri"/>
          <w:lang w:val="en-US"/>
        </w:rPr>
        <w:t xml:space="preserve"> REZ </w:t>
      </w:r>
      <w:r w:rsidR="00F953FB">
        <w:rPr>
          <w:rFonts w:cs="Calibri"/>
          <w:lang w:val="en-US"/>
        </w:rPr>
        <w:t xml:space="preserve">boundary </w:t>
      </w:r>
      <w:r w:rsidR="00DC6A1D">
        <w:rPr>
          <w:rFonts w:cs="Calibri"/>
          <w:lang w:val="en-US"/>
        </w:rPr>
        <w:t xml:space="preserve">in Option 2 </w:t>
      </w:r>
      <w:r w:rsidR="00F953FB">
        <w:rPr>
          <w:rFonts w:cs="Calibri"/>
          <w:lang w:val="en-US"/>
        </w:rPr>
        <w:t xml:space="preserve">to capture these </w:t>
      </w:r>
      <w:r>
        <w:rPr>
          <w:rFonts w:cs="Calibri"/>
          <w:lang w:val="en-US"/>
        </w:rPr>
        <w:t>cases.</w:t>
      </w:r>
      <w:r w:rsidR="00F953FB">
        <w:rPr>
          <w:rFonts w:cs="Calibri"/>
          <w:lang w:val="en-US"/>
        </w:rPr>
        <w:t xml:space="preserve"> </w:t>
      </w:r>
      <w:r>
        <w:rPr>
          <w:rFonts w:cs="Calibri"/>
          <w:lang w:val="en-US"/>
        </w:rPr>
        <w:t xml:space="preserve"> However, </w:t>
      </w:r>
      <w:r w:rsidR="00F953FB">
        <w:rPr>
          <w:rFonts w:cs="Calibri"/>
          <w:lang w:val="en-US"/>
        </w:rPr>
        <w:t xml:space="preserve">it </w:t>
      </w:r>
      <w:r w:rsidR="00DA7A32">
        <w:rPr>
          <w:rFonts w:cs="Calibri"/>
          <w:lang w:val="en-US"/>
        </w:rPr>
        <w:t xml:space="preserve">seems inappropriate </w:t>
      </w:r>
      <w:r>
        <w:rPr>
          <w:rFonts w:cs="Calibri"/>
          <w:lang w:val="en-US"/>
        </w:rPr>
        <w:t>for</w:t>
      </w:r>
      <w:r w:rsidR="00DA7A32">
        <w:rPr>
          <w:rFonts w:cs="Calibri"/>
          <w:lang w:val="en-US"/>
        </w:rPr>
        <w:t xml:space="preserve"> the definition of the REZ </w:t>
      </w:r>
      <w:r>
        <w:rPr>
          <w:rFonts w:cs="Calibri"/>
          <w:lang w:val="en-US"/>
        </w:rPr>
        <w:t>to</w:t>
      </w:r>
      <w:r w:rsidR="00DA7A32">
        <w:rPr>
          <w:rFonts w:cs="Calibri"/>
          <w:lang w:val="en-US"/>
        </w:rPr>
        <w:t xml:space="preserve"> depend on the design of the access regime. </w:t>
      </w:r>
      <w:r>
        <w:rPr>
          <w:rFonts w:cs="Calibri"/>
          <w:lang w:val="en-US"/>
        </w:rPr>
        <w:t xml:space="preserve"> </w:t>
      </w:r>
      <w:r w:rsidR="00700330">
        <w:rPr>
          <w:rFonts w:cs="Calibri"/>
          <w:lang w:val="en-US"/>
        </w:rPr>
        <w:t xml:space="preserve">This observation suggests that the boundary for the REZ </w:t>
      </w:r>
      <w:r w:rsidR="004B2B73">
        <w:rPr>
          <w:rFonts w:cs="Calibri"/>
          <w:lang w:val="en-US"/>
        </w:rPr>
        <w:t xml:space="preserve">would need to be broadly defined </w:t>
      </w:r>
      <w:r w:rsidR="00AB738B">
        <w:rPr>
          <w:rFonts w:cs="Calibri"/>
          <w:lang w:val="en-US"/>
        </w:rPr>
        <w:t>for both Options 1 and 2</w:t>
      </w:r>
      <w:r w:rsidR="004B2B73">
        <w:rPr>
          <w:rFonts w:cs="Calibri"/>
          <w:lang w:val="en-US"/>
        </w:rPr>
        <w:t>,</w:t>
      </w:r>
      <w:r w:rsidR="00AB738B">
        <w:rPr>
          <w:rFonts w:cs="Calibri"/>
          <w:lang w:val="en-US"/>
        </w:rPr>
        <w:t xml:space="preserve"> </w:t>
      </w:r>
      <w:r w:rsidR="00700330">
        <w:rPr>
          <w:rFonts w:cs="Calibri"/>
          <w:lang w:val="en-US"/>
        </w:rPr>
        <w:t xml:space="preserve">if the objective </w:t>
      </w:r>
      <w:r w:rsidR="004B2B73">
        <w:rPr>
          <w:rFonts w:cs="Calibri"/>
          <w:lang w:val="en-US"/>
        </w:rPr>
        <w:t>of protecting REZ access rights</w:t>
      </w:r>
      <w:r w:rsidR="00AB738B">
        <w:rPr>
          <w:rFonts w:cs="Calibri"/>
          <w:lang w:val="en-US"/>
        </w:rPr>
        <w:t xml:space="preserve"> </w:t>
      </w:r>
      <w:r w:rsidR="004B2B73">
        <w:rPr>
          <w:rFonts w:cs="Calibri"/>
          <w:lang w:val="en-US"/>
        </w:rPr>
        <w:t>is to be achieved</w:t>
      </w:r>
      <w:r w:rsidR="00CD5B3E">
        <w:rPr>
          <w:rFonts w:cs="Calibri"/>
          <w:lang w:val="en-US"/>
        </w:rPr>
        <w:t>.</w:t>
      </w:r>
      <w:r>
        <w:rPr>
          <w:rFonts w:cs="Calibri"/>
          <w:lang w:val="en-US"/>
        </w:rPr>
        <w:t xml:space="preserve">  </w:t>
      </w:r>
    </w:p>
    <w:p w14:paraId="518605AC" w14:textId="7B760F3D" w:rsidR="004B2B73" w:rsidRDefault="004B2B73" w:rsidP="00C4109B">
      <w:pPr>
        <w:pStyle w:val="ListParagraph0"/>
        <w:numPr>
          <w:ilvl w:val="0"/>
          <w:numId w:val="0"/>
        </w:numPr>
        <w:rPr>
          <w:rFonts w:cs="Calibri"/>
          <w:lang w:val="en-US"/>
        </w:rPr>
      </w:pPr>
      <w:r>
        <w:rPr>
          <w:rFonts w:cs="Calibri"/>
          <w:lang w:val="en-US"/>
        </w:rPr>
        <w:t xml:space="preserve">ENA considers that a simpler version of Option 1 is also worth </w:t>
      </w:r>
      <w:r w:rsidR="00725548">
        <w:rPr>
          <w:rFonts w:cs="Calibri"/>
          <w:lang w:val="en-US"/>
        </w:rPr>
        <w:t>exploring</w:t>
      </w:r>
      <w:r>
        <w:rPr>
          <w:rFonts w:cs="Calibri"/>
          <w:lang w:val="en-US"/>
        </w:rPr>
        <w:t xml:space="preserve">, where connections in the REZ are limited purely through an administrative allocation of access rights through the tender process.  </w:t>
      </w:r>
      <w:r w:rsidR="00611107">
        <w:rPr>
          <w:rFonts w:cs="Calibri"/>
          <w:lang w:val="en-US"/>
        </w:rPr>
        <w:t>For</w:t>
      </w:r>
      <w:r>
        <w:rPr>
          <w:rFonts w:cs="Calibri"/>
          <w:lang w:val="en-US"/>
        </w:rPr>
        <w:t xml:space="preserve"> this version of Option 1, those </w:t>
      </w:r>
      <w:r w:rsidR="00725548">
        <w:rPr>
          <w:rFonts w:cs="Calibri"/>
          <w:lang w:val="en-US"/>
        </w:rPr>
        <w:t xml:space="preserve">parties </w:t>
      </w:r>
      <w:r>
        <w:rPr>
          <w:rFonts w:cs="Calibri"/>
          <w:lang w:val="en-US"/>
        </w:rPr>
        <w:t xml:space="preserve">connecting in the REZ would accept the possibility that new connections outside the REZ may infringe on their access rights.  </w:t>
      </w:r>
      <w:r w:rsidR="005C2310">
        <w:rPr>
          <w:rFonts w:cs="Calibri"/>
          <w:lang w:val="en-US"/>
        </w:rPr>
        <w:t xml:space="preserve">This </w:t>
      </w:r>
      <w:r w:rsidR="00611107">
        <w:rPr>
          <w:rFonts w:cs="Calibri"/>
          <w:lang w:val="en-US"/>
        </w:rPr>
        <w:t xml:space="preserve">benefit of this </w:t>
      </w:r>
      <w:r w:rsidR="005C2310">
        <w:rPr>
          <w:rFonts w:cs="Calibri"/>
          <w:lang w:val="en-US"/>
        </w:rPr>
        <w:t xml:space="preserve">model </w:t>
      </w:r>
      <w:r w:rsidR="00611107">
        <w:rPr>
          <w:rFonts w:cs="Calibri"/>
          <w:lang w:val="en-US"/>
        </w:rPr>
        <w:t xml:space="preserve">is that it </w:t>
      </w:r>
      <w:r w:rsidR="005C2310">
        <w:rPr>
          <w:rFonts w:cs="Calibri"/>
          <w:lang w:val="en-US"/>
        </w:rPr>
        <w:t xml:space="preserve">would eliminate the need to consider the impact of new connections </w:t>
      </w:r>
      <w:r w:rsidR="00725548">
        <w:rPr>
          <w:rFonts w:cs="Calibri"/>
          <w:lang w:val="en-US"/>
        </w:rPr>
        <w:t xml:space="preserve">outside the REZ </w:t>
      </w:r>
      <w:r w:rsidR="005C2310">
        <w:rPr>
          <w:rFonts w:cs="Calibri"/>
          <w:lang w:val="en-US"/>
        </w:rPr>
        <w:t xml:space="preserve">and </w:t>
      </w:r>
      <w:r w:rsidR="00725548">
        <w:rPr>
          <w:rFonts w:cs="Calibri"/>
          <w:lang w:val="en-US"/>
        </w:rPr>
        <w:t xml:space="preserve">avoid </w:t>
      </w:r>
      <w:r w:rsidR="005C2310">
        <w:rPr>
          <w:rFonts w:cs="Calibri"/>
          <w:lang w:val="en-US"/>
        </w:rPr>
        <w:t>the costs of network augmentations</w:t>
      </w:r>
      <w:r w:rsidR="00725548">
        <w:rPr>
          <w:rFonts w:cs="Calibri"/>
          <w:lang w:val="en-US"/>
        </w:rPr>
        <w:t xml:space="preserve"> to maintain existing asset rights</w:t>
      </w:r>
      <w:r w:rsidR="005C2310">
        <w:rPr>
          <w:rFonts w:cs="Calibri"/>
          <w:lang w:val="en-US"/>
        </w:rPr>
        <w:t>.  While the access rights of those in the REZ may be degraded over time, th</w:t>
      </w:r>
      <w:r w:rsidR="00725548">
        <w:rPr>
          <w:rFonts w:cs="Calibri"/>
          <w:lang w:val="en-US"/>
        </w:rPr>
        <w:t>is loss of value may be more than offset by the cost savings in applying a simpler framework.</w:t>
      </w:r>
      <w:r w:rsidR="005C2310">
        <w:rPr>
          <w:rFonts w:cs="Calibri"/>
          <w:lang w:val="en-US"/>
        </w:rPr>
        <w:t xml:space="preserve"> </w:t>
      </w:r>
    </w:p>
    <w:p w14:paraId="0516EF8B" w14:textId="1AFDDD2B" w:rsidR="0066080C" w:rsidRDefault="00725548" w:rsidP="0043293C">
      <w:pPr>
        <w:pStyle w:val="ListParagraph0"/>
        <w:numPr>
          <w:ilvl w:val="0"/>
          <w:numId w:val="0"/>
        </w:numPr>
        <w:rPr>
          <w:rFonts w:cs="Calibri"/>
          <w:lang w:val="en-US"/>
        </w:rPr>
      </w:pPr>
      <w:r>
        <w:rPr>
          <w:rFonts w:cs="Calibri"/>
          <w:lang w:val="en-US"/>
        </w:rPr>
        <w:t>Apart from the design of the REZ access regime, i</w:t>
      </w:r>
      <w:r w:rsidR="00C07A42">
        <w:rPr>
          <w:rFonts w:cs="Calibri"/>
          <w:lang w:val="en-US"/>
        </w:rPr>
        <w:t xml:space="preserve">t is also important to highlight </w:t>
      </w:r>
      <w:r w:rsidR="0077189B">
        <w:rPr>
          <w:rFonts w:cs="Calibri"/>
          <w:lang w:val="en-US"/>
        </w:rPr>
        <w:t xml:space="preserve">the significant transitional issues that will arise </w:t>
      </w:r>
      <w:proofErr w:type="gramStart"/>
      <w:r w:rsidR="0077189B">
        <w:rPr>
          <w:rFonts w:cs="Calibri"/>
          <w:lang w:val="en-US"/>
        </w:rPr>
        <w:t>as a result of</w:t>
      </w:r>
      <w:proofErr w:type="gramEnd"/>
      <w:r w:rsidR="0077189B">
        <w:rPr>
          <w:rFonts w:cs="Calibri"/>
          <w:lang w:val="en-US"/>
        </w:rPr>
        <w:t xml:space="preserve"> </w:t>
      </w:r>
      <w:r>
        <w:rPr>
          <w:rFonts w:cs="Calibri"/>
          <w:lang w:val="en-US"/>
        </w:rPr>
        <w:t>its introduction</w:t>
      </w:r>
      <w:r w:rsidR="0077189B">
        <w:rPr>
          <w:rFonts w:cs="Calibri"/>
          <w:lang w:val="en-US"/>
        </w:rPr>
        <w:t xml:space="preserve">.  In particular, the treatment of existing connected parties and connection enquiries is a challenging issue that will need to be carefully considered.  </w:t>
      </w:r>
      <w:r w:rsidR="00C07A42">
        <w:rPr>
          <w:rFonts w:cs="Calibri"/>
          <w:lang w:val="en-US"/>
        </w:rPr>
        <w:t xml:space="preserve">In addition, the </w:t>
      </w:r>
      <w:r w:rsidR="0043293C">
        <w:rPr>
          <w:rFonts w:cs="Calibri"/>
          <w:lang w:val="en-US"/>
        </w:rPr>
        <w:t xml:space="preserve">transitional arrangements will need to anticipate that the </w:t>
      </w:r>
      <w:r w:rsidR="00C07A42">
        <w:rPr>
          <w:rFonts w:cs="Calibri"/>
          <w:lang w:val="en-US"/>
        </w:rPr>
        <w:t xml:space="preserve">interim REZ framework </w:t>
      </w:r>
      <w:r w:rsidR="0043293C">
        <w:rPr>
          <w:rFonts w:cs="Calibri"/>
          <w:lang w:val="en-US"/>
        </w:rPr>
        <w:t>may</w:t>
      </w:r>
      <w:r w:rsidR="00C07A42">
        <w:rPr>
          <w:rFonts w:cs="Calibri"/>
          <w:lang w:val="en-US"/>
        </w:rPr>
        <w:t xml:space="preserve"> </w:t>
      </w:r>
      <w:r w:rsidR="0043293C">
        <w:rPr>
          <w:rFonts w:cs="Calibri"/>
          <w:lang w:val="en-US"/>
        </w:rPr>
        <w:t>be replaced</w:t>
      </w:r>
      <w:r w:rsidR="00C07A42">
        <w:rPr>
          <w:rFonts w:cs="Calibri"/>
          <w:lang w:val="en-US"/>
        </w:rPr>
        <w:t xml:space="preserve"> </w:t>
      </w:r>
      <w:r w:rsidR="0043293C">
        <w:rPr>
          <w:rFonts w:cs="Calibri"/>
          <w:lang w:val="en-US"/>
        </w:rPr>
        <w:t xml:space="preserve">by </w:t>
      </w:r>
      <w:r w:rsidR="0046597B">
        <w:rPr>
          <w:rFonts w:cs="Calibri"/>
          <w:lang w:val="en-US"/>
        </w:rPr>
        <w:t xml:space="preserve">a </w:t>
      </w:r>
      <w:r w:rsidR="00C07A42">
        <w:rPr>
          <w:rFonts w:cs="Calibri"/>
          <w:lang w:val="en-US"/>
        </w:rPr>
        <w:t>national access regime</w:t>
      </w:r>
      <w:r w:rsidR="0043293C">
        <w:rPr>
          <w:rFonts w:cs="Calibri"/>
          <w:lang w:val="en-US"/>
        </w:rPr>
        <w:t xml:space="preserve"> sometime in the future</w:t>
      </w:r>
      <w:r w:rsidR="00C07A42">
        <w:rPr>
          <w:rFonts w:cs="Calibri"/>
          <w:lang w:val="en-US"/>
        </w:rPr>
        <w:t xml:space="preserve">.  </w:t>
      </w:r>
    </w:p>
    <w:p w14:paraId="5BF05DAB" w14:textId="77777777" w:rsidR="00240B38" w:rsidRDefault="0043293C" w:rsidP="00C41402">
      <w:pPr>
        <w:pStyle w:val="ListParagraph0"/>
        <w:numPr>
          <w:ilvl w:val="0"/>
          <w:numId w:val="0"/>
        </w:numPr>
      </w:pPr>
      <w:r>
        <w:rPr>
          <w:rFonts w:cs="Calibri"/>
          <w:lang w:val="en-US"/>
        </w:rPr>
        <w:lastRenderedPageBreak/>
        <w:t xml:space="preserve">Given the complexities noted above, </w:t>
      </w:r>
      <w:r w:rsidR="00C5583D">
        <w:rPr>
          <w:rFonts w:cs="Calibri"/>
          <w:lang w:val="en-US"/>
        </w:rPr>
        <w:t>ENA welcomes the ESB’s commitment to engage further with the industry in developing a workable access regime.  At this stage, ENA supports further consideration of Options 1 and 2, or some combination</w:t>
      </w:r>
      <w:r w:rsidR="00F9768B">
        <w:rPr>
          <w:rFonts w:cs="Calibri"/>
          <w:lang w:val="en-US"/>
        </w:rPr>
        <w:t xml:space="preserve">.  ENA also </w:t>
      </w:r>
      <w:r>
        <w:rPr>
          <w:rFonts w:cs="Calibri"/>
          <w:lang w:val="en-US"/>
        </w:rPr>
        <w:t xml:space="preserve">remains open to other options that </w:t>
      </w:r>
      <w:r w:rsidR="00706D06">
        <w:rPr>
          <w:rFonts w:cs="Calibri"/>
          <w:lang w:val="en-US"/>
        </w:rPr>
        <w:t>may be</w:t>
      </w:r>
      <w:r>
        <w:rPr>
          <w:rFonts w:cs="Calibri"/>
          <w:lang w:val="en-US"/>
        </w:rPr>
        <w:t xml:space="preserve"> identified through the ESB’s consultation process</w:t>
      </w:r>
      <w:r w:rsidR="00C5583D">
        <w:rPr>
          <w:rFonts w:cs="Calibri"/>
          <w:lang w:val="en-US"/>
        </w:rPr>
        <w:t xml:space="preserve">.  </w:t>
      </w:r>
    </w:p>
    <w:p w14:paraId="2F464F79" w14:textId="77777777" w:rsidR="00AD62A7" w:rsidRDefault="00AD62A7" w:rsidP="00AD62A7">
      <w:pPr>
        <w:pStyle w:val="Heading1"/>
        <w:numPr>
          <w:ilvl w:val="0"/>
          <w:numId w:val="21"/>
        </w:numPr>
        <w:spacing w:before="240" w:after="120"/>
        <w:ind w:hanging="720"/>
      </w:pPr>
      <w:bookmarkStart w:id="2" w:name="_Toc61616311"/>
      <w:r w:rsidRPr="00033CE7">
        <w:tab/>
        <w:t xml:space="preserve">PIAC model </w:t>
      </w:r>
      <w:bookmarkEnd w:id="2"/>
    </w:p>
    <w:p w14:paraId="3763B371" w14:textId="416FB494" w:rsidR="00AD62A7" w:rsidRDefault="00FC59DB" w:rsidP="00AD62A7">
      <w:pPr>
        <w:pStyle w:val="BodyText"/>
      </w:pPr>
      <w:r>
        <w:t xml:space="preserve">The consultation paper </w:t>
      </w:r>
      <w:r w:rsidRPr="00FC59DB">
        <w:t>seeks stakeholder</w:t>
      </w:r>
      <w:r w:rsidR="00BA31F2">
        <w:t>s’</w:t>
      </w:r>
      <w:r w:rsidRPr="00FC59DB">
        <w:t xml:space="preserve"> views on whether there is merit in exploring models that potentially go further in terms of reallocating risk away from customers and allowing generators to drive transmission investment decisions, such as the one put forward by </w:t>
      </w:r>
      <w:r>
        <w:t>PIAC.</w:t>
      </w:r>
    </w:p>
    <w:p w14:paraId="06E7D1C4" w14:textId="77777777" w:rsidR="00FC59DB" w:rsidRDefault="00FC59DB" w:rsidP="00AD62A7">
      <w:pPr>
        <w:pStyle w:val="BodyText"/>
      </w:pPr>
      <w:r>
        <w:t xml:space="preserve">In responding to ESB’s question, it is important at the outset to note that the </w:t>
      </w:r>
      <w:r w:rsidR="001A114B">
        <w:t xml:space="preserve">identified issues or </w:t>
      </w:r>
      <w:r>
        <w:t>‘problem definition’ described in the consultation paper relate to:</w:t>
      </w:r>
    </w:p>
    <w:p w14:paraId="06670C45" w14:textId="77777777" w:rsidR="00FC59DB" w:rsidRDefault="00FC59DB" w:rsidP="00FC59DB">
      <w:pPr>
        <w:pStyle w:val="ListBullet0"/>
      </w:pPr>
      <w:r>
        <w:t xml:space="preserve">The absence of </w:t>
      </w:r>
      <w:r w:rsidRPr="008708DE">
        <w:t xml:space="preserve">a mechanism to </w:t>
      </w:r>
      <w:r>
        <w:t>promote efficient</w:t>
      </w:r>
      <w:r w:rsidRPr="008708DE">
        <w:t xml:space="preserve"> </w:t>
      </w:r>
      <w:r>
        <w:t>generation and storage</w:t>
      </w:r>
      <w:r w:rsidRPr="008708DE">
        <w:t xml:space="preserve"> </w:t>
      </w:r>
      <w:r>
        <w:t>connections in REZs, in accordance with the ISP</w:t>
      </w:r>
      <w:r w:rsidR="00A475EE">
        <w:t>; and</w:t>
      </w:r>
    </w:p>
    <w:p w14:paraId="3A4E7228" w14:textId="77777777" w:rsidR="00FC59DB" w:rsidRDefault="00FC59DB" w:rsidP="00FC59DB">
      <w:pPr>
        <w:pStyle w:val="ListBullet0"/>
      </w:pPr>
      <w:r>
        <w:t>The risks of inefficient network congestion and low marginal loss factors in an environment where there is disorderly connection to REZs.</w:t>
      </w:r>
    </w:p>
    <w:p w14:paraId="6E7E401F" w14:textId="77777777" w:rsidR="008157EC" w:rsidRDefault="007B4FAA" w:rsidP="00AD62A7">
      <w:pPr>
        <w:pStyle w:val="BodyText"/>
      </w:pPr>
      <w:r>
        <w:t xml:space="preserve">The PIAC model would not address either of these issues.  Instead, the PIAC model is concerned with an alternative set of arrangements for </w:t>
      </w:r>
      <w:r w:rsidRPr="007B4FAA">
        <w:t xml:space="preserve">how </w:t>
      </w:r>
      <w:r w:rsidR="001A114B">
        <w:t>“</w:t>
      </w:r>
      <w:r w:rsidRPr="007B4FAA">
        <w:t xml:space="preserve">the cost and risk of investment in new and existing transmission for </w:t>
      </w:r>
      <w:r>
        <w:t xml:space="preserve">REZs </w:t>
      </w:r>
      <w:r w:rsidRPr="007B4FAA">
        <w:t>could be shared between consumers, generators, transmission network service providers, and other investors</w:t>
      </w:r>
      <w:r>
        <w:t>.</w:t>
      </w:r>
      <w:r w:rsidR="001A114B">
        <w:t>”</w:t>
      </w:r>
      <w:r w:rsidR="00AD2502" w:rsidRPr="00203DDD">
        <w:rPr>
          <w:rStyle w:val="FootnoteReference"/>
          <w:rFonts w:cs="Calibri"/>
          <w:lang w:val="en-US"/>
        </w:rPr>
        <w:footnoteReference w:id="12"/>
      </w:r>
      <w:r w:rsidR="00AD2502">
        <w:t xml:space="preserve">  </w:t>
      </w:r>
    </w:p>
    <w:p w14:paraId="7C6ECC0F" w14:textId="77777777" w:rsidR="008157EC" w:rsidRDefault="00AD2502" w:rsidP="00AD62A7">
      <w:pPr>
        <w:pStyle w:val="BodyText"/>
      </w:pPr>
      <w:r>
        <w:t xml:space="preserve">In contrast to the PIAC model, the consultation paper is focused on arrangements for managing access to regulated REZs that have </w:t>
      </w:r>
      <w:r w:rsidR="00E655A3">
        <w:t xml:space="preserve">been </w:t>
      </w:r>
      <w:r w:rsidR="008157EC">
        <w:t xml:space="preserve">tested through the ISP and </w:t>
      </w:r>
      <w:r>
        <w:t>RIT-T</w:t>
      </w:r>
      <w:r w:rsidR="00E655A3">
        <w:t>.</w:t>
      </w:r>
      <w:r w:rsidRPr="00AD2502">
        <w:rPr>
          <w:rStyle w:val="FootnoteReference"/>
          <w:rFonts w:cs="Calibri"/>
          <w:lang w:val="en-US"/>
        </w:rPr>
        <w:t xml:space="preserve"> </w:t>
      </w:r>
      <w:r w:rsidRPr="00203DDD">
        <w:rPr>
          <w:rStyle w:val="FootnoteReference"/>
          <w:rFonts w:cs="Calibri"/>
          <w:lang w:val="en-US"/>
        </w:rPr>
        <w:footnoteReference w:id="13"/>
      </w:r>
      <w:r>
        <w:t xml:space="preserve">  In other </w:t>
      </w:r>
      <w:r w:rsidR="000D0DF8">
        <w:t xml:space="preserve">words, the </w:t>
      </w:r>
      <w:r w:rsidR="008157EC">
        <w:t xml:space="preserve">economic case for the transmission investment that underpins the REZ has been thoroughly tested, including through </w:t>
      </w:r>
      <w:r w:rsidR="00B85F49">
        <w:t>stakeholder</w:t>
      </w:r>
      <w:r w:rsidR="008157EC">
        <w:t xml:space="preserve"> consultation</w:t>
      </w:r>
      <w:r w:rsidR="00B85F49">
        <w:t xml:space="preserve"> and, if necessary, dispute procedures</w:t>
      </w:r>
      <w:r w:rsidR="008157EC">
        <w:t xml:space="preserve">.  </w:t>
      </w:r>
      <w:r w:rsidR="00B85F49">
        <w:t>If a project satisfies the RIT-T</w:t>
      </w:r>
      <w:r w:rsidR="008157EC">
        <w:t xml:space="preserve">, </w:t>
      </w:r>
      <w:r w:rsidR="00B85F49">
        <w:t xml:space="preserve">it is reasonable to conclude that the process ensures that </w:t>
      </w:r>
      <w:r w:rsidR="008157EC">
        <w:t>stranded asset risk has been minimised</w:t>
      </w:r>
      <w:r w:rsidR="00403C65">
        <w:t xml:space="preserve">.  Furthermore, the project proponent is required to reapply the RIT-T if there is a material </w:t>
      </w:r>
      <w:r w:rsidR="00D955A4">
        <w:t xml:space="preserve">change in </w:t>
      </w:r>
      <w:r w:rsidR="00403C65">
        <w:t>circumstance</w:t>
      </w:r>
      <w:r w:rsidR="00D955A4">
        <w:t xml:space="preserve"> that </w:t>
      </w:r>
      <w:r w:rsidR="00C04A96">
        <w:t>changes the preferred option.</w:t>
      </w:r>
    </w:p>
    <w:p w14:paraId="419763BE" w14:textId="77777777" w:rsidR="00AE1401" w:rsidRDefault="001566AA" w:rsidP="00AD62A7">
      <w:pPr>
        <w:pStyle w:val="BodyText"/>
      </w:pPr>
      <w:r>
        <w:t xml:space="preserve">The PIAC model </w:t>
      </w:r>
      <w:r w:rsidR="001858DB">
        <w:t>argues</w:t>
      </w:r>
      <w:r>
        <w:t xml:space="preserve"> that customers will face reduced stranded asset risk if part of the cost </w:t>
      </w:r>
      <w:r w:rsidR="00EF2CC0">
        <w:t>o</w:t>
      </w:r>
      <w:r>
        <w:t xml:space="preserve">f the investment is borne by generators.  </w:t>
      </w:r>
      <w:r w:rsidR="001858DB">
        <w:t>PIAC summarises the</w:t>
      </w:r>
      <w:r w:rsidR="00AA4DCA">
        <w:t xml:space="preserve"> benefit to customers from the proposed model as follows:</w:t>
      </w:r>
    </w:p>
    <w:p w14:paraId="67DA5972" w14:textId="02855D3F" w:rsidR="00195335" w:rsidRDefault="00195335" w:rsidP="00195335">
      <w:pPr>
        <w:pStyle w:val="BodyText"/>
        <w:ind w:left="720"/>
      </w:pPr>
      <w:r>
        <w:t>“</w:t>
      </w:r>
      <w:r w:rsidRPr="00195335">
        <w:t>Consumer exposure to the risk of underutilisation is capped at a fixed, limited portion of the investment value. This limits their liability, relative to current arrangements, under the ‘worst case’ where utilisation is low. If the generation and transmission investments enabled th</w:t>
      </w:r>
      <w:r w:rsidR="003420C3">
        <w:t>r</w:t>
      </w:r>
      <w:r w:rsidRPr="00195335">
        <w:t xml:space="preserve">ough the speculative investment prove to be efficient and prudent, then consumers will </w:t>
      </w:r>
      <w:proofErr w:type="gramStart"/>
      <w:r w:rsidRPr="00195335">
        <w:t>benefit</w:t>
      </w:r>
      <w:proofErr w:type="gramEnd"/>
      <w:r w:rsidRPr="00195335">
        <w:t xml:space="preserve"> and these costs will effectively be passed through to them through the wholesale market.</w:t>
      </w:r>
      <w:r>
        <w:t>”</w:t>
      </w:r>
      <w:r w:rsidRPr="00203DDD">
        <w:rPr>
          <w:rStyle w:val="FootnoteReference"/>
          <w:rFonts w:cs="Calibri"/>
          <w:lang w:val="en-US"/>
        </w:rPr>
        <w:footnoteReference w:id="14"/>
      </w:r>
    </w:p>
    <w:p w14:paraId="3EA65A0F" w14:textId="77777777" w:rsidR="00FE785D" w:rsidRDefault="0038322C" w:rsidP="00AD62A7">
      <w:pPr>
        <w:pStyle w:val="BodyText"/>
      </w:pPr>
      <w:r>
        <w:t xml:space="preserve">ENA </w:t>
      </w:r>
      <w:r w:rsidR="0065725E">
        <w:t>supports</w:t>
      </w:r>
      <w:r>
        <w:t xml:space="preserve"> minimising costs to customers by ensuring that the regulatory framework drives efficient outcomes.  </w:t>
      </w:r>
      <w:r w:rsidR="00C93176">
        <w:t xml:space="preserve">Through numerous reviews, the RIT-T process combined with the incentive arrangements in </w:t>
      </w:r>
      <w:r w:rsidR="00C93176">
        <w:lastRenderedPageBreak/>
        <w:t xml:space="preserve">chapter 6A of the National Electricity Rules are designed to deliver the lowest cost outcome for customers.  These arrangements </w:t>
      </w:r>
      <w:r w:rsidR="002861F3">
        <w:t>have been consciously designed</w:t>
      </w:r>
      <w:r w:rsidR="00C93176">
        <w:t xml:space="preserve"> </w:t>
      </w:r>
      <w:r w:rsidR="002861F3">
        <w:t xml:space="preserve">so that </w:t>
      </w:r>
      <w:r w:rsidR="00C93176">
        <w:t xml:space="preserve">risk </w:t>
      </w:r>
      <w:r w:rsidR="002861F3">
        <w:t xml:space="preserve">is allocated </w:t>
      </w:r>
      <w:r w:rsidR="00C93176">
        <w:t xml:space="preserve">to the party best able to manage it, as this </w:t>
      </w:r>
      <w:r w:rsidR="002861F3">
        <w:t>approach</w:t>
      </w:r>
      <w:r w:rsidR="00C93176">
        <w:t xml:space="preserve"> minimis</w:t>
      </w:r>
      <w:r w:rsidR="002861F3">
        <w:t>es</w:t>
      </w:r>
      <w:r w:rsidR="00C93176">
        <w:t xml:space="preserve"> total costs to customers.  </w:t>
      </w:r>
    </w:p>
    <w:p w14:paraId="0ED9BDA8" w14:textId="77777777" w:rsidR="00216869" w:rsidRDefault="00216869" w:rsidP="00216869">
      <w:pPr>
        <w:pStyle w:val="BodyText"/>
      </w:pPr>
      <w:r>
        <w:t>In contrast to the current ar</w:t>
      </w:r>
      <w:r w:rsidR="006D06CB">
        <w:t>r</w:t>
      </w:r>
      <w:r>
        <w:t xml:space="preserve">angements, PIAC’s model seeks to reallocate stranded asset risk to an investor.  While reallocating risk away from customers may appear attractive in the first instance, ultimately customers will need to pay the investor for taking on that risk – a risk that the investor is unable to manage or reduce.  As customers are ultimately paying the total costs of the electricity supply, the reallocation of stranded asset risk to an investor will result in increased costs for customers.  </w:t>
      </w:r>
    </w:p>
    <w:p w14:paraId="524D7F17" w14:textId="440DF348" w:rsidR="0055475B" w:rsidRDefault="00FE785D" w:rsidP="00DA12DA">
      <w:pPr>
        <w:pStyle w:val="BodyText"/>
      </w:pPr>
      <w:r>
        <w:t>ENA</w:t>
      </w:r>
      <w:r w:rsidR="006D06CB">
        <w:t xml:space="preserve"> also notes that </w:t>
      </w:r>
      <w:r>
        <w:t xml:space="preserve">the PIAC model is not </w:t>
      </w:r>
      <w:r w:rsidR="006D06CB">
        <w:t xml:space="preserve">directly </w:t>
      </w:r>
      <w:r>
        <w:t>relevant to the issues raised by the consultation paper, and therefore should not be considered further in this workstream.</w:t>
      </w:r>
    </w:p>
    <w:p w14:paraId="021183E1" w14:textId="4D429363" w:rsidR="002861F3" w:rsidRPr="00DA12DA" w:rsidRDefault="002861F3" w:rsidP="00DA12DA">
      <w:pPr>
        <w:pStyle w:val="BodyText"/>
        <w:rPr>
          <w:rStyle w:val="CAPS"/>
          <w:caps w:val="0"/>
        </w:rPr>
      </w:pPr>
      <w:r>
        <w:t xml:space="preserve">To the extent that the PIAC model seeks to obtain funding for transmission investment from parties other than customers, ENA </w:t>
      </w:r>
      <w:r w:rsidR="00650D6C">
        <w:t xml:space="preserve">notes that the consultation paper contemplates using generator proceeds from the tender process to defray the costs of transmission.  </w:t>
      </w:r>
      <w:r w:rsidR="00B6082D">
        <w:t>As already noted</w:t>
      </w:r>
      <w:r w:rsidR="006045FB">
        <w:t xml:space="preserve"> in section 4</w:t>
      </w:r>
      <w:r w:rsidR="00B6082D">
        <w:t xml:space="preserve">, </w:t>
      </w:r>
      <w:r w:rsidR="00650D6C">
        <w:t>ENA supports this initiative</w:t>
      </w:r>
      <w:r w:rsidR="00B6082D">
        <w:t xml:space="preserve">.  In contrast to the PIAC model, it will share the costs of the transmission network without </w:t>
      </w:r>
      <w:r w:rsidR="00650D6C">
        <w:t>adverse</w:t>
      </w:r>
      <w:r w:rsidR="00874A4A">
        <w:t>ly affect</w:t>
      </w:r>
      <w:r w:rsidR="00B6082D">
        <w:t xml:space="preserve">ing </w:t>
      </w:r>
      <w:r w:rsidR="00E803DD">
        <w:t>the total costs of providing energy solutions to customers.</w:t>
      </w:r>
    </w:p>
    <w:sectPr w:rsidR="002861F3" w:rsidRPr="00DA12DA" w:rsidSect="0055475B">
      <w:headerReference w:type="default" r:id="rId12"/>
      <w:footerReference w:type="default" r:id="rId13"/>
      <w:headerReference w:type="first" r:id="rId14"/>
      <w:footerReference w:type="first" r:id="rId15"/>
      <w:pgSz w:w="11906" w:h="16838" w:code="9"/>
      <w:pgMar w:top="2268" w:right="1644" w:bottom="1843" w:left="1644" w:header="851"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87B67" w14:textId="77777777" w:rsidR="006D7655" w:rsidRDefault="006D7655" w:rsidP="00185154">
      <w:r>
        <w:separator/>
      </w:r>
    </w:p>
    <w:p w14:paraId="3222F27D" w14:textId="77777777" w:rsidR="006D7655" w:rsidRDefault="006D7655"/>
  </w:endnote>
  <w:endnote w:type="continuationSeparator" w:id="0">
    <w:p w14:paraId="5CA2591D" w14:textId="77777777" w:rsidR="006D7655" w:rsidRDefault="006D7655" w:rsidP="00185154">
      <w:r>
        <w:continuationSeparator/>
      </w:r>
    </w:p>
    <w:p w14:paraId="5B418547" w14:textId="77777777" w:rsidR="006D7655" w:rsidRDefault="006D76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otham Book">
    <w:altName w:val="Calibri"/>
    <w:panose1 w:val="00000000000000000000"/>
    <w:charset w:val="00"/>
    <w:family w:val="modern"/>
    <w:notTrueType/>
    <w:pitch w:val="variable"/>
    <w:sig w:usb0="A00002FF" w:usb1="4000005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otham Medium">
    <w:altName w:val="Calibri"/>
    <w:panose1 w:val="00000000000000000000"/>
    <w:charset w:val="00"/>
    <w:family w:val="modern"/>
    <w:notTrueType/>
    <w:pitch w:val="variable"/>
    <w:sig w:usb0="A00002FF" w:usb1="4000005B" w:usb2="00000000" w:usb3="00000000" w:csb0="0000009F" w:csb1="00000000"/>
  </w:font>
  <w:font w:name="Gotham Bold">
    <w:panose1 w:val="00000000000000000000"/>
    <w:charset w:val="00"/>
    <w:family w:val="modern"/>
    <w:notTrueType/>
    <w:pitch w:val="variable"/>
    <w:sig w:usb0="A00002FF" w:usb1="4000005B"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B3FAD4" w14:textId="77777777" w:rsidR="00826E1F" w:rsidRDefault="001158DE" w:rsidP="006A2B56">
    <w:pPr>
      <w:pStyle w:val="Footer"/>
    </w:pPr>
    <w:r>
      <w:rPr>
        <w:noProof/>
        <w:lang w:eastAsia="en-AU"/>
      </w:rPr>
      <mc:AlternateContent>
        <mc:Choice Requires="wps">
          <w:drawing>
            <wp:anchor distT="0" distB="0" distL="114300" distR="114300" simplePos="0" relativeHeight="251656704" behindDoc="1" locked="0" layoutInCell="1" allowOverlap="1" wp14:anchorId="7DD76C02" wp14:editId="4C577958">
              <wp:simplePos x="0" y="0"/>
              <wp:positionH relativeFrom="page">
                <wp:posOffset>6715125</wp:posOffset>
              </wp:positionH>
              <wp:positionV relativeFrom="page">
                <wp:posOffset>10258425</wp:posOffset>
              </wp:positionV>
              <wp:extent cx="399415" cy="434975"/>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99415" cy="434975"/>
                      </a:xfrm>
                      <a:prstGeom prst="rect">
                        <a:avLst/>
                      </a:prstGeom>
                      <a:noFill/>
                      <a:ln w="6350">
                        <a:noFill/>
                      </a:ln>
                      <a:effectLst/>
                    </wps:spPr>
                    <wps:txbx>
                      <w:txbxContent>
                        <w:p w14:paraId="1A223D23" w14:textId="77777777" w:rsidR="00826E1F" w:rsidRPr="00F02BCA" w:rsidRDefault="00826E1F" w:rsidP="006A2B56">
                          <w:pPr>
                            <w:pStyle w:val="Footer"/>
                            <w:jc w:val="right"/>
                            <w:rPr>
                              <w:color w:val="FFFFFF"/>
                            </w:rPr>
                          </w:pPr>
                          <w:r w:rsidRPr="00F02BCA">
                            <w:rPr>
                              <w:color w:val="FFFFFF"/>
                            </w:rPr>
                            <w:fldChar w:fldCharType="begin"/>
                          </w:r>
                          <w:r w:rsidRPr="00F02BCA">
                            <w:rPr>
                              <w:color w:val="FFFFFF"/>
                            </w:rPr>
                            <w:instrText xml:space="preserve"> PAGE  \* Arabic  \* MERGEFORMAT </w:instrText>
                          </w:r>
                          <w:r w:rsidRPr="00F02BCA">
                            <w:rPr>
                              <w:color w:val="FFFFFF"/>
                            </w:rPr>
                            <w:fldChar w:fldCharType="separate"/>
                          </w:r>
                          <w:r w:rsidR="00D2307E">
                            <w:rPr>
                              <w:noProof/>
                              <w:color w:val="FFFFFF"/>
                            </w:rPr>
                            <w:t>8</w:t>
                          </w:r>
                          <w:r w:rsidRPr="00F02BCA">
                            <w:rPr>
                              <w:color w:val="FFFFF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D76C02" id="_x0000_t202" coordsize="21600,21600" o:spt="202" path="m,l,21600r21600,l21600,xe">
              <v:stroke joinstyle="miter"/>
              <v:path gradientshapeok="t" o:connecttype="rect"/>
            </v:shapetype>
            <v:shape id="Text Box 10" o:spid="_x0000_s1026" type="#_x0000_t202" style="position:absolute;margin-left:528.75pt;margin-top:807.75pt;width:31.45pt;height:34.2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" filled="f" stroked="f" strokeweight=".5pt">
              <v:textbox inset="0,0,0,0">
                <w:txbxContent>
                  <w:p w14:paraId="1A223D23" w14:textId="77777777" w:rsidR="00826E1F" w:rsidRPr="00F02BCA" w:rsidRDefault="00826E1F" w:rsidP="006A2B56">
                    <w:pPr>
                      <w:pStyle w:val="Footer"/>
                      <w:jc w:val="right"/>
                      <w:rPr>
                        <w:color w:val="FFFFFF"/>
                      </w:rPr>
                    </w:pPr>
                    <w:r w:rsidRPr="00F02BCA">
                      <w:rPr>
                        <w:color w:val="FFFFFF"/>
                      </w:rPr>
                      <w:fldChar w:fldCharType="begin"/>
                    </w:r>
                    <w:r w:rsidRPr="00F02BCA">
                      <w:rPr>
                        <w:color w:val="FFFFFF"/>
                      </w:rPr>
                      <w:instrText xml:space="preserve"> PAGE  \* Arabic  \* MERGEFORMAT </w:instrText>
                    </w:r>
                    <w:r w:rsidRPr="00F02BCA">
                      <w:rPr>
                        <w:color w:val="FFFFFF"/>
                      </w:rPr>
                      <w:fldChar w:fldCharType="separate"/>
                    </w:r>
                    <w:r w:rsidR="00D2307E">
                      <w:rPr>
                        <w:noProof/>
                        <w:color w:val="FFFFFF"/>
                      </w:rPr>
                      <w:t>8</w:t>
                    </w:r>
                    <w:r w:rsidRPr="00F02BCA">
                      <w:rPr>
                        <w:color w:val="FFFFFF"/>
                      </w:rPr>
                      <w:fldChar w:fldCharType="end"/>
                    </w:r>
                  </w:p>
                </w:txbxContent>
              </v:textbox>
              <w10:wrap anchorx="page" anchory="page"/>
            </v:shape>
          </w:pict>
        </mc:Fallback>
      </mc:AlternateContent>
    </w:r>
    <w:r>
      <w:rPr>
        <w:noProof/>
        <w:lang w:eastAsia="en-AU"/>
      </w:rPr>
      <w:drawing>
        <wp:anchor distT="0" distB="0" distL="114300" distR="114300" simplePos="0" relativeHeight="251655680" behindDoc="1" locked="0" layoutInCell="1" allowOverlap="1" wp14:anchorId="52D6FF1B" wp14:editId="1D059C5B">
          <wp:simplePos x="0" y="0"/>
          <wp:positionH relativeFrom="page">
            <wp:align>center</wp:align>
          </wp:positionH>
          <wp:positionV relativeFrom="page">
            <wp:align>bottom</wp:align>
          </wp:positionV>
          <wp:extent cx="7560310" cy="86423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864235"/>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18D91" w14:textId="77777777" w:rsidR="00826E1F" w:rsidRPr="00B57BE2" w:rsidRDefault="00826E1F" w:rsidP="00B57BE2">
    <w:pPr>
      <w:tabs>
        <w:tab w:val="right" w:pos="9639"/>
      </w:tabs>
      <w:spacing w:line="276" w:lineRule="auto"/>
      <w:rPr>
        <w:sz w:val="16"/>
        <w:szCs w:val="16"/>
      </w:rPr>
    </w:pPr>
    <w:r w:rsidRPr="00B57BE2">
      <w:rPr>
        <w:sz w:val="16"/>
        <w:szCs w:val="16"/>
      </w:rPr>
      <w:t xml:space="preserve">Energy Networks Australia </w:t>
    </w:r>
    <w:hyperlink r:id="rId1" w:history="1">
      <w:r w:rsidRPr="00F02BCA">
        <w:rPr>
          <w:color w:val="22D3C5"/>
          <w:sz w:val="16"/>
          <w:szCs w:val="16"/>
        </w:rPr>
        <w:t>www.energynetworks.com.au</w:t>
      </w:r>
    </w:hyperlink>
    <w:r w:rsidRPr="00B57BE2">
      <w:rPr>
        <w:sz w:val="16"/>
        <w:szCs w:val="16"/>
      </w:rPr>
      <w:t xml:space="preserve"> </w:t>
    </w:r>
  </w:p>
  <w:p w14:paraId="3010E139" w14:textId="77777777" w:rsidR="00826E1F" w:rsidRPr="00B57BE2" w:rsidRDefault="00826E1F" w:rsidP="00B57BE2">
    <w:pPr>
      <w:tabs>
        <w:tab w:val="right" w:pos="9639"/>
      </w:tabs>
      <w:spacing w:line="276" w:lineRule="auto"/>
      <w:rPr>
        <w:sz w:val="16"/>
        <w:szCs w:val="16"/>
      </w:rPr>
    </w:pPr>
    <w:r w:rsidRPr="00072E81">
      <w:rPr>
        <w:sz w:val="16"/>
        <w:szCs w:val="16"/>
      </w:rPr>
      <w:t>Unit 5, Level 12, 385 Bourke Street Melbourne VIC 3000</w:t>
    </w:r>
    <w:r w:rsidRPr="00B57BE2">
      <w:rPr>
        <w:sz w:val="16"/>
        <w:szCs w:val="16"/>
      </w:rPr>
      <w:br/>
    </w:r>
    <w:r w:rsidRPr="00F02BCA">
      <w:rPr>
        <w:b/>
        <w:color w:val="22D3C5"/>
        <w:sz w:val="16"/>
        <w:szCs w:val="16"/>
      </w:rPr>
      <w:t>P:</w:t>
    </w:r>
    <w:r w:rsidRPr="00F02BCA">
      <w:rPr>
        <w:color w:val="22D3C5"/>
        <w:sz w:val="16"/>
        <w:szCs w:val="16"/>
      </w:rPr>
      <w:t xml:space="preserve"> </w:t>
    </w:r>
    <w:r w:rsidRPr="00F02BCA">
      <w:rPr>
        <w:sz w:val="16"/>
        <w:szCs w:val="16"/>
      </w:rPr>
      <w:t>+61 3 9103 0400</w:t>
    </w:r>
    <w:r>
      <w:rPr>
        <w:sz w:val="16"/>
        <w:szCs w:val="16"/>
      </w:rPr>
      <w:t xml:space="preserve"> </w:t>
    </w:r>
    <w:r w:rsidRPr="00F02BCA">
      <w:rPr>
        <w:b/>
        <w:color w:val="22D3C5"/>
        <w:sz w:val="16"/>
        <w:szCs w:val="16"/>
      </w:rPr>
      <w:t>E:</w:t>
    </w:r>
    <w:r w:rsidRPr="00F02BCA">
      <w:rPr>
        <w:color w:val="22D3C5"/>
        <w:sz w:val="16"/>
        <w:szCs w:val="16"/>
      </w:rPr>
      <w:t xml:space="preserve"> </w:t>
    </w:r>
    <w:hyperlink r:id="rId2" w:history="1">
      <w:r w:rsidRPr="00B57BE2">
        <w:rPr>
          <w:sz w:val="16"/>
          <w:szCs w:val="16"/>
        </w:rPr>
        <w:t>info@energynetworks.com.au</w:t>
      </w:r>
    </w:hyperlink>
  </w:p>
  <w:p w14:paraId="129D109E" w14:textId="77777777" w:rsidR="00826E1F" w:rsidRPr="00B57BE2" w:rsidRDefault="00826E1F" w:rsidP="00B57BE2">
    <w:pPr>
      <w:tabs>
        <w:tab w:val="right" w:pos="9639"/>
      </w:tabs>
      <w:spacing w:line="276" w:lineRule="auto"/>
      <w:rPr>
        <w:sz w:val="12"/>
        <w:szCs w:val="12"/>
      </w:rPr>
    </w:pPr>
    <w:r w:rsidRPr="00B57BE2">
      <w:rPr>
        <w:sz w:val="12"/>
        <w:szCs w:val="12"/>
      </w:rPr>
      <w:t>Energy Networks Association T/A Energy Networks Australia</w:t>
    </w:r>
  </w:p>
  <w:p w14:paraId="2E9326C3" w14:textId="77777777" w:rsidR="00826E1F" w:rsidRPr="00B57BE2" w:rsidRDefault="00826E1F" w:rsidP="00B57BE2">
    <w:pPr>
      <w:tabs>
        <w:tab w:val="right" w:pos="9639"/>
      </w:tabs>
      <w:spacing w:line="276" w:lineRule="auto"/>
      <w:rPr>
        <w:sz w:val="15"/>
      </w:rPr>
    </w:pPr>
    <w:r w:rsidRPr="00F02BCA">
      <w:rPr>
        <w:b/>
        <w:color w:val="22D3C5"/>
        <w:sz w:val="12"/>
        <w:szCs w:val="12"/>
      </w:rPr>
      <w:t>ABN:</w:t>
    </w:r>
    <w:r w:rsidRPr="00F02BCA">
      <w:rPr>
        <w:color w:val="22D3C5"/>
        <w:sz w:val="12"/>
        <w:szCs w:val="12"/>
      </w:rPr>
      <w:t xml:space="preserve"> </w:t>
    </w:r>
    <w:r w:rsidRPr="00B57BE2">
      <w:rPr>
        <w:sz w:val="12"/>
        <w:szCs w:val="12"/>
      </w:rPr>
      <w:t>75 106 735 406</w:t>
    </w:r>
    <w:r w:rsidR="001158DE">
      <w:rPr>
        <w:noProof/>
        <w:lang w:eastAsia="en-AU"/>
      </w:rPr>
      <w:drawing>
        <wp:anchor distT="0" distB="0" distL="114300" distR="114300" simplePos="0" relativeHeight="251658752" behindDoc="1" locked="0" layoutInCell="1" allowOverlap="1" wp14:anchorId="0642FC2C" wp14:editId="52D0EA44">
          <wp:simplePos x="0" y="0"/>
          <wp:positionH relativeFrom="page">
            <wp:align>center</wp:align>
          </wp:positionH>
          <wp:positionV relativeFrom="page">
            <wp:align>bottom</wp:align>
          </wp:positionV>
          <wp:extent cx="7560310" cy="864235"/>
          <wp:effectExtent l="0" t="0" r="0" b="0"/>
          <wp:wrapNone/>
          <wp:docPr id="1"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60310" cy="864235"/>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4686AB" w14:textId="77777777" w:rsidR="006D7655" w:rsidRDefault="006D7655" w:rsidP="00185154">
      <w:r>
        <w:separator/>
      </w:r>
    </w:p>
    <w:p w14:paraId="22A932E7" w14:textId="77777777" w:rsidR="006D7655" w:rsidRDefault="006D7655"/>
  </w:footnote>
  <w:footnote w:type="continuationSeparator" w:id="0">
    <w:p w14:paraId="71DACEED" w14:textId="77777777" w:rsidR="006D7655" w:rsidRDefault="006D7655" w:rsidP="00185154">
      <w:r>
        <w:continuationSeparator/>
      </w:r>
    </w:p>
    <w:p w14:paraId="72415AE6" w14:textId="77777777" w:rsidR="006D7655" w:rsidRDefault="006D7655"/>
  </w:footnote>
  <w:footnote w:id="1">
    <w:p w14:paraId="33B81B14" w14:textId="77777777" w:rsidR="00826E1F" w:rsidRPr="00BE4FBE" w:rsidRDefault="00826E1F" w:rsidP="007B23B0">
      <w:pPr>
        <w:pStyle w:val="BodyText"/>
        <w:spacing w:line="240" w:lineRule="auto"/>
        <w:ind w:left="709" w:hanging="709"/>
        <w:rPr>
          <w:sz w:val="18"/>
          <w:szCs w:val="18"/>
        </w:rPr>
      </w:pPr>
      <w:r w:rsidRPr="00BE4FBE">
        <w:rPr>
          <w:rStyle w:val="None"/>
          <w:sz w:val="18"/>
          <w:szCs w:val="18"/>
          <w:vertAlign w:val="superscript"/>
        </w:rPr>
        <w:footnoteRef/>
      </w:r>
      <w:r w:rsidRPr="00BE4FBE">
        <w:rPr>
          <w:rStyle w:val="None"/>
          <w:rFonts w:eastAsia="Franklin Gothic Book" w:cs="Franklin Gothic Book"/>
          <w:sz w:val="18"/>
          <w:szCs w:val="18"/>
        </w:rPr>
        <w:t xml:space="preserve"> </w:t>
      </w:r>
      <w:r w:rsidRPr="00BE4FBE">
        <w:rPr>
          <w:rStyle w:val="None"/>
          <w:rFonts w:eastAsia="Franklin Gothic Book" w:cs="Franklin Gothic Book"/>
          <w:sz w:val="18"/>
          <w:szCs w:val="18"/>
        </w:rPr>
        <w:tab/>
      </w:r>
      <w:r>
        <w:rPr>
          <w:sz w:val="18"/>
          <w:szCs w:val="18"/>
        </w:rPr>
        <w:t>Energy Security Board</w:t>
      </w:r>
      <w:r w:rsidRPr="00BE4FBE">
        <w:rPr>
          <w:sz w:val="18"/>
          <w:szCs w:val="18"/>
        </w:rPr>
        <w:t xml:space="preserve">, </w:t>
      </w:r>
      <w:r>
        <w:rPr>
          <w:sz w:val="18"/>
          <w:szCs w:val="18"/>
        </w:rPr>
        <w:t>Renewable Energy Zone</w:t>
      </w:r>
      <w:r w:rsidRPr="00BE4FBE">
        <w:rPr>
          <w:sz w:val="18"/>
          <w:szCs w:val="18"/>
        </w:rPr>
        <w:t xml:space="preserve">, </w:t>
      </w:r>
      <w:r>
        <w:rPr>
          <w:sz w:val="18"/>
          <w:szCs w:val="18"/>
        </w:rPr>
        <w:t>consultation paper</w:t>
      </w:r>
      <w:r w:rsidRPr="00BE4FBE">
        <w:rPr>
          <w:sz w:val="18"/>
          <w:szCs w:val="18"/>
        </w:rPr>
        <w:t>, 26 November 2020.</w:t>
      </w:r>
    </w:p>
  </w:footnote>
  <w:footnote w:id="2">
    <w:p w14:paraId="38F3A914" w14:textId="77777777" w:rsidR="00826E1F" w:rsidRPr="00072C93" w:rsidRDefault="00826E1F">
      <w:pPr>
        <w:pStyle w:val="FootnoteText"/>
        <w:rPr>
          <w:lang w:val="en-US"/>
        </w:rPr>
      </w:pPr>
      <w:r>
        <w:rPr>
          <w:rStyle w:val="FootnoteReference"/>
        </w:rPr>
        <w:footnoteRef/>
      </w:r>
      <w:r>
        <w:t xml:space="preserve"> </w:t>
      </w:r>
      <w:r>
        <w:rPr>
          <w:lang w:val="en-US"/>
        </w:rPr>
        <w:tab/>
        <w:t xml:space="preserve">Ibid, first and second bullet points, page 16. </w:t>
      </w:r>
    </w:p>
  </w:footnote>
  <w:footnote w:id="3">
    <w:p w14:paraId="76AA43CC" w14:textId="36A71BB6" w:rsidR="00ED5ED1" w:rsidRPr="00407A11" w:rsidRDefault="00ED5ED1" w:rsidP="00787DD2">
      <w:pPr>
        <w:pStyle w:val="FootnoteText"/>
        <w:spacing w:before="60" w:after="60"/>
        <w:ind w:left="709" w:hanging="709"/>
      </w:pPr>
      <w:r>
        <w:rPr>
          <w:rStyle w:val="FootnoteReference"/>
        </w:rPr>
        <w:footnoteRef/>
      </w:r>
      <w:r>
        <w:t xml:space="preserve"> </w:t>
      </w:r>
      <w:r>
        <w:tab/>
        <w:t>It should be noted that regulated REZs may also include REZs identified by the jurisdictional planning body, in addition to REZs identified in the ISP.</w:t>
      </w:r>
      <w:r w:rsidR="00787DD2">
        <w:t xml:space="preserve">  </w:t>
      </w:r>
    </w:p>
  </w:footnote>
  <w:footnote w:id="4">
    <w:p w14:paraId="7CF7D9A6" w14:textId="77777777" w:rsidR="00A475EE" w:rsidRPr="00BE4FBE" w:rsidRDefault="00A475EE" w:rsidP="00FC5F39">
      <w:pPr>
        <w:pStyle w:val="BodyText"/>
        <w:spacing w:before="60" w:after="60" w:line="240" w:lineRule="auto"/>
        <w:ind w:left="709" w:hanging="709"/>
        <w:rPr>
          <w:sz w:val="18"/>
          <w:szCs w:val="18"/>
        </w:rPr>
      </w:pPr>
      <w:r w:rsidRPr="00BE4FBE">
        <w:rPr>
          <w:rStyle w:val="None"/>
          <w:sz w:val="18"/>
          <w:szCs w:val="18"/>
          <w:vertAlign w:val="superscript"/>
        </w:rPr>
        <w:footnoteRef/>
      </w:r>
      <w:r w:rsidRPr="00BE4FBE">
        <w:rPr>
          <w:rStyle w:val="None"/>
          <w:rFonts w:eastAsia="Franklin Gothic Book" w:cs="Franklin Gothic Book"/>
          <w:sz w:val="18"/>
          <w:szCs w:val="18"/>
        </w:rPr>
        <w:t xml:space="preserve"> </w:t>
      </w:r>
      <w:r w:rsidRPr="00BE4FBE">
        <w:rPr>
          <w:rStyle w:val="None"/>
          <w:rFonts w:eastAsia="Franklin Gothic Book" w:cs="Franklin Gothic Book"/>
          <w:sz w:val="18"/>
          <w:szCs w:val="18"/>
        </w:rPr>
        <w:tab/>
      </w:r>
      <w:r>
        <w:rPr>
          <w:sz w:val="18"/>
          <w:szCs w:val="18"/>
        </w:rPr>
        <w:t>Energy Security Board</w:t>
      </w:r>
      <w:r w:rsidRPr="00BE4FBE">
        <w:rPr>
          <w:sz w:val="18"/>
          <w:szCs w:val="18"/>
        </w:rPr>
        <w:t xml:space="preserve">, </w:t>
      </w:r>
      <w:r>
        <w:rPr>
          <w:sz w:val="18"/>
          <w:szCs w:val="18"/>
        </w:rPr>
        <w:t>Renewable Energy Zone</w:t>
      </w:r>
      <w:r w:rsidRPr="00BE4FBE">
        <w:rPr>
          <w:sz w:val="18"/>
          <w:szCs w:val="18"/>
        </w:rPr>
        <w:t xml:space="preserve">, </w:t>
      </w:r>
      <w:r>
        <w:rPr>
          <w:sz w:val="18"/>
          <w:szCs w:val="18"/>
        </w:rPr>
        <w:t>consultation paper</w:t>
      </w:r>
      <w:r w:rsidRPr="00BE4FBE">
        <w:rPr>
          <w:sz w:val="18"/>
          <w:szCs w:val="18"/>
        </w:rPr>
        <w:t xml:space="preserve">, </w:t>
      </w:r>
      <w:r w:rsidRPr="00A475EE">
        <w:rPr>
          <w:sz w:val="18"/>
          <w:szCs w:val="18"/>
        </w:rPr>
        <w:t>section 4.3.1, page 30</w:t>
      </w:r>
      <w:r w:rsidRPr="00BE4FBE">
        <w:rPr>
          <w:sz w:val="18"/>
          <w:szCs w:val="18"/>
        </w:rPr>
        <w:t>.</w:t>
      </w:r>
    </w:p>
  </w:footnote>
  <w:footnote w:id="5">
    <w:p w14:paraId="4B65AEEA" w14:textId="77777777" w:rsidR="00826E1F" w:rsidRPr="00072C93" w:rsidRDefault="00826E1F" w:rsidP="00FC5F39">
      <w:pPr>
        <w:pStyle w:val="FootnoteText"/>
        <w:spacing w:before="60" w:after="60"/>
        <w:rPr>
          <w:lang w:val="en-US"/>
        </w:rPr>
      </w:pPr>
      <w:r>
        <w:rPr>
          <w:rStyle w:val="FootnoteReference"/>
        </w:rPr>
        <w:footnoteRef/>
      </w:r>
      <w:r>
        <w:t xml:space="preserve"> </w:t>
      </w:r>
      <w:r>
        <w:rPr>
          <w:lang w:val="en-US"/>
        </w:rPr>
        <w:tab/>
        <w:t xml:space="preserve">Ibid, section 4.3.3, page 31. </w:t>
      </w:r>
    </w:p>
  </w:footnote>
  <w:footnote w:id="6">
    <w:p w14:paraId="16F4195B" w14:textId="77777777" w:rsidR="00D72531" w:rsidRPr="00D72531" w:rsidRDefault="00D72531" w:rsidP="00FC5F39">
      <w:pPr>
        <w:pStyle w:val="FootnoteText"/>
        <w:spacing w:before="60" w:after="60"/>
        <w:rPr>
          <w:lang w:val="en-US"/>
        </w:rPr>
      </w:pPr>
      <w:r>
        <w:rPr>
          <w:rStyle w:val="FootnoteReference"/>
        </w:rPr>
        <w:footnoteRef/>
      </w:r>
      <w:r>
        <w:t xml:space="preserve"> </w:t>
      </w:r>
      <w:r>
        <w:rPr>
          <w:lang w:val="en-US"/>
        </w:rPr>
        <w:tab/>
        <w:t>For example, the AER’s draft Guidance Note on the regulation of ISP investments.</w:t>
      </w:r>
    </w:p>
  </w:footnote>
  <w:footnote w:id="7">
    <w:p w14:paraId="2D7D8370" w14:textId="77777777" w:rsidR="00806E64" w:rsidRPr="00806E64" w:rsidRDefault="00806E64" w:rsidP="00ED70B1">
      <w:pPr>
        <w:pStyle w:val="BodyText"/>
        <w:spacing w:before="60" w:after="60" w:line="240" w:lineRule="auto"/>
        <w:ind w:left="709" w:hanging="709"/>
        <w:rPr>
          <w:sz w:val="18"/>
          <w:szCs w:val="18"/>
        </w:rPr>
      </w:pPr>
      <w:r w:rsidRPr="00806E64">
        <w:rPr>
          <w:rStyle w:val="None"/>
          <w:sz w:val="18"/>
          <w:szCs w:val="18"/>
          <w:vertAlign w:val="superscript"/>
        </w:rPr>
        <w:footnoteRef/>
      </w:r>
      <w:r w:rsidRPr="00806E64">
        <w:rPr>
          <w:rStyle w:val="None"/>
          <w:rFonts w:eastAsia="Franklin Gothic Book" w:cs="Franklin Gothic Book"/>
          <w:sz w:val="18"/>
          <w:szCs w:val="18"/>
        </w:rPr>
        <w:t xml:space="preserve"> </w:t>
      </w:r>
      <w:r w:rsidRPr="00806E64">
        <w:rPr>
          <w:rStyle w:val="None"/>
          <w:rFonts w:eastAsia="Franklin Gothic Book" w:cs="Franklin Gothic Book"/>
          <w:sz w:val="18"/>
          <w:szCs w:val="18"/>
        </w:rPr>
        <w:tab/>
      </w:r>
      <w:r w:rsidRPr="00806E64">
        <w:rPr>
          <w:sz w:val="18"/>
          <w:szCs w:val="18"/>
        </w:rPr>
        <w:t xml:space="preserve">Energy Security Board, Renewable Energy Zone, consultation paper, </w:t>
      </w:r>
      <w:r w:rsidRPr="00806E64">
        <w:rPr>
          <w:sz w:val="18"/>
          <w:szCs w:val="18"/>
          <w:lang w:val="en-US"/>
        </w:rPr>
        <w:t>section 4.3.3, page 31</w:t>
      </w:r>
      <w:r w:rsidRPr="00806E64">
        <w:rPr>
          <w:sz w:val="18"/>
          <w:szCs w:val="18"/>
        </w:rPr>
        <w:t>.</w:t>
      </w:r>
    </w:p>
  </w:footnote>
  <w:footnote w:id="8">
    <w:p w14:paraId="43282F30" w14:textId="77777777" w:rsidR="00826E1F" w:rsidRPr="00072C93" w:rsidRDefault="00826E1F" w:rsidP="00ED70B1">
      <w:pPr>
        <w:pStyle w:val="FootnoteText"/>
        <w:spacing w:before="60" w:after="60"/>
        <w:rPr>
          <w:lang w:val="en-US"/>
        </w:rPr>
      </w:pPr>
      <w:r>
        <w:rPr>
          <w:rStyle w:val="FootnoteReference"/>
        </w:rPr>
        <w:footnoteRef/>
      </w:r>
      <w:r>
        <w:t xml:space="preserve"> </w:t>
      </w:r>
      <w:r>
        <w:rPr>
          <w:lang w:val="en-US"/>
        </w:rPr>
        <w:tab/>
        <w:t xml:space="preserve">Ibid, page 28. </w:t>
      </w:r>
    </w:p>
  </w:footnote>
  <w:footnote w:id="9">
    <w:p w14:paraId="77A7138F" w14:textId="77777777" w:rsidR="00826E1F" w:rsidRPr="00072C93" w:rsidRDefault="00826E1F" w:rsidP="00ED70B1">
      <w:pPr>
        <w:pStyle w:val="FootnoteText"/>
        <w:spacing w:before="60" w:after="60"/>
        <w:rPr>
          <w:lang w:val="en-US"/>
        </w:rPr>
      </w:pPr>
      <w:r>
        <w:rPr>
          <w:rStyle w:val="FootnoteReference"/>
        </w:rPr>
        <w:footnoteRef/>
      </w:r>
      <w:r>
        <w:t xml:space="preserve"> </w:t>
      </w:r>
      <w:r>
        <w:rPr>
          <w:lang w:val="en-US"/>
        </w:rPr>
        <w:tab/>
        <w:t xml:space="preserve">Ibid, page 15. </w:t>
      </w:r>
    </w:p>
  </w:footnote>
  <w:footnote w:id="10">
    <w:p w14:paraId="5FA64DF5" w14:textId="77777777" w:rsidR="00FE044D" w:rsidRPr="00072C93" w:rsidRDefault="00FE044D" w:rsidP="00ED70B1">
      <w:pPr>
        <w:pStyle w:val="FootnoteText"/>
        <w:spacing w:before="60" w:after="60"/>
        <w:rPr>
          <w:lang w:val="en-US"/>
        </w:rPr>
      </w:pPr>
      <w:r>
        <w:rPr>
          <w:rStyle w:val="FootnoteReference"/>
        </w:rPr>
        <w:footnoteRef/>
      </w:r>
      <w:r>
        <w:t xml:space="preserve"> </w:t>
      </w:r>
      <w:r>
        <w:rPr>
          <w:lang w:val="en-US"/>
        </w:rPr>
        <w:tab/>
        <w:t xml:space="preserve">Ibid, page 30. </w:t>
      </w:r>
    </w:p>
  </w:footnote>
  <w:footnote w:id="11">
    <w:p w14:paraId="0A099755" w14:textId="77777777" w:rsidR="00203DDD" w:rsidRPr="002238AB" w:rsidRDefault="00203DDD" w:rsidP="00ED70B1">
      <w:pPr>
        <w:pStyle w:val="FootnoteText"/>
        <w:spacing w:before="60" w:after="60"/>
        <w:rPr>
          <w:szCs w:val="18"/>
          <w:lang w:val="en-US"/>
        </w:rPr>
      </w:pPr>
      <w:r w:rsidRPr="002238AB">
        <w:rPr>
          <w:rStyle w:val="FootnoteReference"/>
          <w:szCs w:val="18"/>
        </w:rPr>
        <w:footnoteRef/>
      </w:r>
      <w:r w:rsidRPr="002238AB">
        <w:rPr>
          <w:szCs w:val="18"/>
        </w:rPr>
        <w:t xml:space="preserve"> </w:t>
      </w:r>
      <w:r w:rsidRPr="002238AB">
        <w:rPr>
          <w:szCs w:val="18"/>
          <w:lang w:val="en-US"/>
        </w:rPr>
        <w:tab/>
        <w:t xml:space="preserve">Ibid, </w:t>
      </w:r>
      <w:r>
        <w:rPr>
          <w:szCs w:val="18"/>
          <w:lang w:val="en-US"/>
        </w:rPr>
        <w:t>penultimate paragraph, page 43</w:t>
      </w:r>
      <w:r w:rsidRPr="002238AB">
        <w:rPr>
          <w:szCs w:val="18"/>
          <w:lang w:val="en-US"/>
        </w:rPr>
        <w:t>.</w:t>
      </w:r>
    </w:p>
  </w:footnote>
  <w:footnote w:id="12">
    <w:p w14:paraId="2CFF5DDD" w14:textId="77777777" w:rsidR="00AD2502" w:rsidRPr="002238AB" w:rsidRDefault="00AD2502" w:rsidP="00ED70B1">
      <w:pPr>
        <w:pStyle w:val="FootnoteText"/>
        <w:spacing w:before="60" w:after="60"/>
        <w:rPr>
          <w:szCs w:val="18"/>
          <w:lang w:val="en-US"/>
        </w:rPr>
      </w:pPr>
      <w:r w:rsidRPr="002238AB">
        <w:rPr>
          <w:rStyle w:val="FootnoteReference"/>
          <w:szCs w:val="18"/>
        </w:rPr>
        <w:footnoteRef/>
      </w:r>
      <w:r w:rsidRPr="002238AB">
        <w:rPr>
          <w:szCs w:val="18"/>
        </w:rPr>
        <w:t xml:space="preserve"> </w:t>
      </w:r>
      <w:r w:rsidRPr="002238AB">
        <w:rPr>
          <w:szCs w:val="18"/>
          <w:lang w:val="en-US"/>
        </w:rPr>
        <w:tab/>
        <w:t xml:space="preserve">Ibid, </w:t>
      </w:r>
      <w:r>
        <w:rPr>
          <w:szCs w:val="18"/>
          <w:lang w:val="en-US"/>
        </w:rPr>
        <w:t>first paragraph, page 50</w:t>
      </w:r>
      <w:r w:rsidRPr="002238AB">
        <w:rPr>
          <w:szCs w:val="18"/>
          <w:lang w:val="en-US"/>
        </w:rPr>
        <w:t>.</w:t>
      </w:r>
    </w:p>
  </w:footnote>
  <w:footnote w:id="13">
    <w:p w14:paraId="5BC0B3C9" w14:textId="77777777" w:rsidR="00AD2502" w:rsidRPr="002238AB" w:rsidRDefault="00AD2502" w:rsidP="00ED70B1">
      <w:pPr>
        <w:pStyle w:val="FootnoteText"/>
        <w:spacing w:before="60" w:after="60"/>
        <w:rPr>
          <w:szCs w:val="18"/>
          <w:lang w:val="en-US"/>
        </w:rPr>
      </w:pPr>
      <w:r w:rsidRPr="002238AB">
        <w:rPr>
          <w:rStyle w:val="FootnoteReference"/>
          <w:szCs w:val="18"/>
        </w:rPr>
        <w:footnoteRef/>
      </w:r>
      <w:r w:rsidRPr="002238AB">
        <w:rPr>
          <w:szCs w:val="18"/>
        </w:rPr>
        <w:t xml:space="preserve"> </w:t>
      </w:r>
      <w:r w:rsidRPr="002238AB">
        <w:rPr>
          <w:szCs w:val="18"/>
          <w:lang w:val="en-US"/>
        </w:rPr>
        <w:tab/>
        <w:t xml:space="preserve">Ibid, </w:t>
      </w:r>
      <w:r>
        <w:rPr>
          <w:szCs w:val="18"/>
          <w:lang w:val="en-US"/>
        </w:rPr>
        <w:t>final paragraph, page 24 and fourth paragraph, page 26</w:t>
      </w:r>
      <w:r w:rsidRPr="002238AB">
        <w:rPr>
          <w:szCs w:val="18"/>
          <w:lang w:val="en-US"/>
        </w:rPr>
        <w:t>.</w:t>
      </w:r>
    </w:p>
  </w:footnote>
  <w:footnote w:id="14">
    <w:p w14:paraId="0ABE1152" w14:textId="77777777" w:rsidR="00195335" w:rsidRPr="002238AB" w:rsidRDefault="00195335" w:rsidP="00ED70B1">
      <w:pPr>
        <w:pStyle w:val="FootnoteText"/>
        <w:spacing w:before="60" w:after="60"/>
        <w:rPr>
          <w:szCs w:val="18"/>
          <w:lang w:val="en-US"/>
        </w:rPr>
      </w:pPr>
      <w:r w:rsidRPr="002238AB">
        <w:rPr>
          <w:rStyle w:val="FootnoteReference"/>
          <w:szCs w:val="18"/>
        </w:rPr>
        <w:footnoteRef/>
      </w:r>
      <w:r w:rsidRPr="002238AB">
        <w:rPr>
          <w:szCs w:val="18"/>
        </w:rPr>
        <w:t xml:space="preserve"> </w:t>
      </w:r>
      <w:r w:rsidRPr="002238AB">
        <w:rPr>
          <w:szCs w:val="18"/>
          <w:lang w:val="en-US"/>
        </w:rPr>
        <w:tab/>
        <w:t xml:space="preserve">Ibid, </w:t>
      </w:r>
      <w:r>
        <w:rPr>
          <w:szCs w:val="18"/>
          <w:lang w:val="en-US"/>
        </w:rPr>
        <w:t>third paragraph, page 53</w:t>
      </w:r>
      <w:r w:rsidRPr="002238AB">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538C1" w14:textId="77777777" w:rsidR="00826E1F" w:rsidRPr="00B57BE2" w:rsidRDefault="001158DE" w:rsidP="00B57BE2">
    <w:pPr>
      <w:pStyle w:val="Header"/>
    </w:pPr>
    <w:r>
      <w:rPr>
        <w:noProof/>
        <w:lang w:eastAsia="en-AU"/>
      </w:rPr>
      <w:drawing>
        <wp:anchor distT="0" distB="0" distL="114300" distR="114300" simplePos="0" relativeHeight="251659776" behindDoc="1" locked="0" layoutInCell="1" allowOverlap="1" wp14:anchorId="489DE49A" wp14:editId="6C57C2C2">
          <wp:simplePos x="0" y="0"/>
          <wp:positionH relativeFrom="margin">
            <wp:align>right</wp:align>
          </wp:positionH>
          <wp:positionV relativeFrom="page">
            <wp:posOffset>540385</wp:posOffset>
          </wp:positionV>
          <wp:extent cx="1227455" cy="396240"/>
          <wp:effectExtent l="0" t="0" r="0" b="0"/>
          <wp:wrapNone/>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7455" cy="3962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B98D9" w14:textId="77777777" w:rsidR="00826E1F" w:rsidRPr="00B57BE2" w:rsidRDefault="001158DE" w:rsidP="00B57BE2">
    <w:pPr>
      <w:pStyle w:val="Header"/>
    </w:pPr>
    <w:r>
      <w:rPr>
        <w:noProof/>
        <w:lang w:eastAsia="en-AU"/>
      </w:rPr>
      <w:drawing>
        <wp:anchor distT="0" distB="0" distL="114300" distR="114300" simplePos="0" relativeHeight="251657728" behindDoc="1" locked="0" layoutInCell="1" allowOverlap="1" wp14:anchorId="7B4C17F6" wp14:editId="31402E75">
          <wp:simplePos x="0" y="0"/>
          <wp:positionH relativeFrom="margin">
            <wp:align>right</wp:align>
          </wp:positionH>
          <wp:positionV relativeFrom="page">
            <wp:posOffset>540385</wp:posOffset>
          </wp:positionV>
          <wp:extent cx="1673860" cy="539750"/>
          <wp:effectExtent l="0" t="0" r="0" b="0"/>
          <wp:wrapNone/>
          <wp:docPr id="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860" cy="5397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B28C5"/>
    <w:multiLevelType w:val="multilevel"/>
    <w:tmpl w:val="E76216EC"/>
    <w:styleLink w:val="ListParagraph"/>
    <w:lvl w:ilvl="0">
      <w:start w:val="1"/>
      <w:numFmt w:val="none"/>
      <w:pStyle w:val="ListParagraph0"/>
      <w:suff w:val="nothing"/>
      <w:lvlText w:val=""/>
      <w:lvlJc w:val="left"/>
      <w:pPr>
        <w:ind w:left="425" w:firstLine="0"/>
      </w:pPr>
      <w:rPr>
        <w:rFonts w:ascii="Gotham Book" w:hAnsi="Gotham Book" w:hint="default"/>
        <w:color w:val="auto"/>
      </w:rPr>
    </w:lvl>
    <w:lvl w:ilvl="1">
      <w:start w:val="1"/>
      <w:numFmt w:val="none"/>
      <w:pStyle w:val="ListParagraph2"/>
      <w:suff w:val="nothing"/>
      <w:lvlText w:val=""/>
      <w:lvlJc w:val="left"/>
      <w:pPr>
        <w:ind w:left="850" w:firstLine="0"/>
      </w:pPr>
      <w:rPr>
        <w:rFonts w:ascii="Gotham Book" w:hAnsi="Gotham Book" w:hint="default"/>
        <w:color w:val="auto"/>
      </w:rPr>
    </w:lvl>
    <w:lvl w:ilvl="2">
      <w:start w:val="1"/>
      <w:numFmt w:val="none"/>
      <w:pStyle w:val="ListParagraph3"/>
      <w:suff w:val="nothing"/>
      <w:lvlText w:val=""/>
      <w:lvlJc w:val="left"/>
      <w:pPr>
        <w:ind w:left="1275" w:firstLine="0"/>
      </w:pPr>
      <w:rPr>
        <w:rFonts w:ascii="Gotham Book" w:hAnsi="Gotham Book" w:hint="default"/>
        <w:color w:val="auto"/>
      </w:rPr>
    </w:lvl>
    <w:lvl w:ilvl="3">
      <w:start w:val="1"/>
      <w:numFmt w:val="none"/>
      <w:pStyle w:val="ListParagraph4"/>
      <w:suff w:val="nothing"/>
      <w:lvlText w:val=""/>
      <w:lvlJc w:val="left"/>
      <w:pPr>
        <w:ind w:left="1700" w:firstLine="0"/>
      </w:pPr>
      <w:rPr>
        <w:rFonts w:ascii="Gotham Book" w:hAnsi="Gotham Book" w:hint="default"/>
        <w:color w:val="auto"/>
      </w:rPr>
    </w:lvl>
    <w:lvl w:ilvl="4">
      <w:start w:val="1"/>
      <w:numFmt w:val="none"/>
      <w:pStyle w:val="ListParagraph5"/>
      <w:suff w:val="nothing"/>
      <w:lvlText w:val=""/>
      <w:lvlJc w:val="left"/>
      <w:pPr>
        <w:ind w:left="2125" w:firstLine="0"/>
      </w:pPr>
      <w:rPr>
        <w:rFonts w:ascii="Gotham Book" w:hAnsi="Gotham Book" w:hint="default"/>
        <w:color w:val="auto"/>
      </w:rPr>
    </w:lvl>
    <w:lvl w:ilvl="5">
      <w:start w:val="1"/>
      <w:numFmt w:val="none"/>
      <w:pStyle w:val="ListParagraph6"/>
      <w:suff w:val="nothing"/>
      <w:lvlText w:val=""/>
      <w:lvlJc w:val="left"/>
      <w:pPr>
        <w:ind w:left="2550" w:firstLine="0"/>
      </w:pPr>
      <w:rPr>
        <w:rFonts w:ascii="Gotham Book" w:hAnsi="Gotham Book" w:hint="default"/>
        <w:color w:val="auto"/>
      </w:rPr>
    </w:lvl>
    <w:lvl w:ilvl="6">
      <w:start w:val="1"/>
      <w:numFmt w:val="none"/>
      <w:suff w:val="nothing"/>
      <w:lvlText w:val=""/>
      <w:lvlJc w:val="left"/>
      <w:pPr>
        <w:ind w:left="2975" w:firstLine="0"/>
      </w:pPr>
      <w:rPr>
        <w:rFonts w:hint="default"/>
        <w:color w:val="000000"/>
      </w:rPr>
    </w:lvl>
    <w:lvl w:ilvl="7">
      <w:start w:val="1"/>
      <w:numFmt w:val="none"/>
      <w:suff w:val="nothing"/>
      <w:lvlText w:val=""/>
      <w:lvlJc w:val="left"/>
      <w:pPr>
        <w:ind w:left="3400" w:firstLine="0"/>
      </w:pPr>
      <w:rPr>
        <w:rFonts w:hint="default"/>
      </w:rPr>
    </w:lvl>
    <w:lvl w:ilvl="8">
      <w:numFmt w:val="none"/>
      <w:lvlText w:val=""/>
      <w:lvlJc w:val="left"/>
      <w:pPr>
        <w:tabs>
          <w:tab w:val="num" w:pos="3825"/>
        </w:tabs>
        <w:ind w:left="3825" w:firstLine="0"/>
      </w:pPr>
      <w:rPr>
        <w:rFonts w:hint="default"/>
      </w:rPr>
    </w:lvl>
  </w:abstractNum>
  <w:abstractNum w:abstractNumId="1" w15:restartNumberingAfterBreak="0">
    <w:nsid w:val="03C831F0"/>
    <w:multiLevelType w:val="hybridMultilevel"/>
    <w:tmpl w:val="1C542D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284AE9"/>
    <w:multiLevelType w:val="multilevel"/>
    <w:tmpl w:val="23200434"/>
    <w:styleLink w:val="ListAlpha"/>
    <w:lvl w:ilvl="0">
      <w:start w:val="1"/>
      <w:numFmt w:val="lowerLetter"/>
      <w:pStyle w:val="ListAlpha0"/>
      <w:lvlText w:val="%1."/>
      <w:lvlJc w:val="left"/>
      <w:pPr>
        <w:tabs>
          <w:tab w:val="num" w:pos="425"/>
        </w:tabs>
        <w:ind w:left="425" w:hanging="425"/>
      </w:pPr>
      <w:rPr>
        <w:rFonts w:ascii="Gotham Book" w:hAnsi="Gotham Book" w:hint="default"/>
        <w:color w:val="22D3C5"/>
        <w:sz w:val="20"/>
      </w:rPr>
    </w:lvl>
    <w:lvl w:ilvl="1">
      <w:start w:val="1"/>
      <w:numFmt w:val="lowerRoman"/>
      <w:pStyle w:val="ListAlpha2"/>
      <w:lvlText w:val="%2."/>
      <w:lvlJc w:val="left"/>
      <w:pPr>
        <w:tabs>
          <w:tab w:val="num" w:pos="850"/>
        </w:tabs>
        <w:ind w:left="850" w:hanging="425"/>
      </w:pPr>
      <w:rPr>
        <w:rFonts w:ascii="Gotham Book" w:hAnsi="Gotham Book" w:hint="default"/>
        <w:color w:val="22D3C5"/>
        <w:sz w:val="20"/>
      </w:rPr>
    </w:lvl>
    <w:lvl w:ilvl="2">
      <w:start w:val="1"/>
      <w:numFmt w:val="decimal"/>
      <w:pStyle w:val="ListAlpha3"/>
      <w:lvlText w:val="%3."/>
      <w:lvlJc w:val="left"/>
      <w:pPr>
        <w:tabs>
          <w:tab w:val="num" w:pos="1275"/>
        </w:tabs>
        <w:ind w:left="1275" w:hanging="425"/>
      </w:pPr>
      <w:rPr>
        <w:rFonts w:ascii="Gotham Book" w:hAnsi="Gotham Book" w:hint="default"/>
        <w:color w:val="22D3C5"/>
        <w:sz w:val="20"/>
      </w:rPr>
    </w:lvl>
    <w:lvl w:ilvl="3">
      <w:start w:val="1"/>
      <w:numFmt w:val="upperLetter"/>
      <w:pStyle w:val="ListAlpha4"/>
      <w:lvlText w:val="%4."/>
      <w:lvlJc w:val="left"/>
      <w:pPr>
        <w:tabs>
          <w:tab w:val="num" w:pos="1700"/>
        </w:tabs>
        <w:ind w:left="1700" w:hanging="425"/>
      </w:pPr>
      <w:rPr>
        <w:rFonts w:ascii="Gotham Book" w:hAnsi="Gotham Book" w:hint="default"/>
        <w:color w:val="22D3C5"/>
        <w:sz w:val="20"/>
      </w:rPr>
    </w:lvl>
    <w:lvl w:ilvl="4">
      <w:start w:val="1"/>
      <w:numFmt w:val="upperRoman"/>
      <w:pStyle w:val="ListAlpha5"/>
      <w:lvlText w:val="%5."/>
      <w:lvlJc w:val="left"/>
      <w:pPr>
        <w:tabs>
          <w:tab w:val="num" w:pos="2125"/>
        </w:tabs>
        <w:ind w:left="2125" w:hanging="425"/>
      </w:pPr>
      <w:rPr>
        <w:rFonts w:ascii="Gotham Book" w:hAnsi="Gotham Book" w:hint="default"/>
        <w:color w:val="22D3C5"/>
        <w:sz w:val="20"/>
      </w:rPr>
    </w:lvl>
    <w:lvl w:ilvl="5">
      <w:start w:val="1"/>
      <w:numFmt w:val="decimal"/>
      <w:pStyle w:val="ListAlpha6"/>
      <w:lvlText w:val="%6."/>
      <w:lvlJc w:val="left"/>
      <w:pPr>
        <w:tabs>
          <w:tab w:val="num" w:pos="2550"/>
        </w:tabs>
        <w:ind w:left="2550" w:hanging="425"/>
      </w:pPr>
      <w:rPr>
        <w:rFonts w:ascii="Gotham Book" w:hAnsi="Gotham Book" w:hint="default"/>
        <w:color w:val="22D3C5"/>
        <w:sz w:val="20"/>
      </w:rPr>
    </w:lvl>
    <w:lvl w:ilvl="6">
      <w:start w:val="1"/>
      <w:numFmt w:val="none"/>
      <w:lvlText w:val=""/>
      <w:lvlJc w:val="left"/>
      <w:pPr>
        <w:tabs>
          <w:tab w:val="num" w:pos="2975"/>
        </w:tabs>
        <w:ind w:left="2975" w:hanging="425"/>
      </w:pPr>
      <w:rPr>
        <w:rFonts w:hint="default"/>
      </w:rPr>
    </w:lvl>
    <w:lvl w:ilvl="7">
      <w:start w:val="1"/>
      <w:numFmt w:val="none"/>
      <w:lvlText w:val=""/>
      <w:lvlJc w:val="left"/>
      <w:pPr>
        <w:tabs>
          <w:tab w:val="num" w:pos="3400"/>
        </w:tabs>
        <w:ind w:left="3400" w:hanging="425"/>
      </w:pPr>
      <w:rPr>
        <w:rFonts w:hint="default"/>
      </w:rPr>
    </w:lvl>
    <w:lvl w:ilvl="8">
      <w:start w:val="1"/>
      <w:numFmt w:val="none"/>
      <w:lvlText w:val=""/>
      <w:lvlJc w:val="left"/>
      <w:pPr>
        <w:tabs>
          <w:tab w:val="num" w:pos="3825"/>
        </w:tabs>
        <w:ind w:left="3825" w:hanging="425"/>
      </w:pPr>
      <w:rPr>
        <w:rFonts w:hint="default"/>
      </w:rPr>
    </w:lvl>
  </w:abstractNum>
  <w:abstractNum w:abstractNumId="3" w15:restartNumberingAfterBreak="0">
    <w:nsid w:val="0C154416"/>
    <w:multiLevelType w:val="multilevel"/>
    <w:tmpl w:val="23200434"/>
    <w:numStyleLink w:val="ListAlpha"/>
  </w:abstractNum>
  <w:abstractNum w:abstractNumId="4" w15:restartNumberingAfterBreak="0">
    <w:nsid w:val="0CCD4DAA"/>
    <w:multiLevelType w:val="multilevel"/>
    <w:tmpl w:val="F78A1DCA"/>
    <w:styleLink w:val="ListTableBullet"/>
    <w:lvl w:ilvl="0">
      <w:start w:val="1"/>
      <w:numFmt w:val="bullet"/>
      <w:pStyle w:val="TableBullet"/>
      <w:lvlText w:val="»"/>
      <w:lvlJc w:val="left"/>
      <w:pPr>
        <w:tabs>
          <w:tab w:val="num" w:pos="397"/>
        </w:tabs>
        <w:ind w:left="397" w:hanging="284"/>
      </w:pPr>
      <w:rPr>
        <w:rFonts w:ascii="Gotham Book" w:hAnsi="Gotham Book" w:hint="default"/>
        <w:color w:val="22D3C5"/>
        <w:sz w:val="20"/>
      </w:rPr>
    </w:lvl>
    <w:lvl w:ilvl="1">
      <w:start w:val="1"/>
      <w:numFmt w:val="bullet"/>
      <w:pStyle w:val="TableBullet2"/>
      <w:lvlText w:val="–"/>
      <w:lvlJc w:val="left"/>
      <w:pPr>
        <w:tabs>
          <w:tab w:val="num" w:pos="680"/>
        </w:tabs>
        <w:ind w:left="680" w:hanging="283"/>
      </w:pPr>
      <w:rPr>
        <w:rFonts w:ascii="Arial" w:hAnsi="Arial" w:hint="default"/>
        <w:color w:val="22D3C5"/>
        <w:sz w:val="20"/>
      </w:rPr>
    </w:lvl>
    <w:lvl w:ilvl="2">
      <w:start w:val="1"/>
      <w:numFmt w:val="none"/>
      <w:lvlText w:val=""/>
      <w:lvlJc w:val="left"/>
      <w:pPr>
        <w:tabs>
          <w:tab w:val="num" w:pos="-31680"/>
        </w:tabs>
        <w:ind w:left="-32767" w:firstLine="0"/>
      </w:pPr>
      <w:rPr>
        <w:rFonts w:hint="default"/>
        <w:color w:val="000000"/>
      </w:rPr>
    </w:lvl>
    <w:lvl w:ilvl="3">
      <w:start w:val="1"/>
      <w:numFmt w:val="none"/>
      <w:lvlText w:val="%4"/>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color w:val="000000"/>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color w:val="000000"/>
      </w:rPr>
    </w:lvl>
    <w:lvl w:ilvl="7">
      <w:start w:val="1"/>
      <w:numFmt w:val="none"/>
      <w:lvlText w:val="%8"/>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color w:val="000000"/>
      </w:rPr>
    </w:lvl>
  </w:abstractNum>
  <w:abstractNum w:abstractNumId="5" w15:restartNumberingAfterBreak="0">
    <w:nsid w:val="106D4950"/>
    <w:multiLevelType w:val="multilevel"/>
    <w:tmpl w:val="9D625AA6"/>
    <w:numStyleLink w:val="ListNumberedHeadings"/>
  </w:abstractNum>
  <w:abstractNum w:abstractNumId="6" w15:restartNumberingAfterBreak="0">
    <w:nsid w:val="24741D40"/>
    <w:multiLevelType w:val="multilevel"/>
    <w:tmpl w:val="E15AD974"/>
    <w:styleLink w:val="ListNumber"/>
    <w:lvl w:ilvl="0">
      <w:start w:val="1"/>
      <w:numFmt w:val="decimal"/>
      <w:pStyle w:val="ListNumber0"/>
      <w:lvlText w:val="%1."/>
      <w:lvlJc w:val="left"/>
      <w:pPr>
        <w:tabs>
          <w:tab w:val="num" w:pos="425"/>
        </w:tabs>
        <w:ind w:left="425" w:hanging="425"/>
      </w:pPr>
      <w:rPr>
        <w:rFonts w:ascii="Gotham Book" w:hAnsi="Gotham Book" w:hint="default"/>
        <w:b w:val="0"/>
        <w:i w:val="0"/>
        <w:caps w:val="0"/>
        <w:strike w:val="0"/>
        <w:dstrike w:val="0"/>
        <w:vanish w:val="0"/>
        <w:color w:val="22D3C5"/>
        <w:sz w:val="20"/>
        <w:vertAlign w:val="baseline"/>
      </w:rPr>
    </w:lvl>
    <w:lvl w:ilvl="1">
      <w:start w:val="1"/>
      <w:numFmt w:val="lowerLetter"/>
      <w:pStyle w:val="ListNumber2"/>
      <w:lvlText w:val="%2."/>
      <w:lvlJc w:val="left"/>
      <w:pPr>
        <w:tabs>
          <w:tab w:val="num" w:pos="850"/>
        </w:tabs>
        <w:ind w:left="850" w:hanging="425"/>
      </w:pPr>
      <w:rPr>
        <w:rFonts w:ascii="Gotham Book" w:hAnsi="Gotham Book" w:hint="default"/>
        <w:b w:val="0"/>
        <w:i w:val="0"/>
        <w:color w:val="22D3C5"/>
        <w:sz w:val="20"/>
      </w:rPr>
    </w:lvl>
    <w:lvl w:ilvl="2">
      <w:start w:val="1"/>
      <w:numFmt w:val="lowerRoman"/>
      <w:pStyle w:val="ListNumber3"/>
      <w:lvlText w:val="%3."/>
      <w:lvlJc w:val="left"/>
      <w:pPr>
        <w:tabs>
          <w:tab w:val="num" w:pos="1275"/>
        </w:tabs>
        <w:ind w:left="1275" w:hanging="425"/>
      </w:pPr>
      <w:rPr>
        <w:rFonts w:ascii="Gotham Book" w:hAnsi="Gotham Book" w:hint="default"/>
        <w:b w:val="0"/>
        <w:i w:val="0"/>
        <w:color w:val="22D3C5"/>
        <w:sz w:val="20"/>
      </w:rPr>
    </w:lvl>
    <w:lvl w:ilvl="3">
      <w:start w:val="1"/>
      <w:numFmt w:val="upperLetter"/>
      <w:pStyle w:val="ListNumber4"/>
      <w:lvlText w:val="%4."/>
      <w:lvlJc w:val="left"/>
      <w:pPr>
        <w:tabs>
          <w:tab w:val="num" w:pos="1700"/>
        </w:tabs>
        <w:ind w:left="1700" w:hanging="425"/>
      </w:pPr>
      <w:rPr>
        <w:rFonts w:ascii="Gotham Book" w:hAnsi="Gotham Book" w:hint="default"/>
        <w:b w:val="0"/>
        <w:i w:val="0"/>
        <w:color w:val="22D3C5"/>
        <w:sz w:val="20"/>
      </w:rPr>
    </w:lvl>
    <w:lvl w:ilvl="4">
      <w:start w:val="1"/>
      <w:numFmt w:val="upperRoman"/>
      <w:pStyle w:val="ListNumber5"/>
      <w:lvlText w:val="%5."/>
      <w:lvlJc w:val="left"/>
      <w:pPr>
        <w:tabs>
          <w:tab w:val="num" w:pos="2125"/>
        </w:tabs>
        <w:ind w:left="2125" w:hanging="425"/>
      </w:pPr>
      <w:rPr>
        <w:rFonts w:ascii="Gotham Book" w:hAnsi="Gotham Book" w:hint="default"/>
        <w:b w:val="0"/>
        <w:i w:val="0"/>
        <w:color w:val="22D3C5"/>
        <w:sz w:val="20"/>
      </w:rPr>
    </w:lvl>
    <w:lvl w:ilvl="5">
      <w:start w:val="1"/>
      <w:numFmt w:val="decimal"/>
      <w:pStyle w:val="ListNumber6"/>
      <w:lvlText w:val="%6."/>
      <w:lvlJc w:val="left"/>
      <w:pPr>
        <w:tabs>
          <w:tab w:val="num" w:pos="2550"/>
        </w:tabs>
        <w:ind w:left="2550" w:hanging="425"/>
      </w:pPr>
      <w:rPr>
        <w:rFonts w:ascii="Gotham Book" w:hAnsi="Gotham Book" w:hint="default"/>
        <w:b w:val="0"/>
        <w:i w:val="0"/>
        <w:color w:val="22D3C5"/>
        <w:sz w:val="20"/>
      </w:rPr>
    </w:lvl>
    <w:lvl w:ilvl="6">
      <w:start w:val="1"/>
      <w:numFmt w:val="none"/>
      <w:suff w:val="nothing"/>
      <w:lvlText w:val="%7"/>
      <w:lvlJc w:val="left"/>
      <w:pPr>
        <w:ind w:left="2975" w:hanging="425"/>
      </w:pPr>
      <w:rPr>
        <w:rFonts w:hint="default"/>
        <w:color w:val="E1001A"/>
      </w:rPr>
    </w:lvl>
    <w:lvl w:ilvl="7">
      <w:start w:val="1"/>
      <w:numFmt w:val="none"/>
      <w:suff w:val="nothing"/>
      <w:lvlText w:val="%8"/>
      <w:lvlJc w:val="left"/>
      <w:pPr>
        <w:ind w:left="3400" w:hanging="425"/>
      </w:pPr>
      <w:rPr>
        <w:rFonts w:hint="default"/>
        <w:color w:val="E1001A"/>
        <w:sz w:val="20"/>
      </w:rPr>
    </w:lvl>
    <w:lvl w:ilvl="8">
      <w:start w:val="1"/>
      <w:numFmt w:val="none"/>
      <w:suff w:val="nothing"/>
      <w:lvlText w:val="%9"/>
      <w:lvlJc w:val="left"/>
      <w:pPr>
        <w:ind w:left="3825" w:hanging="425"/>
      </w:pPr>
      <w:rPr>
        <w:rFonts w:hint="default"/>
        <w:color w:val="E1001A"/>
      </w:rPr>
    </w:lvl>
  </w:abstractNum>
  <w:abstractNum w:abstractNumId="7" w15:restartNumberingAfterBreak="0">
    <w:nsid w:val="353912ED"/>
    <w:multiLevelType w:val="multilevel"/>
    <w:tmpl w:val="D2F0CB50"/>
    <w:styleLink w:val="ListBullet"/>
    <w:lvl w:ilvl="0">
      <w:start w:val="1"/>
      <w:numFmt w:val="bullet"/>
      <w:pStyle w:val="ListBullet0"/>
      <w:lvlText w:val="»"/>
      <w:lvlJc w:val="left"/>
      <w:pPr>
        <w:tabs>
          <w:tab w:val="num" w:pos="425"/>
        </w:tabs>
        <w:ind w:left="425" w:hanging="425"/>
      </w:pPr>
      <w:rPr>
        <w:rFonts w:ascii="Gotham Book" w:hAnsi="Gotham Book" w:hint="default"/>
        <w:b w:val="0"/>
        <w:i w:val="0"/>
        <w:color w:val="22D3C5"/>
        <w:sz w:val="20"/>
        <w:szCs w:val="20"/>
      </w:rPr>
    </w:lvl>
    <w:lvl w:ilvl="1">
      <w:start w:val="1"/>
      <w:numFmt w:val="bullet"/>
      <w:pStyle w:val="ListBullet2"/>
      <w:lvlText w:val="–"/>
      <w:lvlJc w:val="left"/>
      <w:pPr>
        <w:tabs>
          <w:tab w:val="num" w:pos="850"/>
        </w:tabs>
        <w:ind w:left="850" w:hanging="425"/>
      </w:pPr>
      <w:rPr>
        <w:rFonts w:ascii="Gotham Book" w:hAnsi="Gotham Book" w:hint="default"/>
        <w:caps w:val="0"/>
        <w:strike w:val="0"/>
        <w:dstrike w:val="0"/>
        <w:vanish w:val="0"/>
        <w:color w:val="22D3C5"/>
        <w:sz w:val="20"/>
        <w:u w:val="none"/>
        <w:vertAlign w:val="baseline"/>
      </w:rPr>
    </w:lvl>
    <w:lvl w:ilvl="2">
      <w:start w:val="1"/>
      <w:numFmt w:val="bullet"/>
      <w:pStyle w:val="ListBullet3"/>
      <w:lvlText w:val="»"/>
      <w:lvlJc w:val="left"/>
      <w:pPr>
        <w:tabs>
          <w:tab w:val="num" w:pos="1275"/>
        </w:tabs>
        <w:ind w:left="1275" w:hanging="425"/>
      </w:pPr>
      <w:rPr>
        <w:rFonts w:ascii="Gotham Book" w:hAnsi="Gotham Book" w:hint="default"/>
        <w:color w:val="22D3C5"/>
        <w:sz w:val="20"/>
      </w:rPr>
    </w:lvl>
    <w:lvl w:ilvl="3">
      <w:start w:val="1"/>
      <w:numFmt w:val="bullet"/>
      <w:pStyle w:val="ListBullet4"/>
      <w:lvlText w:val="–"/>
      <w:lvlJc w:val="left"/>
      <w:pPr>
        <w:tabs>
          <w:tab w:val="num" w:pos="1700"/>
        </w:tabs>
        <w:ind w:left="1700" w:hanging="425"/>
      </w:pPr>
      <w:rPr>
        <w:rFonts w:ascii="Gotham Book" w:hAnsi="Gotham Book" w:hint="default"/>
        <w:caps w:val="0"/>
        <w:strike w:val="0"/>
        <w:dstrike w:val="0"/>
        <w:vanish w:val="0"/>
        <w:color w:val="22D3C5"/>
        <w:sz w:val="20"/>
        <w:u w:val="none"/>
        <w:vertAlign w:val="baseline"/>
      </w:rPr>
    </w:lvl>
    <w:lvl w:ilvl="4">
      <w:start w:val="1"/>
      <w:numFmt w:val="bullet"/>
      <w:pStyle w:val="ListBullet5"/>
      <w:lvlText w:val="»"/>
      <w:lvlJc w:val="left"/>
      <w:pPr>
        <w:tabs>
          <w:tab w:val="num" w:pos="2125"/>
        </w:tabs>
        <w:ind w:left="2125" w:hanging="425"/>
      </w:pPr>
      <w:rPr>
        <w:rFonts w:ascii="Gotham Book" w:hAnsi="Gotham Book" w:hint="default"/>
        <w:color w:val="22D3C5"/>
        <w:sz w:val="22"/>
      </w:rPr>
    </w:lvl>
    <w:lvl w:ilvl="5">
      <w:start w:val="1"/>
      <w:numFmt w:val="bullet"/>
      <w:pStyle w:val="ListBullet6"/>
      <w:lvlText w:val="–"/>
      <w:lvlJc w:val="left"/>
      <w:pPr>
        <w:tabs>
          <w:tab w:val="num" w:pos="2550"/>
        </w:tabs>
        <w:ind w:left="2550" w:hanging="425"/>
      </w:pPr>
      <w:rPr>
        <w:rFonts w:ascii="Gotham Book" w:hAnsi="Gotham Book" w:cs="Times New Roman" w:hint="default"/>
        <w:caps w:val="0"/>
        <w:strike w:val="0"/>
        <w:dstrike w:val="0"/>
        <w:vanish w:val="0"/>
        <w:color w:val="22D3C5"/>
        <w:sz w:val="20"/>
        <w:u w:val="none"/>
        <w:vertAlign w:val="baseline"/>
      </w:rPr>
    </w:lvl>
    <w:lvl w:ilvl="6">
      <w:start w:val="1"/>
      <w:numFmt w:val="none"/>
      <w:suff w:val="nothing"/>
      <w:lvlText w:val=""/>
      <w:lvlJc w:val="left"/>
      <w:pPr>
        <w:ind w:left="2975" w:hanging="425"/>
      </w:pPr>
      <w:rPr>
        <w:rFonts w:hint="default"/>
        <w:color w:val="auto"/>
        <w:sz w:val="20"/>
      </w:rPr>
    </w:lvl>
    <w:lvl w:ilvl="7">
      <w:start w:val="1"/>
      <w:numFmt w:val="none"/>
      <w:suff w:val="nothing"/>
      <w:lvlText w:val="%8"/>
      <w:lvlJc w:val="left"/>
      <w:pPr>
        <w:ind w:left="3400" w:hanging="425"/>
      </w:pPr>
      <w:rPr>
        <w:rFonts w:hint="default"/>
        <w:color w:val="000000"/>
        <w:sz w:val="20"/>
      </w:rPr>
    </w:lvl>
    <w:lvl w:ilvl="8">
      <w:start w:val="1"/>
      <w:numFmt w:val="none"/>
      <w:suff w:val="nothing"/>
      <w:lvlText w:val=""/>
      <w:lvlJc w:val="left"/>
      <w:pPr>
        <w:ind w:left="3825" w:hanging="425"/>
      </w:pPr>
      <w:rPr>
        <w:rFonts w:hint="default"/>
      </w:rPr>
    </w:lvl>
  </w:abstractNum>
  <w:abstractNum w:abstractNumId="8" w15:restartNumberingAfterBreak="0">
    <w:nsid w:val="40071FAE"/>
    <w:multiLevelType w:val="multilevel"/>
    <w:tmpl w:val="9D625AA6"/>
    <w:styleLink w:val="ListNumberedHeadings"/>
    <w:lvl w:ilvl="0">
      <w:start w:val="1"/>
      <w:numFmt w:val="decimal"/>
      <w:pStyle w:val="AltHeading1"/>
      <w:lvlText w:val="%1"/>
      <w:lvlJc w:val="left"/>
      <w:pPr>
        <w:tabs>
          <w:tab w:val="num" w:pos="1134"/>
        </w:tabs>
        <w:ind w:left="1134" w:hanging="1134"/>
      </w:pPr>
      <w:rPr>
        <w:rFonts w:ascii="Gotham Medium" w:hAnsi="Gotham Medium" w:hint="default"/>
        <w:color w:val="060E9F"/>
        <w:sz w:val="32"/>
      </w:rPr>
    </w:lvl>
    <w:lvl w:ilvl="1">
      <w:start w:val="1"/>
      <w:numFmt w:val="decimal"/>
      <w:pStyle w:val="AltHeading2"/>
      <w:lvlText w:val="%1.%2"/>
      <w:lvlJc w:val="left"/>
      <w:pPr>
        <w:tabs>
          <w:tab w:val="num" w:pos="1134"/>
        </w:tabs>
        <w:ind w:left="1134" w:hanging="1134"/>
      </w:pPr>
      <w:rPr>
        <w:rFonts w:ascii="Gotham Medium" w:hAnsi="Gotham Medium" w:hint="default"/>
        <w:color w:val="22D3C5"/>
        <w:sz w:val="28"/>
      </w:rPr>
    </w:lvl>
    <w:lvl w:ilvl="2">
      <w:start w:val="1"/>
      <w:numFmt w:val="decimal"/>
      <w:pStyle w:val="AltHeading3"/>
      <w:lvlText w:val="%1.%2.%3"/>
      <w:lvlJc w:val="left"/>
      <w:pPr>
        <w:tabs>
          <w:tab w:val="num" w:pos="1134"/>
        </w:tabs>
        <w:ind w:left="1134" w:hanging="1134"/>
      </w:pPr>
      <w:rPr>
        <w:rFonts w:ascii="Gotham Medium" w:hAnsi="Gotham Medium" w:hint="default"/>
        <w:color w:val="000000"/>
      </w:rPr>
    </w:lvl>
    <w:lvl w:ilvl="3">
      <w:start w:val="1"/>
      <w:numFmt w:val="decimal"/>
      <w:pStyle w:val="AltHeading4"/>
      <w:lvlText w:val="%1.%2.%3.%4"/>
      <w:lvlJc w:val="left"/>
      <w:pPr>
        <w:tabs>
          <w:tab w:val="num" w:pos="1134"/>
        </w:tabs>
        <w:ind w:left="1134" w:hanging="1134"/>
      </w:pPr>
      <w:rPr>
        <w:rFonts w:ascii="Gotham Medium" w:hAnsi="Gotham Medium" w:hint="default"/>
        <w:i w:val="0"/>
        <w:color w:val="333333"/>
        <w:sz w:val="20"/>
      </w:rPr>
    </w:lvl>
    <w:lvl w:ilvl="4">
      <w:start w:val="1"/>
      <w:numFmt w:val="decimal"/>
      <w:pStyle w:val="AltHeading5"/>
      <w:lvlText w:val="%1.%2.%3.%4.%5"/>
      <w:lvlJc w:val="left"/>
      <w:pPr>
        <w:tabs>
          <w:tab w:val="num" w:pos="1134"/>
        </w:tabs>
        <w:ind w:left="1134" w:hanging="1134"/>
      </w:pPr>
      <w:rPr>
        <w:rFonts w:ascii="Gotham Book" w:hAnsi="Gotham Book" w:hint="default"/>
        <w:color w:val="auto"/>
        <w:sz w:val="22"/>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9" w15:restartNumberingAfterBreak="0">
    <w:nsid w:val="40DD14E8"/>
    <w:multiLevelType w:val="hybridMultilevel"/>
    <w:tmpl w:val="6E6A5CC2"/>
    <w:lvl w:ilvl="0" w:tplc="04090001">
      <w:start w:val="1"/>
      <w:numFmt w:val="bullet"/>
      <w:lvlText w:val=""/>
      <w:lvlJc w:val="left"/>
      <w:pPr>
        <w:ind w:left="764" w:hanging="360"/>
      </w:pPr>
      <w:rPr>
        <w:rFonts w:ascii="Symbol" w:hAnsi="Symbol" w:hint="default"/>
      </w:rPr>
    </w:lvl>
    <w:lvl w:ilvl="1" w:tplc="04090003" w:tentative="1">
      <w:start w:val="1"/>
      <w:numFmt w:val="bullet"/>
      <w:lvlText w:val="o"/>
      <w:lvlJc w:val="left"/>
      <w:pPr>
        <w:ind w:left="1484" w:hanging="360"/>
      </w:pPr>
      <w:rPr>
        <w:rFonts w:ascii="Courier New" w:hAnsi="Courier New" w:cs="Courier New" w:hint="default"/>
      </w:rPr>
    </w:lvl>
    <w:lvl w:ilvl="2" w:tplc="04090005" w:tentative="1">
      <w:start w:val="1"/>
      <w:numFmt w:val="bullet"/>
      <w:lvlText w:val=""/>
      <w:lvlJc w:val="left"/>
      <w:pPr>
        <w:ind w:left="2204" w:hanging="360"/>
      </w:pPr>
      <w:rPr>
        <w:rFonts w:ascii="Wingdings" w:hAnsi="Wingdings" w:hint="default"/>
      </w:rPr>
    </w:lvl>
    <w:lvl w:ilvl="3" w:tplc="04090001" w:tentative="1">
      <w:start w:val="1"/>
      <w:numFmt w:val="bullet"/>
      <w:lvlText w:val=""/>
      <w:lvlJc w:val="left"/>
      <w:pPr>
        <w:ind w:left="2924" w:hanging="360"/>
      </w:pPr>
      <w:rPr>
        <w:rFonts w:ascii="Symbol" w:hAnsi="Symbol" w:hint="default"/>
      </w:rPr>
    </w:lvl>
    <w:lvl w:ilvl="4" w:tplc="04090003" w:tentative="1">
      <w:start w:val="1"/>
      <w:numFmt w:val="bullet"/>
      <w:lvlText w:val="o"/>
      <w:lvlJc w:val="left"/>
      <w:pPr>
        <w:ind w:left="3644" w:hanging="360"/>
      </w:pPr>
      <w:rPr>
        <w:rFonts w:ascii="Courier New" w:hAnsi="Courier New" w:cs="Courier New" w:hint="default"/>
      </w:rPr>
    </w:lvl>
    <w:lvl w:ilvl="5" w:tplc="04090005" w:tentative="1">
      <w:start w:val="1"/>
      <w:numFmt w:val="bullet"/>
      <w:lvlText w:val=""/>
      <w:lvlJc w:val="left"/>
      <w:pPr>
        <w:ind w:left="4364" w:hanging="360"/>
      </w:pPr>
      <w:rPr>
        <w:rFonts w:ascii="Wingdings" w:hAnsi="Wingdings" w:hint="default"/>
      </w:rPr>
    </w:lvl>
    <w:lvl w:ilvl="6" w:tplc="04090001" w:tentative="1">
      <w:start w:val="1"/>
      <w:numFmt w:val="bullet"/>
      <w:lvlText w:val=""/>
      <w:lvlJc w:val="left"/>
      <w:pPr>
        <w:ind w:left="5084" w:hanging="360"/>
      </w:pPr>
      <w:rPr>
        <w:rFonts w:ascii="Symbol" w:hAnsi="Symbol" w:hint="default"/>
      </w:rPr>
    </w:lvl>
    <w:lvl w:ilvl="7" w:tplc="04090003" w:tentative="1">
      <w:start w:val="1"/>
      <w:numFmt w:val="bullet"/>
      <w:lvlText w:val="o"/>
      <w:lvlJc w:val="left"/>
      <w:pPr>
        <w:ind w:left="5804" w:hanging="360"/>
      </w:pPr>
      <w:rPr>
        <w:rFonts w:ascii="Courier New" w:hAnsi="Courier New" w:cs="Courier New" w:hint="default"/>
      </w:rPr>
    </w:lvl>
    <w:lvl w:ilvl="8" w:tplc="04090005" w:tentative="1">
      <w:start w:val="1"/>
      <w:numFmt w:val="bullet"/>
      <w:lvlText w:val=""/>
      <w:lvlJc w:val="left"/>
      <w:pPr>
        <w:ind w:left="6524" w:hanging="360"/>
      </w:pPr>
      <w:rPr>
        <w:rFonts w:ascii="Wingdings" w:hAnsi="Wingdings" w:hint="default"/>
      </w:rPr>
    </w:lvl>
  </w:abstractNum>
  <w:abstractNum w:abstractNumId="10" w15:restartNumberingAfterBreak="0">
    <w:nsid w:val="425E45C2"/>
    <w:multiLevelType w:val="multilevel"/>
    <w:tmpl w:val="736ECFBA"/>
    <w:numStyleLink w:val="ListTableNumber"/>
  </w:abstractNum>
  <w:abstractNum w:abstractNumId="11" w15:restartNumberingAfterBreak="0">
    <w:nsid w:val="470728A5"/>
    <w:multiLevelType w:val="hybridMultilevel"/>
    <w:tmpl w:val="08D88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6C5180"/>
    <w:multiLevelType w:val="multilevel"/>
    <w:tmpl w:val="F78A1DCA"/>
    <w:numStyleLink w:val="ListTableBullet"/>
  </w:abstractNum>
  <w:abstractNum w:abstractNumId="13" w15:restartNumberingAfterBreak="0">
    <w:nsid w:val="4AE900BC"/>
    <w:multiLevelType w:val="multilevel"/>
    <w:tmpl w:val="736ECFBA"/>
    <w:numStyleLink w:val="ListTableNumber"/>
  </w:abstractNum>
  <w:abstractNum w:abstractNumId="14" w15:restartNumberingAfterBreak="0">
    <w:nsid w:val="54D0026B"/>
    <w:multiLevelType w:val="hybridMultilevel"/>
    <w:tmpl w:val="0786E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1B4441"/>
    <w:multiLevelType w:val="multilevel"/>
    <w:tmpl w:val="F78A1DCA"/>
    <w:numStyleLink w:val="ListTableBullet"/>
  </w:abstractNum>
  <w:abstractNum w:abstractNumId="16" w15:restartNumberingAfterBreak="0">
    <w:nsid w:val="5B133397"/>
    <w:multiLevelType w:val="multilevel"/>
    <w:tmpl w:val="D2F0CB50"/>
    <w:numStyleLink w:val="ListBullet"/>
  </w:abstractNum>
  <w:abstractNum w:abstractNumId="17" w15:restartNumberingAfterBreak="0">
    <w:nsid w:val="626E5373"/>
    <w:multiLevelType w:val="multilevel"/>
    <w:tmpl w:val="736ECFBA"/>
    <w:styleLink w:val="ListTableNumber"/>
    <w:lvl w:ilvl="0">
      <w:start w:val="1"/>
      <w:numFmt w:val="decimal"/>
      <w:pStyle w:val="TableNumber"/>
      <w:lvlText w:val="%1."/>
      <w:lvlJc w:val="left"/>
      <w:pPr>
        <w:tabs>
          <w:tab w:val="num" w:pos="397"/>
        </w:tabs>
        <w:ind w:left="397" w:hanging="284"/>
      </w:pPr>
      <w:rPr>
        <w:rFonts w:ascii="Gotham Book" w:hAnsi="Gotham Book" w:hint="default"/>
        <w:b w:val="0"/>
        <w:i w:val="0"/>
        <w:color w:val="333333"/>
        <w:sz w:val="20"/>
        <w:szCs w:val="21"/>
      </w:rPr>
    </w:lvl>
    <w:lvl w:ilvl="1">
      <w:start w:val="1"/>
      <w:numFmt w:val="lowerLetter"/>
      <w:pStyle w:val="TableNumber2"/>
      <w:lvlText w:val="%2."/>
      <w:lvlJc w:val="left"/>
      <w:pPr>
        <w:tabs>
          <w:tab w:val="num" w:pos="680"/>
        </w:tabs>
        <w:ind w:left="680" w:hanging="283"/>
      </w:pPr>
      <w:rPr>
        <w:rFonts w:ascii="Gotham Book" w:hAnsi="Gotham Book" w:hint="default"/>
        <w:b w:val="0"/>
        <w:i w:val="0"/>
        <w:color w:val="333333"/>
        <w:sz w:val="20"/>
        <w:szCs w:val="21"/>
      </w:rPr>
    </w:lvl>
    <w:lvl w:ilvl="2">
      <w:start w:val="1"/>
      <w:numFmt w:val="none"/>
      <w:lvlText w:val=""/>
      <w:lvlJc w:val="left"/>
      <w:pPr>
        <w:tabs>
          <w:tab w:val="num" w:pos="0"/>
        </w:tabs>
        <w:ind w:left="0" w:firstLine="0"/>
      </w:pPr>
      <w:rPr>
        <w:rFonts w:ascii="Arial" w:hAnsi="Arial" w:hint="default"/>
        <w:b w:val="0"/>
        <w:i w:val="0"/>
        <w:sz w:val="18"/>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ascii="Arial" w:hAnsi="Arial" w:hint="default"/>
        <w:b w:val="0"/>
        <w:i w:val="0"/>
        <w:sz w:val="18"/>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8" w15:restartNumberingAfterBreak="0">
    <w:nsid w:val="6BD35B87"/>
    <w:multiLevelType w:val="multilevel"/>
    <w:tmpl w:val="E15AD974"/>
    <w:numStyleLink w:val="ListNumber"/>
  </w:abstractNum>
  <w:abstractNum w:abstractNumId="19" w15:restartNumberingAfterBreak="0">
    <w:nsid w:val="6BE92B4C"/>
    <w:multiLevelType w:val="hybridMultilevel"/>
    <w:tmpl w:val="763E9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9073AF"/>
    <w:multiLevelType w:val="hybridMultilevel"/>
    <w:tmpl w:val="E988A122"/>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8"/>
  </w:num>
  <w:num w:numId="5">
    <w:abstractNumId w:val="0"/>
  </w:num>
  <w:num w:numId="6">
    <w:abstractNumId w:val="4"/>
  </w:num>
  <w:num w:numId="7">
    <w:abstractNumId w:val="17"/>
  </w:num>
  <w:num w:numId="8">
    <w:abstractNumId w:val="15"/>
  </w:num>
  <w:num w:numId="9">
    <w:abstractNumId w:val="10"/>
  </w:num>
  <w:num w:numId="10">
    <w:abstractNumId w:val="18"/>
  </w:num>
  <w:num w:numId="11">
    <w:abstractNumId w:val="3"/>
  </w:num>
  <w:num w:numId="12">
    <w:abstractNumId w:val="16"/>
  </w:num>
  <w:num w:numId="13">
    <w:abstractNumId w:val="13"/>
  </w:num>
  <w:num w:numId="14">
    <w:abstractNumId w:val="12"/>
  </w:num>
  <w:num w:numId="15">
    <w:abstractNumId w:val="5"/>
  </w:num>
  <w:num w:numId="16">
    <w:abstractNumId w:val="5"/>
  </w:num>
  <w:num w:numId="17">
    <w:abstractNumId w:val="5"/>
  </w:num>
  <w:num w:numId="18">
    <w:abstractNumId w:val="5"/>
  </w:num>
  <w:num w:numId="19">
    <w:abstractNumId w:val="5"/>
  </w:num>
  <w:num w:numId="20">
    <w:abstractNumId w:val="8"/>
  </w:num>
  <w:num w:numId="21">
    <w:abstractNumId w:val="20"/>
  </w:num>
  <w:num w:numId="22">
    <w:abstractNumId w:val="9"/>
  </w:num>
  <w:num w:numId="23">
    <w:abstractNumId w:val="14"/>
  </w:num>
  <w:num w:numId="24">
    <w:abstractNumId w:val="11"/>
  </w:num>
  <w:num w:numId="25">
    <w:abstractNumId w:val="1"/>
  </w:num>
  <w:num w:numId="26">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0C4"/>
    <w:rsid w:val="00006100"/>
    <w:rsid w:val="00012C3A"/>
    <w:rsid w:val="00015144"/>
    <w:rsid w:val="00020E90"/>
    <w:rsid w:val="00027542"/>
    <w:rsid w:val="00030C16"/>
    <w:rsid w:val="000375FA"/>
    <w:rsid w:val="000427B8"/>
    <w:rsid w:val="00052658"/>
    <w:rsid w:val="0005446B"/>
    <w:rsid w:val="00061EA2"/>
    <w:rsid w:val="00062A81"/>
    <w:rsid w:val="00066C1F"/>
    <w:rsid w:val="00071C7D"/>
    <w:rsid w:val="00072C93"/>
    <w:rsid w:val="00072E81"/>
    <w:rsid w:val="000736AD"/>
    <w:rsid w:val="00076F97"/>
    <w:rsid w:val="00077FD0"/>
    <w:rsid w:val="000870BB"/>
    <w:rsid w:val="000871EA"/>
    <w:rsid w:val="00087D93"/>
    <w:rsid w:val="000968E5"/>
    <w:rsid w:val="000972B3"/>
    <w:rsid w:val="000A1ED0"/>
    <w:rsid w:val="000A3F92"/>
    <w:rsid w:val="000A77B9"/>
    <w:rsid w:val="000B3EBE"/>
    <w:rsid w:val="000B6FA1"/>
    <w:rsid w:val="000B7A42"/>
    <w:rsid w:val="000C027A"/>
    <w:rsid w:val="000C0C22"/>
    <w:rsid w:val="000C1D1E"/>
    <w:rsid w:val="000C397F"/>
    <w:rsid w:val="000D0DF8"/>
    <w:rsid w:val="000D5B25"/>
    <w:rsid w:val="000E58E1"/>
    <w:rsid w:val="000E7DBF"/>
    <w:rsid w:val="000F4A35"/>
    <w:rsid w:val="000F5DA7"/>
    <w:rsid w:val="000F77C4"/>
    <w:rsid w:val="0010001D"/>
    <w:rsid w:val="0010362A"/>
    <w:rsid w:val="00106100"/>
    <w:rsid w:val="001063C6"/>
    <w:rsid w:val="00107BAD"/>
    <w:rsid w:val="00110108"/>
    <w:rsid w:val="001158DE"/>
    <w:rsid w:val="00117ADB"/>
    <w:rsid w:val="00123346"/>
    <w:rsid w:val="001255E7"/>
    <w:rsid w:val="0013218E"/>
    <w:rsid w:val="001345C4"/>
    <w:rsid w:val="001354E7"/>
    <w:rsid w:val="00142D9D"/>
    <w:rsid w:val="00145CCD"/>
    <w:rsid w:val="001505D8"/>
    <w:rsid w:val="00150CB5"/>
    <w:rsid w:val="00154790"/>
    <w:rsid w:val="00156423"/>
    <w:rsid w:val="001566AA"/>
    <w:rsid w:val="00157F94"/>
    <w:rsid w:val="001600E5"/>
    <w:rsid w:val="00163E4A"/>
    <w:rsid w:val="001649F2"/>
    <w:rsid w:val="0017248A"/>
    <w:rsid w:val="0017667A"/>
    <w:rsid w:val="00177884"/>
    <w:rsid w:val="00181323"/>
    <w:rsid w:val="001829A7"/>
    <w:rsid w:val="00183F39"/>
    <w:rsid w:val="00184E8D"/>
    <w:rsid w:val="00185154"/>
    <w:rsid w:val="001858DB"/>
    <w:rsid w:val="001877CA"/>
    <w:rsid w:val="0019114D"/>
    <w:rsid w:val="00193685"/>
    <w:rsid w:val="00195335"/>
    <w:rsid w:val="001A114B"/>
    <w:rsid w:val="001A7A65"/>
    <w:rsid w:val="001B05AB"/>
    <w:rsid w:val="001B7EE9"/>
    <w:rsid w:val="001C5C47"/>
    <w:rsid w:val="001C645C"/>
    <w:rsid w:val="001C7A3F"/>
    <w:rsid w:val="001D29C5"/>
    <w:rsid w:val="001D4AB6"/>
    <w:rsid w:val="001E1C0F"/>
    <w:rsid w:val="001F16CA"/>
    <w:rsid w:val="001F495D"/>
    <w:rsid w:val="001F6CBE"/>
    <w:rsid w:val="0020030D"/>
    <w:rsid w:val="00202156"/>
    <w:rsid w:val="00203DDD"/>
    <w:rsid w:val="00203FE0"/>
    <w:rsid w:val="00206FED"/>
    <w:rsid w:val="002078C1"/>
    <w:rsid w:val="002106C4"/>
    <w:rsid w:val="00210DEF"/>
    <w:rsid w:val="00214E9E"/>
    <w:rsid w:val="00216869"/>
    <w:rsid w:val="00216D1C"/>
    <w:rsid w:val="002202AA"/>
    <w:rsid w:val="00220EBD"/>
    <w:rsid w:val="00222215"/>
    <w:rsid w:val="002275E5"/>
    <w:rsid w:val="00231AB1"/>
    <w:rsid w:val="00231FCC"/>
    <w:rsid w:val="0023510E"/>
    <w:rsid w:val="002372AB"/>
    <w:rsid w:val="00240B38"/>
    <w:rsid w:val="002453B9"/>
    <w:rsid w:val="00247F10"/>
    <w:rsid w:val="00251193"/>
    <w:rsid w:val="0025119D"/>
    <w:rsid w:val="00252201"/>
    <w:rsid w:val="00254DD8"/>
    <w:rsid w:val="002600C4"/>
    <w:rsid w:val="00262EBD"/>
    <w:rsid w:val="0026670C"/>
    <w:rsid w:val="00273F97"/>
    <w:rsid w:val="00280A42"/>
    <w:rsid w:val="002823A6"/>
    <w:rsid w:val="00284084"/>
    <w:rsid w:val="002861F3"/>
    <w:rsid w:val="002876FD"/>
    <w:rsid w:val="002877D7"/>
    <w:rsid w:val="00292376"/>
    <w:rsid w:val="00295C17"/>
    <w:rsid w:val="002A13C3"/>
    <w:rsid w:val="002A4EB1"/>
    <w:rsid w:val="002B4003"/>
    <w:rsid w:val="002C5B1C"/>
    <w:rsid w:val="002D4254"/>
    <w:rsid w:val="002D4E6E"/>
    <w:rsid w:val="002E0108"/>
    <w:rsid w:val="002F4587"/>
    <w:rsid w:val="002F4862"/>
    <w:rsid w:val="00301893"/>
    <w:rsid w:val="003055DD"/>
    <w:rsid w:val="00311F84"/>
    <w:rsid w:val="00315607"/>
    <w:rsid w:val="00315E10"/>
    <w:rsid w:val="00324243"/>
    <w:rsid w:val="0033370C"/>
    <w:rsid w:val="00337456"/>
    <w:rsid w:val="003411DD"/>
    <w:rsid w:val="003420C3"/>
    <w:rsid w:val="00355984"/>
    <w:rsid w:val="003610A8"/>
    <w:rsid w:val="00367714"/>
    <w:rsid w:val="003726E1"/>
    <w:rsid w:val="0037398C"/>
    <w:rsid w:val="00373BFF"/>
    <w:rsid w:val="0037618F"/>
    <w:rsid w:val="003774E6"/>
    <w:rsid w:val="0038322C"/>
    <w:rsid w:val="003838C4"/>
    <w:rsid w:val="003853C1"/>
    <w:rsid w:val="003A028D"/>
    <w:rsid w:val="003A04C1"/>
    <w:rsid w:val="003A08A5"/>
    <w:rsid w:val="003A21E9"/>
    <w:rsid w:val="003A42ED"/>
    <w:rsid w:val="003A46B7"/>
    <w:rsid w:val="003A47A4"/>
    <w:rsid w:val="003B0945"/>
    <w:rsid w:val="003B097F"/>
    <w:rsid w:val="003B4DCF"/>
    <w:rsid w:val="003B5D49"/>
    <w:rsid w:val="003C6B58"/>
    <w:rsid w:val="003C7AD0"/>
    <w:rsid w:val="003D3B71"/>
    <w:rsid w:val="003D564A"/>
    <w:rsid w:val="003D56AF"/>
    <w:rsid w:val="003E1EF3"/>
    <w:rsid w:val="003E5319"/>
    <w:rsid w:val="003E6B09"/>
    <w:rsid w:val="003F33F1"/>
    <w:rsid w:val="003F3704"/>
    <w:rsid w:val="003F58A4"/>
    <w:rsid w:val="004005F4"/>
    <w:rsid w:val="00403C65"/>
    <w:rsid w:val="00404615"/>
    <w:rsid w:val="00406157"/>
    <w:rsid w:val="00406DF6"/>
    <w:rsid w:val="00407776"/>
    <w:rsid w:val="00407A11"/>
    <w:rsid w:val="00412745"/>
    <w:rsid w:val="00423F3C"/>
    <w:rsid w:val="00427353"/>
    <w:rsid w:val="0043293C"/>
    <w:rsid w:val="0043564D"/>
    <w:rsid w:val="0043628A"/>
    <w:rsid w:val="00444AE6"/>
    <w:rsid w:val="00444FE4"/>
    <w:rsid w:val="004478FD"/>
    <w:rsid w:val="00451DCC"/>
    <w:rsid w:val="0045360A"/>
    <w:rsid w:val="00456BE5"/>
    <w:rsid w:val="0046597B"/>
    <w:rsid w:val="004700B3"/>
    <w:rsid w:val="00476147"/>
    <w:rsid w:val="00482DC5"/>
    <w:rsid w:val="00487CBF"/>
    <w:rsid w:val="00491973"/>
    <w:rsid w:val="00491C59"/>
    <w:rsid w:val="0049368E"/>
    <w:rsid w:val="00493765"/>
    <w:rsid w:val="00497A85"/>
    <w:rsid w:val="004A14BF"/>
    <w:rsid w:val="004A1806"/>
    <w:rsid w:val="004A3D77"/>
    <w:rsid w:val="004A7E06"/>
    <w:rsid w:val="004B1F04"/>
    <w:rsid w:val="004B2B73"/>
    <w:rsid w:val="004B7DAE"/>
    <w:rsid w:val="004C2C75"/>
    <w:rsid w:val="004C31EC"/>
    <w:rsid w:val="004C6BE4"/>
    <w:rsid w:val="004D1754"/>
    <w:rsid w:val="004D67D7"/>
    <w:rsid w:val="004E2402"/>
    <w:rsid w:val="004E7089"/>
    <w:rsid w:val="004E79A4"/>
    <w:rsid w:val="004F2A3C"/>
    <w:rsid w:val="004F3D6F"/>
    <w:rsid w:val="005001EE"/>
    <w:rsid w:val="00501D6F"/>
    <w:rsid w:val="00504B58"/>
    <w:rsid w:val="00507788"/>
    <w:rsid w:val="0051056D"/>
    <w:rsid w:val="00514C3D"/>
    <w:rsid w:val="00515715"/>
    <w:rsid w:val="005157D1"/>
    <w:rsid w:val="005331C9"/>
    <w:rsid w:val="005400B1"/>
    <w:rsid w:val="00543AC0"/>
    <w:rsid w:val="005469F1"/>
    <w:rsid w:val="0055219D"/>
    <w:rsid w:val="0055353F"/>
    <w:rsid w:val="0055475B"/>
    <w:rsid w:val="00555BE6"/>
    <w:rsid w:val="005649B5"/>
    <w:rsid w:val="0056633F"/>
    <w:rsid w:val="00567FC4"/>
    <w:rsid w:val="005709FC"/>
    <w:rsid w:val="005713E5"/>
    <w:rsid w:val="005715A4"/>
    <w:rsid w:val="005979C8"/>
    <w:rsid w:val="005A2DB4"/>
    <w:rsid w:val="005A411A"/>
    <w:rsid w:val="005A4155"/>
    <w:rsid w:val="005A435A"/>
    <w:rsid w:val="005A668F"/>
    <w:rsid w:val="005A6F5A"/>
    <w:rsid w:val="005B0C40"/>
    <w:rsid w:val="005C176C"/>
    <w:rsid w:val="005C2310"/>
    <w:rsid w:val="005D620B"/>
    <w:rsid w:val="005E2344"/>
    <w:rsid w:val="005E259B"/>
    <w:rsid w:val="005E2E87"/>
    <w:rsid w:val="005E65FF"/>
    <w:rsid w:val="005F1D4F"/>
    <w:rsid w:val="005F3611"/>
    <w:rsid w:val="005F3BBF"/>
    <w:rsid w:val="005F3D26"/>
    <w:rsid w:val="00600074"/>
    <w:rsid w:val="00600876"/>
    <w:rsid w:val="006025ED"/>
    <w:rsid w:val="00603106"/>
    <w:rsid w:val="006045FB"/>
    <w:rsid w:val="00605F42"/>
    <w:rsid w:val="006100AD"/>
    <w:rsid w:val="0061089F"/>
    <w:rsid w:val="00610A5B"/>
    <w:rsid w:val="00611107"/>
    <w:rsid w:val="00616A87"/>
    <w:rsid w:val="00620008"/>
    <w:rsid w:val="006204A5"/>
    <w:rsid w:val="00625813"/>
    <w:rsid w:val="00630645"/>
    <w:rsid w:val="00633235"/>
    <w:rsid w:val="00642309"/>
    <w:rsid w:val="00642702"/>
    <w:rsid w:val="00643BDC"/>
    <w:rsid w:val="0064538B"/>
    <w:rsid w:val="00650D6C"/>
    <w:rsid w:val="0065325A"/>
    <w:rsid w:val="00655149"/>
    <w:rsid w:val="006569E4"/>
    <w:rsid w:val="0065725E"/>
    <w:rsid w:val="0066080C"/>
    <w:rsid w:val="00663B9B"/>
    <w:rsid w:val="00674316"/>
    <w:rsid w:val="00680E29"/>
    <w:rsid w:val="00683431"/>
    <w:rsid w:val="00684E74"/>
    <w:rsid w:val="006864AF"/>
    <w:rsid w:val="00694F44"/>
    <w:rsid w:val="006A177A"/>
    <w:rsid w:val="006A1801"/>
    <w:rsid w:val="006A1EAA"/>
    <w:rsid w:val="006A2B56"/>
    <w:rsid w:val="006A4750"/>
    <w:rsid w:val="006B24D4"/>
    <w:rsid w:val="006B3928"/>
    <w:rsid w:val="006B7090"/>
    <w:rsid w:val="006B764B"/>
    <w:rsid w:val="006C1D11"/>
    <w:rsid w:val="006C7902"/>
    <w:rsid w:val="006D06CB"/>
    <w:rsid w:val="006D13E4"/>
    <w:rsid w:val="006D22C5"/>
    <w:rsid w:val="006D341F"/>
    <w:rsid w:val="006D3EEE"/>
    <w:rsid w:val="006D597E"/>
    <w:rsid w:val="006D59A6"/>
    <w:rsid w:val="006D7655"/>
    <w:rsid w:val="006F31E6"/>
    <w:rsid w:val="00700330"/>
    <w:rsid w:val="00701235"/>
    <w:rsid w:val="00704F74"/>
    <w:rsid w:val="00706D06"/>
    <w:rsid w:val="007134F9"/>
    <w:rsid w:val="00713900"/>
    <w:rsid w:val="00724364"/>
    <w:rsid w:val="00724F5B"/>
    <w:rsid w:val="00725548"/>
    <w:rsid w:val="00725F32"/>
    <w:rsid w:val="00732F69"/>
    <w:rsid w:val="007343DF"/>
    <w:rsid w:val="007345B6"/>
    <w:rsid w:val="007348D7"/>
    <w:rsid w:val="007417CD"/>
    <w:rsid w:val="00742F25"/>
    <w:rsid w:val="00745EE2"/>
    <w:rsid w:val="007466B7"/>
    <w:rsid w:val="00755879"/>
    <w:rsid w:val="00770BF1"/>
    <w:rsid w:val="0077189B"/>
    <w:rsid w:val="00773201"/>
    <w:rsid w:val="00774291"/>
    <w:rsid w:val="00774E81"/>
    <w:rsid w:val="00776CF3"/>
    <w:rsid w:val="00783F4B"/>
    <w:rsid w:val="00787DD2"/>
    <w:rsid w:val="00794101"/>
    <w:rsid w:val="00797908"/>
    <w:rsid w:val="007A4A9C"/>
    <w:rsid w:val="007A5346"/>
    <w:rsid w:val="007A55F2"/>
    <w:rsid w:val="007B23B0"/>
    <w:rsid w:val="007B4FAA"/>
    <w:rsid w:val="007C43CF"/>
    <w:rsid w:val="007C5C46"/>
    <w:rsid w:val="007C70E2"/>
    <w:rsid w:val="007D1F62"/>
    <w:rsid w:val="007D35F0"/>
    <w:rsid w:val="007F6B75"/>
    <w:rsid w:val="008059F2"/>
    <w:rsid w:val="00806E64"/>
    <w:rsid w:val="0081009E"/>
    <w:rsid w:val="008157EC"/>
    <w:rsid w:val="00817032"/>
    <w:rsid w:val="00817D6F"/>
    <w:rsid w:val="00822503"/>
    <w:rsid w:val="00826E1F"/>
    <w:rsid w:val="00836A8C"/>
    <w:rsid w:val="00840332"/>
    <w:rsid w:val="008415AA"/>
    <w:rsid w:val="00845732"/>
    <w:rsid w:val="00855C3D"/>
    <w:rsid w:val="008572D9"/>
    <w:rsid w:val="008602A9"/>
    <w:rsid w:val="00861C30"/>
    <w:rsid w:val="00861E13"/>
    <w:rsid w:val="0086216C"/>
    <w:rsid w:val="008708DE"/>
    <w:rsid w:val="0087230D"/>
    <w:rsid w:val="00872A72"/>
    <w:rsid w:val="00873051"/>
    <w:rsid w:val="00873798"/>
    <w:rsid w:val="008747B6"/>
    <w:rsid w:val="00874A4A"/>
    <w:rsid w:val="008778FD"/>
    <w:rsid w:val="00884CB6"/>
    <w:rsid w:val="00885506"/>
    <w:rsid w:val="0088760E"/>
    <w:rsid w:val="00892496"/>
    <w:rsid w:val="008A425D"/>
    <w:rsid w:val="008A45CE"/>
    <w:rsid w:val="008A6F22"/>
    <w:rsid w:val="008A746A"/>
    <w:rsid w:val="008B4EDD"/>
    <w:rsid w:val="008B5D8F"/>
    <w:rsid w:val="008B7089"/>
    <w:rsid w:val="008C368B"/>
    <w:rsid w:val="008C38F0"/>
    <w:rsid w:val="008C54EF"/>
    <w:rsid w:val="008C60E6"/>
    <w:rsid w:val="008D6EE7"/>
    <w:rsid w:val="008D6EEB"/>
    <w:rsid w:val="008E0E3D"/>
    <w:rsid w:val="008E6088"/>
    <w:rsid w:val="008F2505"/>
    <w:rsid w:val="008F4E0B"/>
    <w:rsid w:val="00907866"/>
    <w:rsid w:val="0091531E"/>
    <w:rsid w:val="00915C7A"/>
    <w:rsid w:val="00916F6B"/>
    <w:rsid w:val="009205C4"/>
    <w:rsid w:val="00921015"/>
    <w:rsid w:val="00930502"/>
    <w:rsid w:val="00934829"/>
    <w:rsid w:val="00944272"/>
    <w:rsid w:val="009453E1"/>
    <w:rsid w:val="00946C19"/>
    <w:rsid w:val="00951238"/>
    <w:rsid w:val="00955D68"/>
    <w:rsid w:val="009571D7"/>
    <w:rsid w:val="009612B5"/>
    <w:rsid w:val="00966318"/>
    <w:rsid w:val="009756AD"/>
    <w:rsid w:val="00980A48"/>
    <w:rsid w:val="0098762D"/>
    <w:rsid w:val="0098764C"/>
    <w:rsid w:val="009A0450"/>
    <w:rsid w:val="009A199C"/>
    <w:rsid w:val="009A32CA"/>
    <w:rsid w:val="009A4646"/>
    <w:rsid w:val="009A6133"/>
    <w:rsid w:val="009B66EF"/>
    <w:rsid w:val="009B6F12"/>
    <w:rsid w:val="009C02DD"/>
    <w:rsid w:val="009C3535"/>
    <w:rsid w:val="009C743C"/>
    <w:rsid w:val="009D0DC9"/>
    <w:rsid w:val="009D4DB4"/>
    <w:rsid w:val="009E0155"/>
    <w:rsid w:val="009E3B01"/>
    <w:rsid w:val="009E46B1"/>
    <w:rsid w:val="009F2AC5"/>
    <w:rsid w:val="009F6CE7"/>
    <w:rsid w:val="00A07708"/>
    <w:rsid w:val="00A07960"/>
    <w:rsid w:val="00A12764"/>
    <w:rsid w:val="00A310D0"/>
    <w:rsid w:val="00A373EF"/>
    <w:rsid w:val="00A405A6"/>
    <w:rsid w:val="00A40625"/>
    <w:rsid w:val="00A41250"/>
    <w:rsid w:val="00A41D4E"/>
    <w:rsid w:val="00A43812"/>
    <w:rsid w:val="00A475EE"/>
    <w:rsid w:val="00A52A8F"/>
    <w:rsid w:val="00A61EDE"/>
    <w:rsid w:val="00A640FF"/>
    <w:rsid w:val="00A66B2A"/>
    <w:rsid w:val="00A74AD9"/>
    <w:rsid w:val="00A80C87"/>
    <w:rsid w:val="00A811DA"/>
    <w:rsid w:val="00A83B38"/>
    <w:rsid w:val="00A87A55"/>
    <w:rsid w:val="00AA0E18"/>
    <w:rsid w:val="00AA4DCA"/>
    <w:rsid w:val="00AA5FBD"/>
    <w:rsid w:val="00AA6010"/>
    <w:rsid w:val="00AB2C18"/>
    <w:rsid w:val="00AB5E9C"/>
    <w:rsid w:val="00AB738B"/>
    <w:rsid w:val="00AB746B"/>
    <w:rsid w:val="00AC0A71"/>
    <w:rsid w:val="00AC2515"/>
    <w:rsid w:val="00AC25B3"/>
    <w:rsid w:val="00AC545E"/>
    <w:rsid w:val="00AD049B"/>
    <w:rsid w:val="00AD2502"/>
    <w:rsid w:val="00AD62A7"/>
    <w:rsid w:val="00AD6EC2"/>
    <w:rsid w:val="00AE0643"/>
    <w:rsid w:val="00AE0DD5"/>
    <w:rsid w:val="00AE1401"/>
    <w:rsid w:val="00AE1E5C"/>
    <w:rsid w:val="00AE4C26"/>
    <w:rsid w:val="00AE5DBD"/>
    <w:rsid w:val="00AF2204"/>
    <w:rsid w:val="00AF24EF"/>
    <w:rsid w:val="00B012F3"/>
    <w:rsid w:val="00B05335"/>
    <w:rsid w:val="00B07E84"/>
    <w:rsid w:val="00B1273F"/>
    <w:rsid w:val="00B1281D"/>
    <w:rsid w:val="00B13549"/>
    <w:rsid w:val="00B225E5"/>
    <w:rsid w:val="00B22A3D"/>
    <w:rsid w:val="00B233EC"/>
    <w:rsid w:val="00B240F1"/>
    <w:rsid w:val="00B3796D"/>
    <w:rsid w:val="00B44892"/>
    <w:rsid w:val="00B47835"/>
    <w:rsid w:val="00B479E7"/>
    <w:rsid w:val="00B5222A"/>
    <w:rsid w:val="00B531BD"/>
    <w:rsid w:val="00B53493"/>
    <w:rsid w:val="00B55D18"/>
    <w:rsid w:val="00B56CC8"/>
    <w:rsid w:val="00B572FB"/>
    <w:rsid w:val="00B57BE2"/>
    <w:rsid w:val="00B6082D"/>
    <w:rsid w:val="00B65281"/>
    <w:rsid w:val="00B668FB"/>
    <w:rsid w:val="00B674EB"/>
    <w:rsid w:val="00B717AF"/>
    <w:rsid w:val="00B76B8E"/>
    <w:rsid w:val="00B8347A"/>
    <w:rsid w:val="00B85F49"/>
    <w:rsid w:val="00B865B0"/>
    <w:rsid w:val="00B96445"/>
    <w:rsid w:val="00BA31F2"/>
    <w:rsid w:val="00BA45AE"/>
    <w:rsid w:val="00BA4F4A"/>
    <w:rsid w:val="00BA66AD"/>
    <w:rsid w:val="00BB3946"/>
    <w:rsid w:val="00BB49AA"/>
    <w:rsid w:val="00BB49BE"/>
    <w:rsid w:val="00BC22CF"/>
    <w:rsid w:val="00BC2DD3"/>
    <w:rsid w:val="00BC67B1"/>
    <w:rsid w:val="00BC6B98"/>
    <w:rsid w:val="00BD0AAB"/>
    <w:rsid w:val="00BD19D2"/>
    <w:rsid w:val="00BD40FD"/>
    <w:rsid w:val="00BD7CF3"/>
    <w:rsid w:val="00BE16D4"/>
    <w:rsid w:val="00BF2C53"/>
    <w:rsid w:val="00BF3B3C"/>
    <w:rsid w:val="00BF3CFD"/>
    <w:rsid w:val="00C000C3"/>
    <w:rsid w:val="00C02E60"/>
    <w:rsid w:val="00C04777"/>
    <w:rsid w:val="00C04A96"/>
    <w:rsid w:val="00C07A42"/>
    <w:rsid w:val="00C10095"/>
    <w:rsid w:val="00C15225"/>
    <w:rsid w:val="00C23532"/>
    <w:rsid w:val="00C240FD"/>
    <w:rsid w:val="00C24374"/>
    <w:rsid w:val="00C2659D"/>
    <w:rsid w:val="00C266C3"/>
    <w:rsid w:val="00C302EF"/>
    <w:rsid w:val="00C4031B"/>
    <w:rsid w:val="00C40704"/>
    <w:rsid w:val="00C4109B"/>
    <w:rsid w:val="00C412BA"/>
    <w:rsid w:val="00C41402"/>
    <w:rsid w:val="00C45B0F"/>
    <w:rsid w:val="00C46A11"/>
    <w:rsid w:val="00C46AF1"/>
    <w:rsid w:val="00C52CEB"/>
    <w:rsid w:val="00C55720"/>
    <w:rsid w:val="00C5583D"/>
    <w:rsid w:val="00C62C5E"/>
    <w:rsid w:val="00C62EB5"/>
    <w:rsid w:val="00C6776F"/>
    <w:rsid w:val="00C74C53"/>
    <w:rsid w:val="00C92969"/>
    <w:rsid w:val="00C93176"/>
    <w:rsid w:val="00C95C21"/>
    <w:rsid w:val="00C96CF4"/>
    <w:rsid w:val="00C97431"/>
    <w:rsid w:val="00CA0B4C"/>
    <w:rsid w:val="00CA1DCD"/>
    <w:rsid w:val="00CA7DB9"/>
    <w:rsid w:val="00CB0265"/>
    <w:rsid w:val="00CB3ECD"/>
    <w:rsid w:val="00CB7D4B"/>
    <w:rsid w:val="00CC3918"/>
    <w:rsid w:val="00CC4C35"/>
    <w:rsid w:val="00CC7345"/>
    <w:rsid w:val="00CD0A2C"/>
    <w:rsid w:val="00CD3F42"/>
    <w:rsid w:val="00CD5B3E"/>
    <w:rsid w:val="00CE648D"/>
    <w:rsid w:val="00CF7CDF"/>
    <w:rsid w:val="00D075FC"/>
    <w:rsid w:val="00D10D0C"/>
    <w:rsid w:val="00D20DC6"/>
    <w:rsid w:val="00D21E16"/>
    <w:rsid w:val="00D22BD2"/>
    <w:rsid w:val="00D2307E"/>
    <w:rsid w:val="00D236BF"/>
    <w:rsid w:val="00D241D3"/>
    <w:rsid w:val="00D24EC3"/>
    <w:rsid w:val="00D253E1"/>
    <w:rsid w:val="00D27FA8"/>
    <w:rsid w:val="00D30141"/>
    <w:rsid w:val="00D32B2B"/>
    <w:rsid w:val="00D3554B"/>
    <w:rsid w:val="00D35E20"/>
    <w:rsid w:val="00D365D3"/>
    <w:rsid w:val="00D42F7B"/>
    <w:rsid w:val="00D46DAB"/>
    <w:rsid w:val="00D55089"/>
    <w:rsid w:val="00D65684"/>
    <w:rsid w:val="00D72531"/>
    <w:rsid w:val="00D747B3"/>
    <w:rsid w:val="00D748E6"/>
    <w:rsid w:val="00D80B11"/>
    <w:rsid w:val="00D8197E"/>
    <w:rsid w:val="00D912AA"/>
    <w:rsid w:val="00D955A4"/>
    <w:rsid w:val="00DA12DA"/>
    <w:rsid w:val="00DA3138"/>
    <w:rsid w:val="00DA42A7"/>
    <w:rsid w:val="00DA76FA"/>
    <w:rsid w:val="00DA7A32"/>
    <w:rsid w:val="00DB1CC4"/>
    <w:rsid w:val="00DB2B49"/>
    <w:rsid w:val="00DB352C"/>
    <w:rsid w:val="00DB7490"/>
    <w:rsid w:val="00DC129B"/>
    <w:rsid w:val="00DC28FE"/>
    <w:rsid w:val="00DC290C"/>
    <w:rsid w:val="00DC33B4"/>
    <w:rsid w:val="00DC6964"/>
    <w:rsid w:val="00DC6A1D"/>
    <w:rsid w:val="00DC73F6"/>
    <w:rsid w:val="00DD4656"/>
    <w:rsid w:val="00DD54B0"/>
    <w:rsid w:val="00DE55BF"/>
    <w:rsid w:val="00DF01DF"/>
    <w:rsid w:val="00E018FB"/>
    <w:rsid w:val="00E10D9D"/>
    <w:rsid w:val="00E11294"/>
    <w:rsid w:val="00E135C8"/>
    <w:rsid w:val="00E172D4"/>
    <w:rsid w:val="00E21DC0"/>
    <w:rsid w:val="00E22E9D"/>
    <w:rsid w:val="00E34BEC"/>
    <w:rsid w:val="00E40A48"/>
    <w:rsid w:val="00E62678"/>
    <w:rsid w:val="00E63962"/>
    <w:rsid w:val="00E655A3"/>
    <w:rsid w:val="00E6763B"/>
    <w:rsid w:val="00E7183E"/>
    <w:rsid w:val="00E803DD"/>
    <w:rsid w:val="00E80585"/>
    <w:rsid w:val="00E947B6"/>
    <w:rsid w:val="00EA36CB"/>
    <w:rsid w:val="00EA54FE"/>
    <w:rsid w:val="00EB2273"/>
    <w:rsid w:val="00EB58BD"/>
    <w:rsid w:val="00EC0FFC"/>
    <w:rsid w:val="00EC4F41"/>
    <w:rsid w:val="00EC590A"/>
    <w:rsid w:val="00ED17C2"/>
    <w:rsid w:val="00ED2A50"/>
    <w:rsid w:val="00ED2E33"/>
    <w:rsid w:val="00ED3024"/>
    <w:rsid w:val="00ED5ED1"/>
    <w:rsid w:val="00ED70B1"/>
    <w:rsid w:val="00ED71B6"/>
    <w:rsid w:val="00EE5474"/>
    <w:rsid w:val="00EE7571"/>
    <w:rsid w:val="00EF0E10"/>
    <w:rsid w:val="00EF16B5"/>
    <w:rsid w:val="00EF2076"/>
    <w:rsid w:val="00EF2AFB"/>
    <w:rsid w:val="00EF2CC0"/>
    <w:rsid w:val="00F02BCA"/>
    <w:rsid w:val="00F10FF6"/>
    <w:rsid w:val="00F147E3"/>
    <w:rsid w:val="00F253D3"/>
    <w:rsid w:val="00F27437"/>
    <w:rsid w:val="00F27629"/>
    <w:rsid w:val="00F336CC"/>
    <w:rsid w:val="00F33D5C"/>
    <w:rsid w:val="00F3555E"/>
    <w:rsid w:val="00F431FB"/>
    <w:rsid w:val="00F47555"/>
    <w:rsid w:val="00F53669"/>
    <w:rsid w:val="00F53ACB"/>
    <w:rsid w:val="00F60E46"/>
    <w:rsid w:val="00F6184E"/>
    <w:rsid w:val="00F6274B"/>
    <w:rsid w:val="00F7201C"/>
    <w:rsid w:val="00F772AF"/>
    <w:rsid w:val="00F8007E"/>
    <w:rsid w:val="00F81C8A"/>
    <w:rsid w:val="00F8297D"/>
    <w:rsid w:val="00F84805"/>
    <w:rsid w:val="00F953FB"/>
    <w:rsid w:val="00F95D11"/>
    <w:rsid w:val="00F9645D"/>
    <w:rsid w:val="00F9768B"/>
    <w:rsid w:val="00FA2B02"/>
    <w:rsid w:val="00FA436D"/>
    <w:rsid w:val="00FB1115"/>
    <w:rsid w:val="00FB4AE4"/>
    <w:rsid w:val="00FC59DB"/>
    <w:rsid w:val="00FC5F39"/>
    <w:rsid w:val="00FD04AD"/>
    <w:rsid w:val="00FD6119"/>
    <w:rsid w:val="00FD6AF5"/>
    <w:rsid w:val="00FE044D"/>
    <w:rsid w:val="00FE44F6"/>
    <w:rsid w:val="00FE4B2C"/>
    <w:rsid w:val="00FE785D"/>
    <w:rsid w:val="00FE7A02"/>
    <w:rsid w:val="00FF2778"/>
    <w:rsid w:val="00FF781B"/>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72A8B8"/>
  <w15:docId w15:val="{4D62FEA1-A70E-4CC9-99EB-93D6426D5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otham Book" w:eastAsia="Gotham Book" w:hAnsi="Gotham Book"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lsdException w:name="heading 6" w:unhideWhenUsed="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unhideWhenUsed="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unhideWhenUsed="1"/>
    <w:lsdException w:name="macro" w:semiHidden="1"/>
    <w:lsdException w:name="toa heading" w:semiHidden="1"/>
    <w:lsdException w:name="List" w:semiHidden="1"/>
    <w:lsdException w:name="List Bullet" w:semiHidden="1" w:uiPriority="1" w:unhideWhenUsed="1" w:qFormat="1"/>
    <w:lsdException w:name="List Number" w:semiHidden="1" w:uiPriority="1" w:unhideWhenUsed="1" w:qFormat="1"/>
    <w:lsdException w:name="List 2" w:semiHidden="1"/>
    <w:lsdException w:name="List 3" w:semiHidden="1"/>
    <w:lsdException w:name="List 4" w:semiHidden="1"/>
    <w:lsdException w:name="List 5" w:semiHidden="1"/>
    <w:lsdException w:name="List Bullet 2" w:semiHidden="1" w:uiPriority="19" w:unhideWhenUsed="1"/>
    <w:lsdException w:name="List Bullet 3" w:semiHidden="1" w:uiPriority="19" w:unhideWhenUsed="1"/>
    <w:lsdException w:name="List Bullet 4" w:semiHidden="1" w:uiPriority="19" w:unhideWhenUsed="1"/>
    <w:lsdException w:name="List Bullet 5" w:semiHidden="1" w:uiPriority="19" w:unhideWhenUsed="1"/>
    <w:lsdException w:name="List Number 2" w:semiHidden="1" w:uiPriority="19" w:unhideWhenUsed="1"/>
    <w:lsdException w:name="List Number 3" w:semiHidden="1" w:uiPriority="19" w:unhideWhenUsed="1"/>
    <w:lsdException w:name="List Number 4" w:semiHidden="1" w:uiPriority="19" w:unhideWhenUsed="1"/>
    <w:lsdException w:name="List Number 5" w:semiHidden="1" w:uiPriority="19" w:unhideWhenUsed="1"/>
    <w:lsdException w:name="Title" w:uiPriority="10"/>
    <w:lsdException w:name="Closing" w:semiHidden="1"/>
    <w:lsdException w:name="Signature" w:semiHidden="1"/>
    <w:lsdException w:name="Default Paragraph Font" w:semiHidden="1" w:uiPriority="1" w:unhideWhenUsed="1"/>
    <w:lsdException w:name="Body Text" w:semiHidden="1" w:uiPriority="0" w:unhideWhenUsed="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0"/>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unhideWhenUsed="1" w:qFormat="1"/>
    <w:lsdException w:name="Body Text 3" w:unhideWhenUsed="1" w:qFormat="1"/>
    <w:lsdException w:name="Body Text Indent 2" w:semiHidden="1"/>
    <w:lsdException w:name="Body Text Indent 3" w:semiHidden="1"/>
    <w:lsdException w:name="Block Text" w:semiHidden="1"/>
    <w:lsdException w:name="Hyperlink" w:semiHidden="1" w:unhideWhenUsed="1" w:qFormat="1"/>
    <w:lsdException w:name="FollowedHyperlink" w:uiPriority="15" w:unhideWhenUsed="1"/>
    <w:lsdException w:name="Strong" w:semiHidden="1"/>
    <w:lsdException w:name="Emphasis" w:semiHidden="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E5C"/>
    <w:rPr>
      <w:szCs w:val="22"/>
      <w:lang w:eastAsia="en-US"/>
    </w:rPr>
  </w:style>
  <w:style w:type="paragraph" w:styleId="Heading1">
    <w:name w:val="heading 1"/>
    <w:basedOn w:val="Normal"/>
    <w:next w:val="BodyText"/>
    <w:link w:val="Heading1Char"/>
    <w:qFormat/>
    <w:rsid w:val="00C92969"/>
    <w:pPr>
      <w:keepNext/>
      <w:keepLines/>
      <w:widowControl w:val="0"/>
      <w:spacing w:before="360" w:after="240"/>
      <w:outlineLvl w:val="0"/>
    </w:pPr>
    <w:rPr>
      <w:rFonts w:ascii="Gotham Medium" w:eastAsia="Times New Roman" w:hAnsi="Gotham Medium" w:cs="Arial"/>
      <w:bCs/>
      <w:color w:val="060E9F"/>
      <w:sz w:val="32"/>
      <w:szCs w:val="32"/>
      <w:lang w:eastAsia="en-AU"/>
    </w:rPr>
  </w:style>
  <w:style w:type="paragraph" w:styleId="Heading2">
    <w:name w:val="heading 2"/>
    <w:basedOn w:val="Normal"/>
    <w:next w:val="BodyText"/>
    <w:link w:val="Heading2Char"/>
    <w:qFormat/>
    <w:rsid w:val="00C92969"/>
    <w:pPr>
      <w:keepNext/>
      <w:keepLines/>
      <w:spacing w:before="240" w:after="120"/>
      <w:outlineLvl w:val="1"/>
    </w:pPr>
    <w:rPr>
      <w:rFonts w:ascii="Gotham Medium" w:eastAsia="Times New Roman" w:hAnsi="Gotham Medium" w:cs="Arial"/>
      <w:bCs/>
      <w:iCs/>
      <w:color w:val="22D3C5"/>
      <w:sz w:val="28"/>
      <w:szCs w:val="28"/>
      <w:lang w:eastAsia="en-AU"/>
    </w:rPr>
  </w:style>
  <w:style w:type="paragraph" w:styleId="Heading3">
    <w:name w:val="heading 3"/>
    <w:basedOn w:val="Normal"/>
    <w:next w:val="BodyText"/>
    <w:link w:val="Heading3Char"/>
    <w:qFormat/>
    <w:rsid w:val="00C92969"/>
    <w:pPr>
      <w:keepNext/>
      <w:keepLines/>
      <w:spacing w:before="240" w:after="120"/>
      <w:outlineLvl w:val="2"/>
    </w:pPr>
    <w:rPr>
      <w:rFonts w:ascii="Gotham Medium" w:eastAsia="Times New Roman" w:hAnsi="Gotham Medium"/>
      <w:bCs/>
      <w:color w:val="000000"/>
      <w:sz w:val="24"/>
      <w:szCs w:val="24"/>
      <w:lang w:eastAsia="en-AU"/>
    </w:rPr>
  </w:style>
  <w:style w:type="paragraph" w:styleId="Heading4">
    <w:name w:val="heading 4"/>
    <w:basedOn w:val="Normal"/>
    <w:next w:val="BodyText"/>
    <w:link w:val="Heading4Char"/>
    <w:qFormat/>
    <w:rsid w:val="00C92969"/>
    <w:pPr>
      <w:keepNext/>
      <w:keepLines/>
      <w:spacing w:before="240" w:after="120"/>
      <w:outlineLvl w:val="3"/>
    </w:pPr>
    <w:rPr>
      <w:rFonts w:ascii="Gotham Medium" w:eastAsia="Times New Roman" w:hAnsi="Gotham Medium"/>
      <w:bCs/>
      <w:i/>
      <w:lang w:eastAsia="en-AU"/>
    </w:rPr>
  </w:style>
  <w:style w:type="paragraph" w:styleId="Heading5">
    <w:name w:val="heading 5"/>
    <w:basedOn w:val="Normal"/>
    <w:next w:val="BodyText"/>
    <w:link w:val="Heading5Char"/>
    <w:semiHidden/>
    <w:rsid w:val="00C92969"/>
    <w:pPr>
      <w:keepNext/>
      <w:keepLines/>
      <w:spacing w:before="240" w:after="120"/>
      <w:outlineLvl w:val="4"/>
    </w:pPr>
    <w:rPr>
      <w:rFonts w:eastAsia="Times New Roman"/>
      <w:bCs/>
      <w:iCs/>
      <w:szCs w:val="26"/>
      <w:lang w:eastAsia="en-AU"/>
    </w:rPr>
  </w:style>
  <w:style w:type="paragraph" w:styleId="Heading6">
    <w:name w:val="heading 6"/>
    <w:basedOn w:val="Normal"/>
    <w:next w:val="Normal"/>
    <w:link w:val="Heading6Char"/>
    <w:uiPriority w:val="99"/>
    <w:semiHidden/>
    <w:qFormat/>
    <w:rsid w:val="00B57BE2"/>
    <w:pPr>
      <w:spacing w:before="120" w:after="120"/>
      <w:outlineLvl w:val="5"/>
    </w:pPr>
    <w:rPr>
      <w:rFonts w:eastAsia="Times New Roman"/>
      <w:bCs/>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EE7571"/>
    <w:pPr>
      <w:spacing w:before="120" w:after="120" w:line="276" w:lineRule="auto"/>
    </w:pPr>
    <w:rPr>
      <w:rFonts w:eastAsia="Times New Roman"/>
      <w:szCs w:val="24"/>
      <w:lang w:eastAsia="en-AU"/>
    </w:rPr>
  </w:style>
  <w:style w:type="character" w:customStyle="1" w:styleId="BodyTextChar">
    <w:name w:val="Body Text Char"/>
    <w:link w:val="BodyText"/>
    <w:rsid w:val="00EE7571"/>
    <w:rPr>
      <w:rFonts w:eastAsia="Times New Roman" w:cs="Times New Roman"/>
      <w:color w:val="333333"/>
      <w:szCs w:val="24"/>
      <w:lang w:eastAsia="en-AU"/>
    </w:rPr>
  </w:style>
  <w:style w:type="character" w:customStyle="1" w:styleId="Heading1Char">
    <w:name w:val="Heading 1 Char"/>
    <w:link w:val="Heading1"/>
    <w:rsid w:val="00C92969"/>
    <w:rPr>
      <w:rFonts w:ascii="Gotham Medium" w:eastAsia="Times New Roman" w:hAnsi="Gotham Medium" w:cs="Arial"/>
      <w:bCs/>
      <w:color w:val="060E9F"/>
      <w:sz w:val="32"/>
      <w:szCs w:val="32"/>
      <w:lang w:eastAsia="en-AU"/>
    </w:rPr>
  </w:style>
  <w:style w:type="character" w:customStyle="1" w:styleId="Heading2Char">
    <w:name w:val="Heading 2 Char"/>
    <w:link w:val="Heading2"/>
    <w:rsid w:val="00C92969"/>
    <w:rPr>
      <w:rFonts w:ascii="Gotham Medium" w:eastAsia="Times New Roman" w:hAnsi="Gotham Medium" w:cs="Arial"/>
      <w:bCs/>
      <w:iCs/>
      <w:color w:val="22D3C5"/>
      <w:sz w:val="28"/>
      <w:szCs w:val="28"/>
      <w:lang w:eastAsia="en-AU"/>
    </w:rPr>
  </w:style>
  <w:style w:type="character" w:customStyle="1" w:styleId="Heading3Char">
    <w:name w:val="Heading 3 Char"/>
    <w:link w:val="Heading3"/>
    <w:rsid w:val="00C92969"/>
    <w:rPr>
      <w:rFonts w:ascii="Gotham Medium" w:eastAsia="Times New Roman" w:hAnsi="Gotham Medium" w:cs="Times New Roman"/>
      <w:bCs/>
      <w:color w:val="000000"/>
      <w:sz w:val="24"/>
      <w:szCs w:val="24"/>
      <w:lang w:eastAsia="en-AU"/>
    </w:rPr>
  </w:style>
  <w:style w:type="character" w:customStyle="1" w:styleId="Heading4Char">
    <w:name w:val="Heading 4 Char"/>
    <w:link w:val="Heading4"/>
    <w:rsid w:val="00C92969"/>
    <w:rPr>
      <w:rFonts w:ascii="Gotham Medium" w:eastAsia="Times New Roman" w:hAnsi="Gotham Medium" w:cs="Times New Roman"/>
      <w:bCs/>
      <w:i/>
      <w:color w:val="333333"/>
      <w:sz w:val="20"/>
      <w:lang w:eastAsia="en-AU"/>
    </w:rPr>
  </w:style>
  <w:style w:type="paragraph" w:customStyle="1" w:styleId="AltHeading1">
    <w:name w:val="Alt Heading 1"/>
    <w:basedOn w:val="Heading1"/>
    <w:next w:val="BodyText"/>
    <w:uiPriority w:val="1"/>
    <w:qFormat/>
    <w:rsid w:val="00C92969"/>
    <w:pPr>
      <w:numPr>
        <w:numId w:val="20"/>
      </w:numPr>
    </w:pPr>
    <w:rPr>
      <w:bCs w:val="0"/>
    </w:rPr>
  </w:style>
  <w:style w:type="paragraph" w:customStyle="1" w:styleId="AltHeading2">
    <w:name w:val="Alt Heading 2"/>
    <w:basedOn w:val="Heading2"/>
    <w:next w:val="BodyText"/>
    <w:uiPriority w:val="1"/>
    <w:qFormat/>
    <w:rsid w:val="00C92969"/>
    <w:pPr>
      <w:numPr>
        <w:ilvl w:val="1"/>
        <w:numId w:val="20"/>
      </w:numPr>
    </w:pPr>
  </w:style>
  <w:style w:type="paragraph" w:customStyle="1" w:styleId="AltHeading3">
    <w:name w:val="Alt Heading 3"/>
    <w:basedOn w:val="Heading3"/>
    <w:next w:val="BodyText"/>
    <w:uiPriority w:val="1"/>
    <w:qFormat/>
    <w:rsid w:val="00C92969"/>
    <w:pPr>
      <w:numPr>
        <w:ilvl w:val="2"/>
        <w:numId w:val="20"/>
      </w:numPr>
    </w:pPr>
  </w:style>
  <w:style w:type="paragraph" w:customStyle="1" w:styleId="AltHeading4">
    <w:name w:val="Alt Heading 4"/>
    <w:basedOn w:val="Heading4"/>
    <w:next w:val="BodyText"/>
    <w:uiPriority w:val="1"/>
    <w:qFormat/>
    <w:rsid w:val="00C92969"/>
    <w:pPr>
      <w:numPr>
        <w:ilvl w:val="3"/>
        <w:numId w:val="20"/>
      </w:numPr>
    </w:pPr>
  </w:style>
  <w:style w:type="paragraph" w:styleId="Title">
    <w:name w:val="Title"/>
    <w:basedOn w:val="Normal"/>
    <w:next w:val="BodyText"/>
    <w:link w:val="TitleChar"/>
    <w:uiPriority w:val="9"/>
    <w:rsid w:val="00DA12DA"/>
    <w:pPr>
      <w:spacing w:before="240" w:after="240" w:line="276" w:lineRule="auto"/>
    </w:pPr>
    <w:rPr>
      <w:rFonts w:ascii="Gotham Medium" w:eastAsia="Times New Roman" w:hAnsi="Gotham Medium"/>
      <w:sz w:val="22"/>
      <w:szCs w:val="52"/>
    </w:rPr>
  </w:style>
  <w:style w:type="character" w:customStyle="1" w:styleId="TitleChar">
    <w:name w:val="Title Char"/>
    <w:link w:val="Title"/>
    <w:uiPriority w:val="9"/>
    <w:rsid w:val="00DA12DA"/>
    <w:rPr>
      <w:rFonts w:ascii="Gotham Medium" w:eastAsia="Times New Roman" w:hAnsi="Gotham Medium" w:cs="Times New Roman"/>
      <w:szCs w:val="52"/>
    </w:rPr>
  </w:style>
  <w:style w:type="paragraph" w:styleId="Subtitle">
    <w:name w:val="Subtitle"/>
    <w:basedOn w:val="Normal"/>
    <w:next w:val="BodyText"/>
    <w:link w:val="SubtitleChar"/>
    <w:uiPriority w:val="10"/>
    <w:semiHidden/>
    <w:rsid w:val="00B57BE2"/>
    <w:pPr>
      <w:numPr>
        <w:ilvl w:val="1"/>
      </w:numPr>
      <w:spacing w:before="120" w:after="240"/>
      <w:ind w:left="-567"/>
    </w:pPr>
    <w:rPr>
      <w:rFonts w:eastAsia="Times New Roman"/>
      <w:iCs/>
      <w:color w:val="FFFFFF"/>
      <w:sz w:val="36"/>
      <w:szCs w:val="24"/>
    </w:rPr>
  </w:style>
  <w:style w:type="character" w:customStyle="1" w:styleId="SubtitleChar">
    <w:name w:val="Subtitle Char"/>
    <w:link w:val="Subtitle"/>
    <w:uiPriority w:val="10"/>
    <w:semiHidden/>
    <w:rsid w:val="00EE7571"/>
    <w:rPr>
      <w:rFonts w:ascii="Gotham Book" w:eastAsia="Times New Roman" w:hAnsi="Gotham Book" w:cs="Times New Roman"/>
      <w:iCs/>
      <w:color w:val="FFFFFF"/>
      <w:sz w:val="36"/>
      <w:szCs w:val="24"/>
    </w:rPr>
  </w:style>
  <w:style w:type="paragraph" w:styleId="BodyText2">
    <w:name w:val="Body Text 2"/>
    <w:basedOn w:val="BodyText"/>
    <w:link w:val="BodyText2Char"/>
    <w:uiPriority w:val="99"/>
    <w:semiHidden/>
    <w:qFormat/>
    <w:rsid w:val="00B57BE2"/>
    <w:pPr>
      <w:numPr>
        <w:ilvl w:val="1"/>
      </w:numPr>
      <w:tabs>
        <w:tab w:val="left" w:pos="567"/>
      </w:tabs>
    </w:pPr>
  </w:style>
  <w:style w:type="character" w:customStyle="1" w:styleId="BodyText2Char">
    <w:name w:val="Body Text 2 Char"/>
    <w:link w:val="BodyText2"/>
    <w:uiPriority w:val="99"/>
    <w:semiHidden/>
    <w:rsid w:val="00B57BE2"/>
    <w:rPr>
      <w:rFonts w:eastAsia="Times New Roman" w:cs="Times New Roman"/>
      <w:color w:val="333333"/>
      <w:szCs w:val="24"/>
      <w:lang w:eastAsia="en-AU"/>
    </w:rPr>
  </w:style>
  <w:style w:type="paragraph" w:styleId="Header">
    <w:name w:val="header"/>
    <w:basedOn w:val="Normal"/>
    <w:link w:val="HeaderChar"/>
    <w:uiPriority w:val="99"/>
    <w:semiHidden/>
    <w:rsid w:val="00B57BE2"/>
    <w:pPr>
      <w:jc w:val="right"/>
    </w:pPr>
    <w:rPr>
      <w:sz w:val="17"/>
    </w:rPr>
  </w:style>
  <w:style w:type="character" w:customStyle="1" w:styleId="HeaderChar">
    <w:name w:val="Header Char"/>
    <w:link w:val="Header"/>
    <w:uiPriority w:val="99"/>
    <w:semiHidden/>
    <w:rsid w:val="00B57BE2"/>
    <w:rPr>
      <w:color w:val="333333"/>
      <w:sz w:val="17"/>
    </w:rPr>
  </w:style>
  <w:style w:type="paragraph" w:styleId="Footer">
    <w:name w:val="footer"/>
    <w:basedOn w:val="Normal"/>
    <w:link w:val="FooterChar"/>
    <w:uiPriority w:val="99"/>
    <w:rsid w:val="00B57BE2"/>
    <w:pPr>
      <w:tabs>
        <w:tab w:val="right" w:pos="9639"/>
      </w:tabs>
      <w:spacing w:line="276" w:lineRule="auto"/>
    </w:pPr>
    <w:rPr>
      <w:sz w:val="15"/>
    </w:rPr>
  </w:style>
  <w:style w:type="character" w:customStyle="1" w:styleId="FooterChar">
    <w:name w:val="Footer Char"/>
    <w:link w:val="Footer"/>
    <w:uiPriority w:val="99"/>
    <w:rsid w:val="00B57BE2"/>
    <w:rPr>
      <w:color w:val="333333"/>
      <w:sz w:val="15"/>
    </w:rPr>
  </w:style>
  <w:style w:type="paragraph" w:styleId="ListNumber0">
    <w:name w:val="List Number"/>
    <w:basedOn w:val="BodyText"/>
    <w:uiPriority w:val="1"/>
    <w:qFormat/>
    <w:rsid w:val="00B57BE2"/>
    <w:pPr>
      <w:numPr>
        <w:numId w:val="10"/>
      </w:numPr>
      <w:spacing w:before="60" w:after="60"/>
    </w:pPr>
  </w:style>
  <w:style w:type="paragraph" w:styleId="ListBullet0">
    <w:name w:val="List Bullet"/>
    <w:basedOn w:val="BodyText"/>
    <w:uiPriority w:val="1"/>
    <w:qFormat/>
    <w:rsid w:val="00B57BE2"/>
    <w:pPr>
      <w:numPr>
        <w:numId w:val="12"/>
      </w:numPr>
      <w:spacing w:before="60" w:after="60"/>
    </w:pPr>
  </w:style>
  <w:style w:type="paragraph" w:styleId="TOCHeading">
    <w:name w:val="TOC Heading"/>
    <w:basedOn w:val="Heading1"/>
    <w:next w:val="Normal"/>
    <w:uiPriority w:val="39"/>
    <w:semiHidden/>
    <w:rsid w:val="006A2B56"/>
    <w:pPr>
      <w:spacing w:before="2400" w:after="600"/>
    </w:pPr>
  </w:style>
  <w:style w:type="character" w:styleId="Hyperlink">
    <w:name w:val="Hyperlink"/>
    <w:uiPriority w:val="15"/>
    <w:rsid w:val="00EE7571"/>
    <w:rPr>
      <w:color w:val="22D3C5"/>
      <w:u w:val="none"/>
    </w:rPr>
  </w:style>
  <w:style w:type="paragraph" w:styleId="TOC1">
    <w:name w:val="toc 1"/>
    <w:basedOn w:val="Normal"/>
    <w:next w:val="Normal"/>
    <w:uiPriority w:val="39"/>
    <w:semiHidden/>
    <w:rsid w:val="00CA0B4C"/>
    <w:pPr>
      <w:keepNext/>
      <w:pBdr>
        <w:bottom w:val="single" w:sz="4" w:space="6" w:color="auto"/>
        <w:between w:val="single" w:sz="4" w:space="1" w:color="auto"/>
      </w:pBdr>
      <w:tabs>
        <w:tab w:val="right" w:pos="5529"/>
      </w:tabs>
      <w:spacing w:before="240" w:after="120"/>
      <w:ind w:right="3089"/>
    </w:pPr>
    <w:rPr>
      <w:rFonts w:ascii="Gotham Bold" w:hAnsi="Gotham Bold"/>
      <w:noProof/>
    </w:rPr>
  </w:style>
  <w:style w:type="paragraph" w:styleId="TOC2">
    <w:name w:val="toc 2"/>
    <w:basedOn w:val="Normal"/>
    <w:next w:val="Normal"/>
    <w:uiPriority w:val="39"/>
    <w:semiHidden/>
    <w:rsid w:val="006A2B56"/>
    <w:pPr>
      <w:pBdr>
        <w:bottom w:val="single" w:sz="4" w:space="6" w:color="auto"/>
        <w:between w:val="single" w:sz="4" w:space="1" w:color="auto"/>
      </w:pBdr>
      <w:tabs>
        <w:tab w:val="right" w:pos="5529"/>
      </w:tabs>
      <w:spacing w:before="240" w:after="120"/>
      <w:ind w:right="3090"/>
    </w:pPr>
    <w:rPr>
      <w:noProof/>
    </w:rPr>
  </w:style>
  <w:style w:type="paragraph" w:styleId="TOC3">
    <w:name w:val="toc 3"/>
    <w:basedOn w:val="Normal"/>
    <w:next w:val="Normal"/>
    <w:uiPriority w:val="39"/>
    <w:semiHidden/>
    <w:rsid w:val="00DF01DF"/>
    <w:pPr>
      <w:tabs>
        <w:tab w:val="right" w:pos="9639"/>
      </w:tabs>
      <w:spacing w:after="60"/>
      <w:ind w:right="567"/>
    </w:pPr>
    <w:rPr>
      <w:sz w:val="18"/>
    </w:rPr>
  </w:style>
  <w:style w:type="table" w:styleId="TableGrid">
    <w:name w:val="Table Grid"/>
    <w:basedOn w:val="TableNormal"/>
    <w:uiPriority w:val="59"/>
    <w:rsid w:val="00B57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next w:val="BodyText"/>
    <w:uiPriority w:val="3"/>
    <w:qFormat/>
    <w:rsid w:val="00B57BE2"/>
    <w:pPr>
      <w:spacing w:before="60" w:after="60"/>
      <w:ind w:left="113" w:right="113"/>
    </w:pPr>
    <w:rPr>
      <w:b/>
    </w:rPr>
  </w:style>
  <w:style w:type="paragraph" w:customStyle="1" w:styleId="TableText">
    <w:name w:val="Table Text"/>
    <w:basedOn w:val="Normal"/>
    <w:uiPriority w:val="3"/>
    <w:qFormat/>
    <w:rsid w:val="00B57BE2"/>
    <w:pPr>
      <w:spacing w:before="60" w:after="60"/>
      <w:ind w:left="113" w:right="113"/>
    </w:pPr>
  </w:style>
  <w:style w:type="paragraph" w:customStyle="1" w:styleId="TableBullet">
    <w:name w:val="Table Bullet"/>
    <w:basedOn w:val="TableText"/>
    <w:uiPriority w:val="5"/>
    <w:qFormat/>
    <w:rsid w:val="00B57BE2"/>
    <w:pPr>
      <w:numPr>
        <w:numId w:val="14"/>
      </w:numPr>
    </w:pPr>
    <w:rPr>
      <w:rFonts w:eastAsia="Times New Roman"/>
      <w:szCs w:val="24"/>
      <w:lang w:eastAsia="en-AU"/>
    </w:rPr>
  </w:style>
  <w:style w:type="paragraph" w:customStyle="1" w:styleId="TableNumber">
    <w:name w:val="Table Number"/>
    <w:basedOn w:val="TableText"/>
    <w:uiPriority w:val="4"/>
    <w:qFormat/>
    <w:rsid w:val="00B57BE2"/>
    <w:pPr>
      <w:numPr>
        <w:numId w:val="13"/>
      </w:numPr>
    </w:pPr>
  </w:style>
  <w:style w:type="character" w:customStyle="1" w:styleId="Heading5Char">
    <w:name w:val="Heading 5 Char"/>
    <w:link w:val="Heading5"/>
    <w:semiHidden/>
    <w:rsid w:val="000375FA"/>
    <w:rPr>
      <w:rFonts w:eastAsia="Times New Roman" w:cs="Times New Roman"/>
      <w:bCs/>
      <w:iCs/>
      <w:color w:val="333333"/>
      <w:sz w:val="20"/>
      <w:szCs w:val="26"/>
      <w:lang w:eastAsia="en-AU"/>
    </w:rPr>
  </w:style>
  <w:style w:type="character" w:customStyle="1" w:styleId="Heading6Char">
    <w:name w:val="Heading 6 Char"/>
    <w:link w:val="Heading6"/>
    <w:uiPriority w:val="99"/>
    <w:semiHidden/>
    <w:rsid w:val="00B57BE2"/>
    <w:rPr>
      <w:rFonts w:eastAsia="Times New Roman" w:cs="Times New Roman"/>
      <w:bCs/>
      <w:color w:val="333333"/>
      <w:lang w:eastAsia="en-AU"/>
    </w:rPr>
  </w:style>
  <w:style w:type="paragraph" w:styleId="BodyText3">
    <w:name w:val="Body Text 3"/>
    <w:basedOn w:val="BodyText"/>
    <w:link w:val="BodyText3Char"/>
    <w:uiPriority w:val="99"/>
    <w:semiHidden/>
    <w:qFormat/>
    <w:rsid w:val="00B57BE2"/>
    <w:pPr>
      <w:numPr>
        <w:ilvl w:val="2"/>
      </w:numPr>
    </w:pPr>
    <w:rPr>
      <w:szCs w:val="16"/>
    </w:rPr>
  </w:style>
  <w:style w:type="character" w:customStyle="1" w:styleId="BodyText3Char">
    <w:name w:val="Body Text 3 Char"/>
    <w:link w:val="BodyText3"/>
    <w:uiPriority w:val="99"/>
    <w:semiHidden/>
    <w:rsid w:val="00B57BE2"/>
    <w:rPr>
      <w:rFonts w:eastAsia="Times New Roman" w:cs="Times New Roman"/>
      <w:color w:val="333333"/>
      <w:szCs w:val="16"/>
      <w:lang w:eastAsia="en-AU"/>
    </w:rPr>
  </w:style>
  <w:style w:type="paragraph" w:styleId="ListParagraph0">
    <w:name w:val="List Paragraph"/>
    <w:basedOn w:val="BodyText"/>
    <w:uiPriority w:val="34"/>
    <w:qFormat/>
    <w:rsid w:val="00B57BE2"/>
    <w:pPr>
      <w:numPr>
        <w:numId w:val="5"/>
      </w:numPr>
      <w:spacing w:before="60" w:after="60"/>
    </w:pPr>
  </w:style>
  <w:style w:type="paragraph" w:styleId="TOC4">
    <w:name w:val="toc 4"/>
    <w:basedOn w:val="TOC1"/>
    <w:next w:val="Normal"/>
    <w:uiPriority w:val="39"/>
    <w:semiHidden/>
    <w:rsid w:val="006D59A6"/>
    <w:pPr>
      <w:tabs>
        <w:tab w:val="left" w:pos="567"/>
      </w:tabs>
      <w:ind w:left="567" w:hanging="567"/>
    </w:pPr>
  </w:style>
  <w:style w:type="paragraph" w:customStyle="1" w:styleId="AltHeading5">
    <w:name w:val="Alt Heading 5"/>
    <w:basedOn w:val="Heading5"/>
    <w:next w:val="BodyText"/>
    <w:uiPriority w:val="1"/>
    <w:semiHidden/>
    <w:rsid w:val="00C92969"/>
    <w:pPr>
      <w:numPr>
        <w:ilvl w:val="4"/>
        <w:numId w:val="20"/>
      </w:numPr>
    </w:pPr>
  </w:style>
  <w:style w:type="paragraph" w:styleId="BalloonText">
    <w:name w:val="Balloon Text"/>
    <w:basedOn w:val="Normal"/>
    <w:link w:val="BalloonTextChar"/>
    <w:uiPriority w:val="99"/>
    <w:semiHidden/>
    <w:rsid w:val="00B57BE2"/>
    <w:rPr>
      <w:rFonts w:ascii="Tahoma" w:hAnsi="Tahoma" w:cs="Tahoma"/>
      <w:sz w:val="16"/>
      <w:szCs w:val="16"/>
    </w:rPr>
  </w:style>
  <w:style w:type="character" w:customStyle="1" w:styleId="BalloonTextChar">
    <w:name w:val="Balloon Text Char"/>
    <w:link w:val="BalloonText"/>
    <w:uiPriority w:val="99"/>
    <w:semiHidden/>
    <w:rsid w:val="00B57BE2"/>
    <w:rPr>
      <w:rFonts w:ascii="Tahoma" w:hAnsi="Tahoma" w:cs="Tahoma"/>
      <w:color w:val="333333"/>
      <w:sz w:val="16"/>
      <w:szCs w:val="16"/>
    </w:rPr>
  </w:style>
  <w:style w:type="paragraph" w:styleId="Quote">
    <w:name w:val="Quote"/>
    <w:basedOn w:val="Normal"/>
    <w:next w:val="Normal"/>
    <w:link w:val="QuoteChar"/>
    <w:uiPriority w:val="7"/>
    <w:rsid w:val="00B57BE2"/>
    <w:pPr>
      <w:spacing w:before="180" w:after="180"/>
      <w:ind w:left="567" w:right="567"/>
      <w:jc w:val="center"/>
    </w:pPr>
    <w:rPr>
      <w:i/>
      <w:iCs/>
      <w:color w:val="060E9F"/>
    </w:rPr>
  </w:style>
  <w:style w:type="character" w:customStyle="1" w:styleId="QuoteChar">
    <w:name w:val="Quote Char"/>
    <w:link w:val="Quote"/>
    <w:uiPriority w:val="7"/>
    <w:rsid w:val="00B57BE2"/>
    <w:rPr>
      <w:i/>
      <w:iCs/>
      <w:color w:val="060E9F"/>
    </w:rPr>
  </w:style>
  <w:style w:type="paragraph" w:customStyle="1" w:styleId="FigureCaption">
    <w:name w:val="Figure Caption"/>
    <w:basedOn w:val="Normal"/>
    <w:next w:val="BodyText"/>
    <w:uiPriority w:val="6"/>
    <w:qFormat/>
    <w:rsid w:val="00B57BE2"/>
    <w:pPr>
      <w:keepNext/>
      <w:tabs>
        <w:tab w:val="left" w:pos="1134"/>
      </w:tabs>
      <w:spacing w:before="240" w:after="120"/>
      <w:ind w:left="1134" w:hanging="1134"/>
    </w:pPr>
  </w:style>
  <w:style w:type="paragraph" w:customStyle="1" w:styleId="TableCaption">
    <w:name w:val="Table Caption"/>
    <w:basedOn w:val="Caption"/>
    <w:uiPriority w:val="6"/>
    <w:qFormat/>
    <w:rsid w:val="00B57BE2"/>
    <w:pPr>
      <w:spacing w:before="120" w:after="240"/>
    </w:pPr>
    <w:rPr>
      <w:b w:val="0"/>
    </w:rPr>
  </w:style>
  <w:style w:type="paragraph" w:customStyle="1" w:styleId="FigureStyle">
    <w:name w:val="Figure Style"/>
    <w:basedOn w:val="BodyText"/>
    <w:uiPriority w:val="6"/>
    <w:qFormat/>
    <w:rsid w:val="00B57BE2"/>
    <w:pPr>
      <w:spacing w:after="240"/>
      <w:jc w:val="center"/>
    </w:pPr>
    <w:rPr>
      <w:noProof/>
    </w:rPr>
  </w:style>
  <w:style w:type="paragraph" w:styleId="TOC5">
    <w:name w:val="toc 5"/>
    <w:basedOn w:val="TOC2"/>
    <w:next w:val="Normal"/>
    <w:uiPriority w:val="39"/>
    <w:semiHidden/>
    <w:rsid w:val="006D59A6"/>
    <w:pPr>
      <w:tabs>
        <w:tab w:val="left" w:pos="567"/>
      </w:tabs>
      <w:ind w:left="567" w:hanging="567"/>
    </w:pPr>
  </w:style>
  <w:style w:type="paragraph" w:styleId="TOC6">
    <w:name w:val="toc 6"/>
    <w:basedOn w:val="TOC3"/>
    <w:next w:val="Normal"/>
    <w:uiPriority w:val="39"/>
    <w:semiHidden/>
    <w:rsid w:val="0061089F"/>
    <w:pPr>
      <w:tabs>
        <w:tab w:val="left" w:pos="851"/>
      </w:tabs>
      <w:ind w:left="851" w:hanging="851"/>
    </w:pPr>
    <w:rPr>
      <w:noProof/>
    </w:rPr>
  </w:style>
  <w:style w:type="paragraph" w:styleId="TOC7">
    <w:name w:val="toc 7"/>
    <w:basedOn w:val="TOC2"/>
    <w:next w:val="Normal"/>
    <w:uiPriority w:val="39"/>
    <w:semiHidden/>
    <w:rsid w:val="003B4DCF"/>
    <w:pPr>
      <w:spacing w:after="60"/>
    </w:pPr>
    <w:rPr>
      <w:sz w:val="16"/>
    </w:rPr>
  </w:style>
  <w:style w:type="paragraph" w:styleId="TOC8">
    <w:name w:val="toc 8"/>
    <w:basedOn w:val="Normal"/>
    <w:next w:val="Normal"/>
    <w:uiPriority w:val="39"/>
    <w:semiHidden/>
    <w:rsid w:val="003B4DCF"/>
    <w:pPr>
      <w:tabs>
        <w:tab w:val="left" w:pos="851"/>
        <w:tab w:val="right" w:pos="9639"/>
      </w:tabs>
      <w:spacing w:after="60"/>
      <w:ind w:left="851" w:hanging="851"/>
    </w:pPr>
    <w:rPr>
      <w:sz w:val="16"/>
    </w:rPr>
  </w:style>
  <w:style w:type="paragraph" w:styleId="TOC9">
    <w:name w:val="toc 9"/>
    <w:basedOn w:val="Normal"/>
    <w:next w:val="Normal"/>
    <w:uiPriority w:val="39"/>
    <w:semiHidden/>
    <w:rsid w:val="003B4DCF"/>
    <w:pPr>
      <w:tabs>
        <w:tab w:val="left" w:pos="1418"/>
        <w:tab w:val="right" w:pos="9639"/>
      </w:tabs>
      <w:spacing w:after="60"/>
      <w:ind w:left="1134" w:hanging="1134"/>
    </w:pPr>
  </w:style>
  <w:style w:type="numbering" w:customStyle="1" w:styleId="ListNumber">
    <w:name w:val="List_Number"/>
    <w:uiPriority w:val="99"/>
    <w:rsid w:val="00B57BE2"/>
    <w:pPr>
      <w:numPr>
        <w:numId w:val="3"/>
      </w:numPr>
    </w:pPr>
  </w:style>
  <w:style w:type="numbering" w:customStyle="1" w:styleId="ListParagraph">
    <w:name w:val="List_Paragraph"/>
    <w:uiPriority w:val="99"/>
    <w:rsid w:val="00B57BE2"/>
    <w:pPr>
      <w:numPr>
        <w:numId w:val="5"/>
      </w:numPr>
    </w:pPr>
  </w:style>
  <w:style w:type="paragraph" w:styleId="Caption">
    <w:name w:val="caption"/>
    <w:basedOn w:val="Normal"/>
    <w:next w:val="Normal"/>
    <w:uiPriority w:val="99"/>
    <w:semiHidden/>
    <w:qFormat/>
    <w:rsid w:val="00B57BE2"/>
    <w:pPr>
      <w:tabs>
        <w:tab w:val="left" w:pos="1134"/>
      </w:tabs>
      <w:spacing w:before="240" w:after="120"/>
      <w:ind w:left="1134" w:hanging="1134"/>
    </w:pPr>
    <w:rPr>
      <w:b/>
    </w:rPr>
  </w:style>
  <w:style w:type="paragraph" w:customStyle="1" w:styleId="ListAlpha0">
    <w:name w:val="List Alpha"/>
    <w:basedOn w:val="BodyText"/>
    <w:uiPriority w:val="2"/>
    <w:qFormat/>
    <w:rsid w:val="00B57BE2"/>
    <w:pPr>
      <w:numPr>
        <w:numId w:val="11"/>
      </w:numPr>
      <w:spacing w:before="60" w:after="60"/>
    </w:pPr>
  </w:style>
  <w:style w:type="numbering" w:customStyle="1" w:styleId="ListAlpha">
    <w:name w:val="List_Alpha"/>
    <w:uiPriority w:val="99"/>
    <w:rsid w:val="00B57BE2"/>
    <w:pPr>
      <w:numPr>
        <w:numId w:val="1"/>
      </w:numPr>
    </w:pPr>
  </w:style>
  <w:style w:type="paragraph" w:styleId="TableofAuthorities">
    <w:name w:val="table of authorities"/>
    <w:basedOn w:val="Normal"/>
    <w:next w:val="Normal"/>
    <w:uiPriority w:val="99"/>
    <w:semiHidden/>
    <w:rsid w:val="00B57BE2"/>
    <w:pPr>
      <w:ind w:left="200" w:hanging="200"/>
    </w:pPr>
  </w:style>
  <w:style w:type="paragraph" w:styleId="TableofFigures">
    <w:name w:val="table of figures"/>
    <w:basedOn w:val="TOC3"/>
    <w:next w:val="Normal"/>
    <w:uiPriority w:val="99"/>
    <w:semiHidden/>
    <w:rsid w:val="00B57BE2"/>
    <w:rPr>
      <w:noProof/>
    </w:rPr>
  </w:style>
  <w:style w:type="table" w:customStyle="1" w:styleId="ENATable">
    <w:name w:val="ENA Table"/>
    <w:basedOn w:val="TableNormal"/>
    <w:uiPriority w:val="99"/>
    <w:rsid w:val="00B57BE2"/>
    <w:pPr>
      <w:ind w:left="113" w:right="113"/>
    </w:pPr>
    <w:tblPr>
      <w:tblStyleRowBandSize w:val="1"/>
      <w:tblStyleColBandSize w:val="1"/>
      <w:tblBorders>
        <w:insideH w:val="single" w:sz="4" w:space="0" w:color="FFFFFF"/>
        <w:insideV w:val="single" w:sz="18" w:space="0" w:color="FFFFFF"/>
      </w:tblBorders>
      <w:tblCellMar>
        <w:top w:w="85" w:type="dxa"/>
        <w:left w:w="0" w:type="dxa"/>
        <w:bottom w:w="85" w:type="dxa"/>
        <w:right w:w="0" w:type="dxa"/>
      </w:tblCellMar>
    </w:tblPr>
    <w:trPr>
      <w:cantSplit/>
    </w:trPr>
    <w:tcPr>
      <w:shd w:val="clear" w:color="auto" w:fill="F4F4F4"/>
    </w:tcPr>
    <w:tblStylePr w:type="firstRow">
      <w:tblPr/>
      <w:tcPr>
        <w:tcBorders>
          <w:top w:val="nil"/>
          <w:left w:val="nil"/>
          <w:bottom w:val="nil"/>
          <w:right w:val="nil"/>
          <w:insideH w:val="single" w:sz="18" w:space="0" w:color="FFFFFF"/>
          <w:insideV w:val="single" w:sz="18" w:space="0" w:color="FFFFFF"/>
        </w:tcBorders>
        <w:shd w:val="clear" w:color="auto" w:fill="060E9F"/>
      </w:tcPr>
    </w:tblStylePr>
    <w:tblStylePr w:type="lastRow">
      <w:rPr>
        <w:b/>
      </w:rPr>
      <w:tblPr/>
      <w:tcPr>
        <w:shd w:val="clear" w:color="auto" w:fill="EAEAEA"/>
      </w:tcPr>
    </w:tblStylePr>
    <w:tblStylePr w:type="firstCol">
      <w:tblPr/>
      <w:tcPr>
        <w:tcBorders>
          <w:insideH w:val="nil"/>
        </w:tcBorders>
        <w:shd w:val="clear" w:color="auto" w:fill="060E9F"/>
      </w:tcPr>
    </w:tblStylePr>
    <w:tblStylePr w:type="lastCol">
      <w:tblPr/>
      <w:tcPr>
        <w:shd w:val="clear" w:color="auto" w:fill="EAEAEA"/>
      </w:tcPr>
    </w:tblStylePr>
    <w:tblStylePr w:type="band2Vert">
      <w:tblPr/>
      <w:tcPr>
        <w:shd w:val="clear" w:color="auto" w:fill="EAEAEA"/>
      </w:tcPr>
    </w:tblStylePr>
    <w:tblStylePr w:type="band2Horz">
      <w:tblPr/>
      <w:tcPr>
        <w:shd w:val="clear" w:color="auto" w:fill="EAEAEA"/>
      </w:tcPr>
    </w:tblStylePr>
  </w:style>
  <w:style w:type="character" w:styleId="FollowedHyperlink">
    <w:name w:val="FollowedHyperlink"/>
    <w:uiPriority w:val="15"/>
    <w:rsid w:val="00EE7571"/>
    <w:rPr>
      <w:color w:val="060E9F"/>
      <w:u w:val="single"/>
    </w:rPr>
  </w:style>
  <w:style w:type="paragraph" w:customStyle="1" w:styleId="AppendixH1">
    <w:name w:val="Appendix H1"/>
    <w:basedOn w:val="Normal"/>
    <w:next w:val="BodyText"/>
    <w:uiPriority w:val="11"/>
    <w:semiHidden/>
    <w:qFormat/>
    <w:rsid w:val="00B57BE2"/>
    <w:pPr>
      <w:pageBreakBefore/>
      <w:tabs>
        <w:tab w:val="left" w:pos="567"/>
      </w:tabs>
      <w:spacing w:before="60" w:after="320"/>
      <w:outlineLvl w:val="0"/>
    </w:pPr>
    <w:rPr>
      <w:rFonts w:eastAsia="Times New Roman"/>
      <w:b/>
      <w:sz w:val="36"/>
      <w:szCs w:val="24"/>
      <w:lang w:eastAsia="en-AU"/>
    </w:rPr>
  </w:style>
  <w:style w:type="paragraph" w:customStyle="1" w:styleId="AppendixH2">
    <w:name w:val="Appendix H2"/>
    <w:basedOn w:val="Heading2"/>
    <w:next w:val="BodyText"/>
    <w:uiPriority w:val="11"/>
    <w:semiHidden/>
    <w:qFormat/>
    <w:rsid w:val="00B57BE2"/>
    <w:pPr>
      <w:tabs>
        <w:tab w:val="left" w:pos="851"/>
      </w:tabs>
    </w:pPr>
    <w:rPr>
      <w:iCs w:val="0"/>
    </w:rPr>
  </w:style>
  <w:style w:type="paragraph" w:customStyle="1" w:styleId="AppendixH3">
    <w:name w:val="Appendix H3"/>
    <w:basedOn w:val="Heading3"/>
    <w:next w:val="BodyText"/>
    <w:uiPriority w:val="11"/>
    <w:semiHidden/>
    <w:qFormat/>
    <w:rsid w:val="00B57BE2"/>
    <w:pPr>
      <w:tabs>
        <w:tab w:val="left" w:pos="851"/>
      </w:tabs>
    </w:pPr>
  </w:style>
  <w:style w:type="paragraph" w:customStyle="1" w:styleId="ListAlpha2">
    <w:name w:val="List Alpha 2"/>
    <w:basedOn w:val="ListAlpha0"/>
    <w:uiPriority w:val="19"/>
    <w:rsid w:val="00B57BE2"/>
    <w:pPr>
      <w:numPr>
        <w:ilvl w:val="1"/>
      </w:numPr>
    </w:pPr>
  </w:style>
  <w:style w:type="paragraph" w:customStyle="1" w:styleId="ListAlpha3">
    <w:name w:val="List Alpha 3"/>
    <w:basedOn w:val="ListAlpha2"/>
    <w:uiPriority w:val="19"/>
    <w:rsid w:val="00B57BE2"/>
    <w:pPr>
      <w:numPr>
        <w:ilvl w:val="2"/>
      </w:numPr>
    </w:pPr>
  </w:style>
  <w:style w:type="paragraph" w:customStyle="1" w:styleId="ListAlpha4">
    <w:name w:val="List Alpha 4"/>
    <w:basedOn w:val="ListAlpha3"/>
    <w:uiPriority w:val="19"/>
    <w:rsid w:val="00B57BE2"/>
    <w:pPr>
      <w:numPr>
        <w:ilvl w:val="3"/>
      </w:numPr>
    </w:pPr>
  </w:style>
  <w:style w:type="paragraph" w:customStyle="1" w:styleId="ListAlpha6">
    <w:name w:val="List Alpha 6"/>
    <w:basedOn w:val="ListAlpha4"/>
    <w:uiPriority w:val="19"/>
    <w:rsid w:val="00B57BE2"/>
    <w:pPr>
      <w:numPr>
        <w:ilvl w:val="5"/>
      </w:numPr>
    </w:pPr>
  </w:style>
  <w:style w:type="paragraph" w:customStyle="1" w:styleId="ListAlpha5">
    <w:name w:val="List Alpha 5"/>
    <w:basedOn w:val="ListAlpha6"/>
    <w:uiPriority w:val="19"/>
    <w:rsid w:val="00B57BE2"/>
    <w:pPr>
      <w:numPr>
        <w:ilvl w:val="4"/>
      </w:numPr>
    </w:pPr>
  </w:style>
  <w:style w:type="paragraph" w:styleId="ListBullet2">
    <w:name w:val="List Bullet 2"/>
    <w:basedOn w:val="ListBullet0"/>
    <w:uiPriority w:val="19"/>
    <w:rsid w:val="00B57BE2"/>
    <w:pPr>
      <w:numPr>
        <w:ilvl w:val="1"/>
      </w:numPr>
    </w:pPr>
  </w:style>
  <w:style w:type="paragraph" w:styleId="ListBullet3">
    <w:name w:val="List Bullet 3"/>
    <w:basedOn w:val="ListBullet0"/>
    <w:uiPriority w:val="19"/>
    <w:rsid w:val="00B57BE2"/>
    <w:pPr>
      <w:numPr>
        <w:ilvl w:val="2"/>
      </w:numPr>
    </w:pPr>
  </w:style>
  <w:style w:type="paragraph" w:styleId="ListBullet4">
    <w:name w:val="List Bullet 4"/>
    <w:basedOn w:val="ListBullet0"/>
    <w:uiPriority w:val="19"/>
    <w:rsid w:val="00B57BE2"/>
    <w:pPr>
      <w:numPr>
        <w:ilvl w:val="3"/>
      </w:numPr>
    </w:pPr>
  </w:style>
  <w:style w:type="paragraph" w:styleId="ListBullet5">
    <w:name w:val="List Bullet 5"/>
    <w:basedOn w:val="ListBullet0"/>
    <w:uiPriority w:val="19"/>
    <w:rsid w:val="00B57BE2"/>
    <w:pPr>
      <w:numPr>
        <w:ilvl w:val="4"/>
      </w:numPr>
    </w:pPr>
  </w:style>
  <w:style w:type="paragraph" w:customStyle="1" w:styleId="ListBullet6">
    <w:name w:val="List Bullet 6"/>
    <w:basedOn w:val="ListBullet0"/>
    <w:uiPriority w:val="19"/>
    <w:rsid w:val="00B57BE2"/>
    <w:pPr>
      <w:numPr>
        <w:ilvl w:val="5"/>
      </w:numPr>
    </w:pPr>
  </w:style>
  <w:style w:type="paragraph" w:styleId="ListNumber2">
    <w:name w:val="List Number 2"/>
    <w:basedOn w:val="ListNumber0"/>
    <w:uiPriority w:val="19"/>
    <w:rsid w:val="00B57BE2"/>
    <w:pPr>
      <w:numPr>
        <w:ilvl w:val="1"/>
      </w:numPr>
    </w:pPr>
  </w:style>
  <w:style w:type="paragraph" w:styleId="ListNumber3">
    <w:name w:val="List Number 3"/>
    <w:basedOn w:val="ListNumber0"/>
    <w:uiPriority w:val="19"/>
    <w:rsid w:val="00B57BE2"/>
    <w:pPr>
      <w:numPr>
        <w:ilvl w:val="2"/>
      </w:numPr>
    </w:pPr>
  </w:style>
  <w:style w:type="paragraph" w:styleId="ListNumber4">
    <w:name w:val="List Number 4"/>
    <w:basedOn w:val="ListNumber0"/>
    <w:uiPriority w:val="19"/>
    <w:rsid w:val="00B57BE2"/>
    <w:pPr>
      <w:numPr>
        <w:ilvl w:val="3"/>
      </w:numPr>
    </w:pPr>
  </w:style>
  <w:style w:type="paragraph" w:styleId="ListNumber5">
    <w:name w:val="List Number 5"/>
    <w:basedOn w:val="ListNumber0"/>
    <w:uiPriority w:val="19"/>
    <w:rsid w:val="00B57BE2"/>
    <w:pPr>
      <w:numPr>
        <w:ilvl w:val="4"/>
      </w:numPr>
    </w:pPr>
  </w:style>
  <w:style w:type="paragraph" w:customStyle="1" w:styleId="ListNumber6">
    <w:name w:val="List Number 6"/>
    <w:basedOn w:val="ListNumber0"/>
    <w:uiPriority w:val="19"/>
    <w:rsid w:val="00B57BE2"/>
    <w:pPr>
      <w:numPr>
        <w:ilvl w:val="5"/>
      </w:numPr>
    </w:pPr>
  </w:style>
  <w:style w:type="paragraph" w:customStyle="1" w:styleId="ListParagraph2">
    <w:name w:val="List Paragraph 2"/>
    <w:basedOn w:val="ListParagraph0"/>
    <w:uiPriority w:val="19"/>
    <w:rsid w:val="00B57BE2"/>
    <w:pPr>
      <w:numPr>
        <w:ilvl w:val="1"/>
      </w:numPr>
    </w:pPr>
  </w:style>
  <w:style w:type="paragraph" w:customStyle="1" w:styleId="ListParagraph3">
    <w:name w:val="List Paragraph 3"/>
    <w:basedOn w:val="ListParagraph0"/>
    <w:uiPriority w:val="19"/>
    <w:rsid w:val="00B57BE2"/>
    <w:pPr>
      <w:numPr>
        <w:ilvl w:val="2"/>
      </w:numPr>
    </w:pPr>
  </w:style>
  <w:style w:type="paragraph" w:customStyle="1" w:styleId="ListParagraph4">
    <w:name w:val="List Paragraph 4"/>
    <w:basedOn w:val="ListParagraph0"/>
    <w:uiPriority w:val="19"/>
    <w:rsid w:val="00B57BE2"/>
    <w:pPr>
      <w:numPr>
        <w:ilvl w:val="3"/>
      </w:numPr>
    </w:pPr>
  </w:style>
  <w:style w:type="paragraph" w:customStyle="1" w:styleId="ListParagraph5">
    <w:name w:val="List Paragraph 5"/>
    <w:basedOn w:val="ListParagraph0"/>
    <w:uiPriority w:val="19"/>
    <w:rsid w:val="00B57BE2"/>
    <w:pPr>
      <w:numPr>
        <w:ilvl w:val="4"/>
      </w:numPr>
    </w:pPr>
  </w:style>
  <w:style w:type="paragraph" w:customStyle="1" w:styleId="ListParagraph6">
    <w:name w:val="List Paragraph 6"/>
    <w:basedOn w:val="ListParagraph0"/>
    <w:uiPriority w:val="19"/>
    <w:rsid w:val="00B57BE2"/>
    <w:pPr>
      <w:numPr>
        <w:ilvl w:val="5"/>
      </w:numPr>
    </w:pPr>
  </w:style>
  <w:style w:type="numbering" w:customStyle="1" w:styleId="ListBullet">
    <w:name w:val="List_Bullet"/>
    <w:uiPriority w:val="99"/>
    <w:rsid w:val="00B57BE2"/>
    <w:pPr>
      <w:numPr>
        <w:numId w:val="2"/>
      </w:numPr>
    </w:pPr>
  </w:style>
  <w:style w:type="numbering" w:customStyle="1" w:styleId="ListNumberedHeadings">
    <w:name w:val="List_NumberedHeadings"/>
    <w:uiPriority w:val="99"/>
    <w:rsid w:val="00C92969"/>
    <w:pPr>
      <w:numPr>
        <w:numId w:val="4"/>
      </w:numPr>
    </w:pPr>
  </w:style>
  <w:style w:type="numbering" w:customStyle="1" w:styleId="ListTableBullet">
    <w:name w:val="List_TableBullet"/>
    <w:uiPriority w:val="99"/>
    <w:rsid w:val="00B57BE2"/>
    <w:pPr>
      <w:numPr>
        <w:numId w:val="6"/>
      </w:numPr>
    </w:pPr>
  </w:style>
  <w:style w:type="numbering" w:customStyle="1" w:styleId="ListTableNumber">
    <w:name w:val="List_TableNumber"/>
    <w:uiPriority w:val="99"/>
    <w:rsid w:val="00B57BE2"/>
    <w:pPr>
      <w:numPr>
        <w:numId w:val="7"/>
      </w:numPr>
    </w:pPr>
  </w:style>
  <w:style w:type="paragraph" w:customStyle="1" w:styleId="TableBullet2">
    <w:name w:val="Table Bullet 2"/>
    <w:basedOn w:val="TableBullet"/>
    <w:uiPriority w:val="19"/>
    <w:rsid w:val="00B57BE2"/>
    <w:pPr>
      <w:numPr>
        <w:ilvl w:val="1"/>
      </w:numPr>
    </w:pPr>
  </w:style>
  <w:style w:type="paragraph" w:customStyle="1" w:styleId="TableNumber2">
    <w:name w:val="Table Number 2"/>
    <w:basedOn w:val="TableNumber"/>
    <w:uiPriority w:val="19"/>
    <w:rsid w:val="00B57BE2"/>
    <w:pPr>
      <w:numPr>
        <w:ilvl w:val="1"/>
      </w:numPr>
    </w:pPr>
  </w:style>
  <w:style w:type="paragraph" w:customStyle="1" w:styleId="BodyText4">
    <w:name w:val="Body Text 4"/>
    <w:basedOn w:val="BodyText3"/>
    <w:uiPriority w:val="99"/>
    <w:semiHidden/>
    <w:qFormat/>
    <w:rsid w:val="00B57BE2"/>
    <w:pPr>
      <w:numPr>
        <w:ilvl w:val="3"/>
      </w:numPr>
    </w:pPr>
  </w:style>
  <w:style w:type="paragraph" w:customStyle="1" w:styleId="BodyText5">
    <w:name w:val="Body Text 5"/>
    <w:basedOn w:val="BodyText4"/>
    <w:uiPriority w:val="99"/>
    <w:semiHidden/>
    <w:qFormat/>
    <w:rsid w:val="00B57BE2"/>
    <w:pPr>
      <w:numPr>
        <w:ilvl w:val="4"/>
      </w:numPr>
    </w:pPr>
  </w:style>
  <w:style w:type="paragraph" w:customStyle="1" w:styleId="BodyText6">
    <w:name w:val="Body Text 6"/>
    <w:basedOn w:val="BodyText5"/>
    <w:uiPriority w:val="99"/>
    <w:semiHidden/>
    <w:qFormat/>
    <w:rsid w:val="00B57BE2"/>
    <w:pPr>
      <w:numPr>
        <w:ilvl w:val="5"/>
      </w:numPr>
    </w:pPr>
  </w:style>
  <w:style w:type="character" w:styleId="PlaceholderText">
    <w:name w:val="Placeholder Text"/>
    <w:uiPriority w:val="99"/>
    <w:semiHidden/>
    <w:rsid w:val="00B57BE2"/>
    <w:rPr>
      <w:color w:val="808080"/>
    </w:rPr>
  </w:style>
  <w:style w:type="table" w:customStyle="1" w:styleId="TableNoBorders">
    <w:name w:val="Table No Borders"/>
    <w:basedOn w:val="TableNormal"/>
    <w:uiPriority w:val="99"/>
    <w:rsid w:val="00B57BE2"/>
    <w:tblPr>
      <w:tblCellMar>
        <w:left w:w="0" w:type="dxa"/>
        <w:right w:w="0" w:type="dxa"/>
      </w:tblCellMar>
    </w:tblPr>
  </w:style>
  <w:style w:type="paragraph" w:styleId="FootnoteText">
    <w:name w:val="footnote text"/>
    <w:basedOn w:val="Normal"/>
    <w:link w:val="FootnoteTextChar"/>
    <w:uiPriority w:val="99"/>
    <w:semiHidden/>
    <w:rsid w:val="00B57BE2"/>
    <w:rPr>
      <w:sz w:val="18"/>
      <w:szCs w:val="20"/>
    </w:rPr>
  </w:style>
  <w:style w:type="character" w:customStyle="1" w:styleId="FootnoteTextChar">
    <w:name w:val="Footnote Text Char"/>
    <w:link w:val="FootnoteText"/>
    <w:uiPriority w:val="99"/>
    <w:semiHidden/>
    <w:rsid w:val="00EE7571"/>
    <w:rPr>
      <w:sz w:val="18"/>
      <w:szCs w:val="20"/>
    </w:rPr>
  </w:style>
  <w:style w:type="character" w:styleId="FootnoteReference">
    <w:name w:val="footnote reference"/>
    <w:uiPriority w:val="99"/>
    <w:semiHidden/>
    <w:rsid w:val="00B57BE2"/>
    <w:rPr>
      <w:color w:val="auto"/>
      <w:vertAlign w:val="superscript"/>
    </w:rPr>
  </w:style>
  <w:style w:type="character" w:customStyle="1" w:styleId="CAPS">
    <w:name w:val="CAPS"/>
    <w:uiPriority w:val="9"/>
    <w:rsid w:val="00616A87"/>
    <w:rPr>
      <w:caps/>
      <w:smallCaps w:val="0"/>
      <w:strike w:val="0"/>
      <w:dstrike w:val="0"/>
      <w:vanish w:val="0"/>
      <w:vertAlign w:val="baseline"/>
    </w:rPr>
  </w:style>
  <w:style w:type="table" w:customStyle="1" w:styleId="TableGrid1">
    <w:name w:val="Table Grid1"/>
    <w:basedOn w:val="TableNormal"/>
    <w:next w:val="TableGrid"/>
    <w:uiPriority w:val="59"/>
    <w:rsid w:val="00AD62A7"/>
    <w:pPr>
      <w:spacing w:before="8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ne">
    <w:name w:val="None"/>
    <w:rsid w:val="00AD62A7"/>
  </w:style>
  <w:style w:type="character" w:styleId="CommentReference">
    <w:name w:val="annotation reference"/>
    <w:basedOn w:val="DefaultParagraphFont"/>
    <w:uiPriority w:val="99"/>
    <w:semiHidden/>
    <w:rsid w:val="003A47A4"/>
    <w:rPr>
      <w:sz w:val="16"/>
      <w:szCs w:val="16"/>
    </w:rPr>
  </w:style>
  <w:style w:type="paragraph" w:styleId="CommentText">
    <w:name w:val="annotation text"/>
    <w:basedOn w:val="Normal"/>
    <w:link w:val="CommentTextChar"/>
    <w:uiPriority w:val="99"/>
    <w:semiHidden/>
    <w:rsid w:val="003A47A4"/>
    <w:rPr>
      <w:szCs w:val="20"/>
    </w:rPr>
  </w:style>
  <w:style w:type="character" w:customStyle="1" w:styleId="CommentTextChar">
    <w:name w:val="Comment Text Char"/>
    <w:basedOn w:val="DefaultParagraphFont"/>
    <w:link w:val="CommentText"/>
    <w:uiPriority w:val="99"/>
    <w:semiHidden/>
    <w:rsid w:val="003A47A4"/>
    <w:rPr>
      <w:lang w:eastAsia="en-US"/>
    </w:rPr>
  </w:style>
  <w:style w:type="paragraph" w:styleId="CommentSubject">
    <w:name w:val="annotation subject"/>
    <w:basedOn w:val="CommentText"/>
    <w:next w:val="CommentText"/>
    <w:link w:val="CommentSubjectChar"/>
    <w:uiPriority w:val="99"/>
    <w:semiHidden/>
    <w:rsid w:val="003A47A4"/>
    <w:rPr>
      <w:b/>
      <w:bCs/>
    </w:rPr>
  </w:style>
  <w:style w:type="character" w:customStyle="1" w:styleId="CommentSubjectChar">
    <w:name w:val="Comment Subject Char"/>
    <w:basedOn w:val="CommentTextChar"/>
    <w:link w:val="CommentSubject"/>
    <w:uiPriority w:val="99"/>
    <w:semiHidden/>
    <w:rsid w:val="003A47A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info@energynetworks.com.au" TargetMode="External"/><Relationship Id="rId1" Type="http://schemas.openxmlformats.org/officeDocument/2006/relationships/hyperlink" Target="http://www.energynetworks.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095B42-3436-43B6-A856-9DD005F47A05}">
  <ds:schemaRefs>
    <ds:schemaRef ds:uri="http://schemas.microsoft.com/sharepoint/v3/contenttype/forms"/>
  </ds:schemaRefs>
</ds:datastoreItem>
</file>

<file path=customXml/itemProps3.xml><?xml version="1.0" encoding="utf-8"?>
<ds:datastoreItem xmlns:ds="http://schemas.openxmlformats.org/officeDocument/2006/customXml" ds:itemID="{5756D4C3-D3B7-40D6-AD58-4BBF1B0F6FA8}">
  <ds:schemaRefs>
    <ds:schemaRef ds:uri="http://schemas.openxmlformats.org/officeDocument/2006/bibliography"/>
  </ds:schemaRefs>
</ds:datastoreItem>
</file>

<file path=customXml/itemProps4.xml><?xml version="1.0" encoding="utf-8"?>
<ds:datastoreItem xmlns:ds="http://schemas.openxmlformats.org/officeDocument/2006/customXml" ds:itemID="{E7EF5172-E4EC-4201-8056-E854BD30142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FB07E53-CEF4-46FA-89F3-9BCFF4890619}"/>
</file>

<file path=docProps/app.xml><?xml version="1.0" encoding="utf-8"?>
<Properties xmlns="http://schemas.openxmlformats.org/officeDocument/2006/extended-properties" xmlns:vt="http://schemas.openxmlformats.org/officeDocument/2006/docPropsVTypes">
  <Template>Normal</Template>
  <TotalTime>8</TotalTime>
  <Pages>9</Pages>
  <Words>4037</Words>
  <Characters>23011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26995</CharactersWithSpaces>
  <SharedDoc>false</SharedDoc>
  <HLinks>
    <vt:vector size="12" baseType="variant">
      <vt:variant>
        <vt:i4>3407965</vt:i4>
      </vt:variant>
      <vt:variant>
        <vt:i4>3</vt:i4>
      </vt:variant>
      <vt:variant>
        <vt:i4>0</vt:i4>
      </vt:variant>
      <vt:variant>
        <vt:i4>5</vt:i4>
      </vt:variant>
      <vt:variant>
        <vt:lpwstr>mailto:info@energynetworks.com.au</vt:lpwstr>
      </vt:variant>
      <vt:variant>
        <vt:lpwstr/>
      </vt:variant>
      <vt:variant>
        <vt:i4>4718665</vt:i4>
      </vt:variant>
      <vt:variant>
        <vt:i4>0</vt:i4>
      </vt:variant>
      <vt:variant>
        <vt:i4>0</vt:i4>
      </vt:variant>
      <vt:variant>
        <vt:i4>5</vt:i4>
      </vt:variant>
      <vt:variant>
        <vt:lpwstr>http://www.energynetworks.com.au/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Verity Watson</dc:creator>
  <cp:keywords/>
  <cp:lastModifiedBy>Verity Watson</cp:lastModifiedBy>
  <cp:revision>3</cp:revision>
  <cp:lastPrinted>2017-06-30T00:35:00Z</cp:lastPrinted>
  <dcterms:created xsi:type="dcterms:W3CDTF">2021-02-12T06:22:00Z</dcterms:created>
  <dcterms:modified xsi:type="dcterms:W3CDTF">2021-02-15T21:46:00Z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