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503353620" w:displacedByCustomXml="next"/>
    <w:bookmarkStart w:id="1" w:name="_Toc479691425" w:displacedByCustomXml="next"/>
    <w:sdt>
      <w:sdtPr>
        <w:rPr>
          <w:i w:val="0"/>
          <w:sz w:val="20"/>
        </w:rPr>
        <w:alias w:val="Date"/>
        <w:tag w:val=""/>
        <w:id w:val="-807089344"/>
        <w:placeholder>
          <w:docPart w:val="22EAFF7446B940FBB455C4F49F5C13EC"/>
        </w:placeholder>
        <w:dataBinding w:prefixMappings="xmlns:ns0='http://schemas.microsoft.com/office/2006/coverPageProps' " w:xpath="/ns0:CoverPageProperties[1]/ns0:PublishDate[1]" w:storeItemID="{55AF091B-3C7A-41E3-B477-F2FDAA23CFDA}"/>
        <w:date w:fullDate="2021-02-12T00:00:00Z">
          <w:dateFormat w:val="dddd, d MMMM yyyy"/>
          <w:lid w:val="en-AU"/>
          <w:storeMappedDataAs w:val="dateTime"/>
          <w:calendar w:val="gregorian"/>
        </w:date>
      </w:sdtPr>
      <w:sdtEndPr>
        <w:rPr>
          <w:i/>
          <w:sz w:val="19"/>
        </w:rPr>
      </w:sdtEndPr>
      <w:sdtContent>
        <w:p w14:paraId="6BFCF66E" w14:textId="604C9FAD" w:rsidR="00DA6AC1" w:rsidRPr="008D4771" w:rsidRDefault="002B6015" w:rsidP="00906B45">
          <w:pPr>
            <w:pStyle w:val="Date"/>
          </w:pPr>
          <w:r w:rsidRPr="008D4771">
            <w:rPr>
              <w:i w:val="0"/>
              <w:sz w:val="20"/>
            </w:rPr>
            <w:t xml:space="preserve">Friday, </w:t>
          </w:r>
          <w:r w:rsidR="00C43906" w:rsidRPr="008D4771">
            <w:rPr>
              <w:i w:val="0"/>
              <w:sz w:val="20"/>
            </w:rPr>
            <w:t>12</w:t>
          </w:r>
          <w:r w:rsidRPr="008D4771">
            <w:rPr>
              <w:i w:val="0"/>
              <w:sz w:val="20"/>
            </w:rPr>
            <w:t xml:space="preserve"> February 2021</w:t>
          </w:r>
        </w:p>
      </w:sdtContent>
    </w:sdt>
    <w:p w14:paraId="4ACEAD5F" w14:textId="77777777" w:rsidR="00906B45" w:rsidRPr="008D4771" w:rsidRDefault="00906B45" w:rsidP="00906B45">
      <w:pPr>
        <w:pStyle w:val="BodyText"/>
      </w:pPr>
    </w:p>
    <w:p w14:paraId="66E08E2F" w14:textId="77777777" w:rsidR="00C43906" w:rsidRPr="008D4771" w:rsidRDefault="00C43906" w:rsidP="002B6015">
      <w:pPr>
        <w:pStyle w:val="Default"/>
        <w:rPr>
          <w:rFonts w:asciiTheme="minorHAnsi" w:hAnsiTheme="minorHAnsi" w:cstheme="minorBidi"/>
          <w:color w:val="auto"/>
          <w:sz w:val="20"/>
          <w:szCs w:val="22"/>
        </w:rPr>
      </w:pPr>
      <w:r w:rsidRPr="008D4771">
        <w:rPr>
          <w:rFonts w:asciiTheme="minorHAnsi" w:hAnsiTheme="minorHAnsi" w:cstheme="minorBidi"/>
          <w:color w:val="auto"/>
          <w:sz w:val="20"/>
          <w:szCs w:val="22"/>
        </w:rPr>
        <w:t>Dr Kerry Schott AO</w:t>
      </w:r>
    </w:p>
    <w:p w14:paraId="12919D3E" w14:textId="77777777" w:rsidR="00C43906" w:rsidRPr="008D4771" w:rsidRDefault="00C43906" w:rsidP="002B6015">
      <w:pPr>
        <w:pStyle w:val="Default"/>
        <w:rPr>
          <w:rFonts w:asciiTheme="minorHAnsi" w:hAnsiTheme="minorHAnsi" w:cstheme="minorBidi"/>
          <w:color w:val="auto"/>
          <w:sz w:val="20"/>
          <w:szCs w:val="22"/>
        </w:rPr>
      </w:pPr>
      <w:r w:rsidRPr="008D4771">
        <w:rPr>
          <w:rFonts w:asciiTheme="minorHAnsi" w:hAnsiTheme="minorHAnsi" w:cstheme="minorBidi"/>
          <w:color w:val="auto"/>
          <w:sz w:val="20"/>
          <w:szCs w:val="22"/>
        </w:rPr>
        <w:t xml:space="preserve">Chair </w:t>
      </w:r>
    </w:p>
    <w:p w14:paraId="23779DC5" w14:textId="21294450" w:rsidR="002B6015" w:rsidRPr="008D4771" w:rsidRDefault="00C43906" w:rsidP="002B6015">
      <w:pPr>
        <w:pStyle w:val="Default"/>
        <w:rPr>
          <w:rFonts w:asciiTheme="minorHAnsi" w:hAnsiTheme="minorHAnsi" w:cstheme="minorBidi"/>
          <w:color w:val="auto"/>
          <w:sz w:val="20"/>
          <w:szCs w:val="22"/>
        </w:rPr>
      </w:pPr>
      <w:r w:rsidRPr="008D4771">
        <w:rPr>
          <w:rFonts w:asciiTheme="minorHAnsi" w:hAnsiTheme="minorHAnsi" w:cstheme="minorBidi"/>
          <w:color w:val="auto"/>
          <w:sz w:val="20"/>
          <w:szCs w:val="22"/>
        </w:rPr>
        <w:t>Energy Security Board</w:t>
      </w:r>
      <w:r w:rsidR="002B6015" w:rsidRPr="008D4771">
        <w:rPr>
          <w:rFonts w:asciiTheme="minorHAnsi" w:hAnsiTheme="minorHAnsi" w:cstheme="minorBidi"/>
          <w:color w:val="auto"/>
          <w:sz w:val="20"/>
          <w:szCs w:val="22"/>
        </w:rPr>
        <w:t xml:space="preserve"> </w:t>
      </w:r>
    </w:p>
    <w:p w14:paraId="68EE0047" w14:textId="113A5FD3" w:rsidR="00EE6422" w:rsidRPr="008D4771" w:rsidRDefault="00EE6422" w:rsidP="00EE6422">
      <w:pPr>
        <w:pStyle w:val="BodyText"/>
      </w:pPr>
    </w:p>
    <w:p w14:paraId="71E3193F" w14:textId="00B65659" w:rsidR="002B6015" w:rsidRPr="008D4771" w:rsidRDefault="004323A0" w:rsidP="00EE6422">
      <w:pPr>
        <w:pStyle w:val="BodyText"/>
      </w:pPr>
      <w:r w:rsidRPr="008D4771">
        <w:t xml:space="preserve">Lodged </w:t>
      </w:r>
      <w:r w:rsidR="00451365" w:rsidRPr="008D4771">
        <w:t>b</w:t>
      </w:r>
      <w:r w:rsidR="002B6015" w:rsidRPr="008D4771">
        <w:t xml:space="preserve">y email: </w:t>
      </w:r>
      <w:r w:rsidR="00C43906" w:rsidRPr="008D4771">
        <w:t>info@esb.org.au</w:t>
      </w:r>
    </w:p>
    <w:p w14:paraId="410675C3" w14:textId="5D7FCC63" w:rsidR="00906B45" w:rsidRPr="008D4771" w:rsidRDefault="00906B45" w:rsidP="00906B45">
      <w:pPr>
        <w:pStyle w:val="BodyText"/>
        <w:spacing w:before="240" w:after="240"/>
      </w:pPr>
      <w:r w:rsidRPr="008D4771">
        <w:t xml:space="preserve">Dear </w:t>
      </w:r>
      <w:r w:rsidR="00C43906" w:rsidRPr="008D4771">
        <w:t>Dr Schott</w:t>
      </w:r>
    </w:p>
    <w:p w14:paraId="7D2C8851" w14:textId="6E10F361" w:rsidR="00906B45" w:rsidRPr="008D4771" w:rsidRDefault="00906B45" w:rsidP="002B6015">
      <w:pPr>
        <w:pStyle w:val="Heading3"/>
      </w:pPr>
      <w:r w:rsidRPr="008D4771">
        <w:br/>
        <w:t xml:space="preserve">RE: </w:t>
      </w:r>
      <w:bookmarkStart w:id="2" w:name="_Hlk61530485"/>
      <w:r w:rsidR="00C43906" w:rsidRPr="008D4771">
        <w:t>Stage 2 REZ consultation</w:t>
      </w:r>
      <w:bookmarkEnd w:id="2"/>
      <w:r w:rsidR="00C43906" w:rsidRPr="008D4771">
        <w:t xml:space="preserve"> </w:t>
      </w:r>
      <w:r w:rsidRPr="008D4771">
        <w:br/>
      </w:r>
    </w:p>
    <w:p w14:paraId="7F17B211" w14:textId="194FAFB8" w:rsidR="001F25BA" w:rsidRPr="008D4771" w:rsidRDefault="00906B45" w:rsidP="001F25BA">
      <w:pPr>
        <w:pStyle w:val="BodyText"/>
      </w:pPr>
      <w:r w:rsidRPr="008D4771">
        <w:t>ERM Power Retail Pty Ltd (ERM Power) welcomes the opportunity to respond to</w:t>
      </w:r>
      <w:r w:rsidR="002B6015" w:rsidRPr="008D4771">
        <w:t xml:space="preserve"> the </w:t>
      </w:r>
      <w:r w:rsidR="00C43906" w:rsidRPr="008D4771">
        <w:t>Energy Security Board’s (ESB’s) consultation paper on an interim R</w:t>
      </w:r>
      <w:r w:rsidR="00451365" w:rsidRPr="008D4771">
        <w:t>enewable Energy Zone (R</w:t>
      </w:r>
      <w:r w:rsidR="00C43906" w:rsidRPr="008D4771">
        <w:t>EZ</w:t>
      </w:r>
      <w:r w:rsidR="00451365" w:rsidRPr="008D4771">
        <w:t>)</w:t>
      </w:r>
      <w:r w:rsidR="00C43906" w:rsidRPr="008D4771">
        <w:t xml:space="preserve"> framework</w:t>
      </w:r>
      <w:r w:rsidR="001553CB" w:rsidRPr="008D4771">
        <w:t>.</w:t>
      </w:r>
    </w:p>
    <w:p w14:paraId="2F2F39E3" w14:textId="60E2A181" w:rsidR="000C0336" w:rsidRPr="008D4771" w:rsidRDefault="001F25BA" w:rsidP="00906B45">
      <w:pPr>
        <w:pStyle w:val="Heading3"/>
      </w:pPr>
      <w:r w:rsidRPr="008D4771">
        <w:t xml:space="preserve">About ERM Power </w:t>
      </w:r>
    </w:p>
    <w:p w14:paraId="04A13FE0" w14:textId="7D0F5652" w:rsidR="000C0336" w:rsidRPr="008D4771" w:rsidRDefault="000C0336" w:rsidP="000C0336">
      <w:pPr>
        <w:pStyle w:val="BodyText"/>
      </w:pPr>
      <w:r w:rsidRPr="008D4771">
        <w:t>ERM Power (ERM) is a subsidiary of Shell Energy Australia Pty Ltd (Shell Energy). ERM is one of Australia’s leading commercial and industrial electricity retailers, providing large businesses with end to end energy management, from electricity retailing to integrated solutions that improve energy productivity. Market-leading customer satisfaction has fuelled ERM’s growth, and today the Company is the second largest electricity provider to commercial businesses and industrials in Australia by load</w:t>
      </w:r>
      <w:r w:rsidR="001F25BA" w:rsidRPr="008D4771">
        <w:rPr>
          <w:rStyle w:val="FootnoteReference"/>
        </w:rPr>
        <w:footnoteReference w:id="2"/>
      </w:r>
      <w:r w:rsidR="001F25BA" w:rsidRPr="008D4771">
        <w:t xml:space="preserve">. </w:t>
      </w:r>
      <w:r w:rsidRPr="008D4771">
        <w:t>ERM also operates 662 megawatts of low emission, gas-fired peaking power stations in Western Australia and Queensland, supporting the industry’s transition to renewables</w:t>
      </w:r>
      <w:r w:rsidR="001F25BA" w:rsidRPr="008D4771">
        <w:t xml:space="preserve">. </w:t>
      </w:r>
    </w:p>
    <w:p w14:paraId="5257B289" w14:textId="752A137F" w:rsidR="001F25BA" w:rsidRPr="008D4771" w:rsidRDefault="00B74158" w:rsidP="000C0336">
      <w:pPr>
        <w:pStyle w:val="BodyText"/>
      </w:pPr>
      <w:hyperlink r:id="rId12" w:history="1">
        <w:r w:rsidR="00D604C7" w:rsidRPr="008D4771">
          <w:rPr>
            <w:rStyle w:val="Hyperlink"/>
          </w:rPr>
          <w:t>http://www.ermpower.com.au</w:t>
        </w:r>
      </w:hyperlink>
      <w:r w:rsidR="000C0336" w:rsidRPr="008D4771">
        <w:t xml:space="preserve"> </w:t>
      </w:r>
      <w:r w:rsidR="001F25BA" w:rsidRPr="008D4771">
        <w:br/>
      </w:r>
      <w:hyperlink r:id="rId13" w:history="1">
        <w:r w:rsidR="000C0336" w:rsidRPr="008D4771">
          <w:rPr>
            <w:rStyle w:val="Hyperlink"/>
          </w:rPr>
          <w:t>https://www.shell.com.au/business-customers/shell-energy-australia.html</w:t>
        </w:r>
      </w:hyperlink>
      <w:r w:rsidR="000C0336" w:rsidRPr="008D4771">
        <w:t xml:space="preserve"> </w:t>
      </w:r>
    </w:p>
    <w:p w14:paraId="09691F51" w14:textId="4004D2F8" w:rsidR="001F25BA" w:rsidRPr="008D4771" w:rsidRDefault="00167E5A" w:rsidP="00906B45">
      <w:pPr>
        <w:pStyle w:val="Heading3"/>
      </w:pPr>
      <w:r w:rsidRPr="008D4771">
        <w:t>General comments</w:t>
      </w:r>
    </w:p>
    <w:p w14:paraId="3471E7FA" w14:textId="17D535A5" w:rsidR="004323A0" w:rsidRPr="008D4771" w:rsidRDefault="00451365" w:rsidP="00C24FFC">
      <w:pPr>
        <w:pStyle w:val="BodyText"/>
      </w:pPr>
      <w:r w:rsidRPr="008D4771">
        <w:t xml:space="preserve">Broadly speaking, the ESB’s proposed interim REZ framework has </w:t>
      </w:r>
      <w:r w:rsidR="009D1790">
        <w:t>four</w:t>
      </w:r>
      <w:r w:rsidRPr="008D4771">
        <w:t xml:space="preserve"> components:</w:t>
      </w:r>
    </w:p>
    <w:p w14:paraId="7CC11D80" w14:textId="21CD75D6" w:rsidR="006F4809" w:rsidRDefault="006F4809" w:rsidP="00451365">
      <w:pPr>
        <w:pStyle w:val="BodyText"/>
        <w:numPr>
          <w:ilvl w:val="0"/>
          <w:numId w:val="21"/>
        </w:numPr>
      </w:pPr>
      <w:r>
        <w:t>a process for planning the REZ so that it delivers the greatest net benefit for consumers over the long</w:t>
      </w:r>
      <w:r w:rsidR="009D1790">
        <w:t xml:space="preserve"> </w:t>
      </w:r>
      <w:r>
        <w:t xml:space="preserve">term </w:t>
      </w:r>
    </w:p>
    <w:p w14:paraId="77B931D5" w14:textId="5E6F1D55" w:rsidR="009D1790" w:rsidRDefault="009D1790" w:rsidP="00451365">
      <w:pPr>
        <w:pStyle w:val="BodyText"/>
        <w:numPr>
          <w:ilvl w:val="0"/>
          <w:numId w:val="21"/>
        </w:numPr>
      </w:pPr>
      <w:r>
        <w:t xml:space="preserve">a process for funding the REZ (noting that the consultation paper focuses on a ‘regulated’ REZ model) </w:t>
      </w:r>
    </w:p>
    <w:p w14:paraId="13F19D52" w14:textId="4A3F2496" w:rsidR="00451365" w:rsidRPr="008D4771" w:rsidRDefault="00451365" w:rsidP="00451365">
      <w:pPr>
        <w:pStyle w:val="BodyText"/>
        <w:numPr>
          <w:ilvl w:val="0"/>
          <w:numId w:val="21"/>
        </w:numPr>
      </w:pPr>
      <w:r>
        <w:t xml:space="preserve">a process </w:t>
      </w:r>
      <w:r w:rsidR="00A15E73">
        <w:t>for establishing the REZ, including an allocation of</w:t>
      </w:r>
      <w:r>
        <w:t xml:space="preserve"> transmission access rights </w:t>
      </w:r>
      <w:r w:rsidR="0A9C42C7">
        <w:t xml:space="preserve">within the REZ </w:t>
      </w:r>
      <w:r>
        <w:t xml:space="preserve">to proponents that become part of </w:t>
      </w:r>
      <w:r w:rsidR="00A15E73">
        <w:t>it</w:t>
      </w:r>
      <w:r>
        <w:t xml:space="preserve"> (REZ participants)</w:t>
      </w:r>
    </w:p>
    <w:p w14:paraId="1ABC12B2" w14:textId="605CCE33" w:rsidR="00451365" w:rsidRPr="008D4771" w:rsidRDefault="00451365" w:rsidP="00451365">
      <w:pPr>
        <w:pStyle w:val="BodyText"/>
        <w:numPr>
          <w:ilvl w:val="0"/>
          <w:numId w:val="21"/>
        </w:numPr>
      </w:pPr>
      <w:r w:rsidRPr="008D4771">
        <w:t>a description of what the access rights</w:t>
      </w:r>
      <w:r w:rsidR="006E0B0E" w:rsidRPr="008D4771">
        <w:t xml:space="preserve"> could</w:t>
      </w:r>
      <w:r w:rsidRPr="008D4771">
        <w:t xml:space="preserve"> </w:t>
      </w:r>
      <w:r w:rsidR="006E0B0E" w:rsidRPr="008D4771">
        <w:t>look like in practice.</w:t>
      </w:r>
    </w:p>
    <w:p w14:paraId="7CD7383E" w14:textId="14B22D2F" w:rsidR="00152F6B" w:rsidRPr="008D4771" w:rsidRDefault="006E0B0E" w:rsidP="00C24FFC">
      <w:pPr>
        <w:pStyle w:val="BodyText"/>
      </w:pPr>
      <w:r w:rsidRPr="008D4771">
        <w:t xml:space="preserve">ERM considers these components to be </w:t>
      </w:r>
      <w:r w:rsidR="00F42719">
        <w:t xml:space="preserve">a </w:t>
      </w:r>
      <w:r w:rsidRPr="008D4771">
        <w:t>sensible starting point for developing a REZ framework</w:t>
      </w:r>
      <w:r w:rsidR="009D1790">
        <w:rPr>
          <w:rStyle w:val="FootnoteReference"/>
        </w:rPr>
        <w:footnoteReference w:id="3"/>
      </w:r>
      <w:r w:rsidRPr="008D4771">
        <w:t xml:space="preserve">. However, ERM disagrees with </w:t>
      </w:r>
      <w:r w:rsidR="00152F6B" w:rsidRPr="008D4771">
        <w:t>a range of</w:t>
      </w:r>
      <w:r w:rsidRPr="008D4771">
        <w:t xml:space="preserve"> arguments presented in the consultation paper. </w:t>
      </w:r>
      <w:r w:rsidR="00152F6B" w:rsidRPr="008D4771">
        <w:t>Many of these arguments stem from the ESB’s view that:</w:t>
      </w:r>
    </w:p>
    <w:p w14:paraId="4E6225E3" w14:textId="14FE8586" w:rsidR="00152F6B" w:rsidRPr="008D4771" w:rsidRDefault="00152F6B" w:rsidP="00152F6B">
      <w:pPr>
        <w:pStyle w:val="BodyText"/>
        <w:ind w:left="720"/>
        <w:rPr>
          <w:i/>
          <w:iCs/>
        </w:rPr>
      </w:pPr>
      <w:r w:rsidRPr="008D4771">
        <w:rPr>
          <w:i/>
          <w:iCs/>
        </w:rPr>
        <w:lastRenderedPageBreak/>
        <w:t>“More locational pricing with financial transmission rights appears to be the only alternative put forward to date that can work across the whole of the National Electricity Market and drive both more efficient investment and more efficient dispatch and use of the network.”</w:t>
      </w:r>
      <w:r w:rsidRPr="008D4771">
        <w:rPr>
          <w:rStyle w:val="FootnoteReference"/>
          <w:i/>
          <w:iCs/>
        </w:rPr>
        <w:footnoteReference w:id="4"/>
      </w:r>
      <w:r w:rsidRPr="008D4771">
        <w:rPr>
          <w:i/>
          <w:iCs/>
        </w:rPr>
        <w:t xml:space="preserve"> </w:t>
      </w:r>
    </w:p>
    <w:p w14:paraId="5078CFDD" w14:textId="16A6A5BC" w:rsidR="00CC30C0" w:rsidRPr="008D4771" w:rsidRDefault="00152F6B" w:rsidP="00C24FFC">
      <w:pPr>
        <w:pStyle w:val="BodyText"/>
      </w:pPr>
      <w:r>
        <w:t xml:space="preserve">ERM does not understand why the ESB continues to </w:t>
      </w:r>
      <w:r w:rsidR="6C5D41EA">
        <w:t>support</w:t>
      </w:r>
      <w:r>
        <w:t xml:space="preserve"> an access regime based on financial transmission rights (FTR) and locational marginal pricing (LMP). </w:t>
      </w:r>
      <w:r w:rsidR="00A15E73">
        <w:t>This type of framework</w:t>
      </w:r>
      <w:r w:rsidR="00CC30C0">
        <w:t xml:space="preserve"> was overwhelming rejected by industry in its collective response to the </w:t>
      </w:r>
      <w:r>
        <w:t>Australian Energy Market Commission’s (AEMC’s) proposed Coordination of Generation and Transmission Investment (COGATI) reforms</w:t>
      </w:r>
      <w:r w:rsidR="00CC30C0">
        <w:t>.</w:t>
      </w:r>
      <w:r w:rsidR="008D4771">
        <w:t xml:space="preserve"> </w:t>
      </w:r>
      <w:r w:rsidR="00CC30C0">
        <w:t xml:space="preserve">By framing the interim REZ framework as a ‘stepping stone’ to an FTR/LMP scheme, the </w:t>
      </w:r>
      <w:r w:rsidR="008D4771">
        <w:t>ESB has</w:t>
      </w:r>
      <w:r w:rsidR="00CC30C0">
        <w:t xml:space="preserve"> missed an opportunity to consider more </w:t>
      </w:r>
      <w:r w:rsidR="00DC7DE8">
        <w:t>appropriate</w:t>
      </w:r>
      <w:r w:rsidR="00CC30C0">
        <w:t xml:space="preserve"> options at a greater level of detail. </w:t>
      </w:r>
    </w:p>
    <w:p w14:paraId="152170AF" w14:textId="08E10F30" w:rsidR="009D1790" w:rsidRDefault="008D4771" w:rsidP="00C24FFC">
      <w:pPr>
        <w:pStyle w:val="BodyText"/>
      </w:pPr>
      <w:r w:rsidRPr="008D4771">
        <w:t xml:space="preserve">To assist the ESB to develop a workable REZ framework, this submission details areas for </w:t>
      </w:r>
      <w:r>
        <w:t xml:space="preserve">further consideration. </w:t>
      </w:r>
      <w:r w:rsidR="006B3A7A">
        <w:t>W</w:t>
      </w:r>
      <w:r w:rsidR="005B57A3">
        <w:t xml:space="preserve">e </w:t>
      </w:r>
      <w:r w:rsidR="00741C34">
        <w:t>begin by</w:t>
      </w:r>
      <w:r w:rsidR="008C6130">
        <w:t xml:space="preserve"> </w:t>
      </w:r>
      <w:r w:rsidR="00590410">
        <w:t>address</w:t>
      </w:r>
      <w:r w:rsidR="00F11844">
        <w:t>ing</w:t>
      </w:r>
      <w:r w:rsidR="00590410">
        <w:t xml:space="preserve"> why </w:t>
      </w:r>
      <w:r w:rsidR="005730E9">
        <w:t>an FTR</w:t>
      </w:r>
      <w:r w:rsidR="004D308B">
        <w:t>/</w:t>
      </w:r>
      <w:r w:rsidR="005730E9">
        <w:t>LMP regime is not appropriate</w:t>
      </w:r>
      <w:r w:rsidR="00F11844">
        <w:t xml:space="preserve">. We then </w:t>
      </w:r>
      <w:r w:rsidR="00952252">
        <w:t>review the</w:t>
      </w:r>
      <w:r w:rsidR="005730E9">
        <w:t xml:space="preserve"> </w:t>
      </w:r>
      <w:r w:rsidR="004D308B">
        <w:t xml:space="preserve">ESB’s proposed </w:t>
      </w:r>
      <w:r w:rsidR="0023738E">
        <w:t xml:space="preserve">REZ </w:t>
      </w:r>
      <w:r w:rsidR="004D308B">
        <w:t>framework</w:t>
      </w:r>
      <w:r w:rsidR="0023738E">
        <w:t xml:space="preserve"> and access options</w:t>
      </w:r>
      <w:r w:rsidR="0055685D">
        <w:t>.</w:t>
      </w:r>
      <w:r w:rsidR="0023738E">
        <w:t xml:space="preserve"> We conclude</w:t>
      </w:r>
      <w:r w:rsidR="00E91E6C">
        <w:t xml:space="preserve"> by </w:t>
      </w:r>
      <w:r w:rsidR="00893B3E">
        <w:t>proposing</w:t>
      </w:r>
      <w:r w:rsidR="006E0B0E" w:rsidRPr="008D4771">
        <w:t xml:space="preserve"> an alternative </w:t>
      </w:r>
      <w:r w:rsidR="00026CDE">
        <w:t xml:space="preserve">access </w:t>
      </w:r>
      <w:r w:rsidR="006E0B0E" w:rsidRPr="008D4771">
        <w:t xml:space="preserve">option that </w:t>
      </w:r>
      <w:r w:rsidR="00D1155C">
        <w:t xml:space="preserve">does not require </w:t>
      </w:r>
      <w:r w:rsidR="007F6425">
        <w:t>an FTR/</w:t>
      </w:r>
      <w:r w:rsidR="00D1155C">
        <w:t>LMP</w:t>
      </w:r>
      <w:r w:rsidR="007F6425">
        <w:t xml:space="preserve"> scheme</w:t>
      </w:r>
      <w:r w:rsidR="00D1155C">
        <w:t xml:space="preserve">, and </w:t>
      </w:r>
      <w:r w:rsidR="006E0B0E" w:rsidRPr="008D4771">
        <w:t xml:space="preserve">is consistent with the </w:t>
      </w:r>
      <w:r w:rsidRPr="008D4771">
        <w:t xml:space="preserve">AEMC’s </w:t>
      </w:r>
      <w:r w:rsidR="006E0B0E" w:rsidRPr="008D4771">
        <w:t xml:space="preserve">designated network asset (DNA) </w:t>
      </w:r>
      <w:r w:rsidR="00475464">
        <w:t xml:space="preserve">draft </w:t>
      </w:r>
      <w:r w:rsidR="006E0B0E" w:rsidRPr="008D4771">
        <w:t>rule change</w:t>
      </w:r>
      <w:r w:rsidRPr="008D4771">
        <w:t>.</w:t>
      </w:r>
      <w:r w:rsidR="006F4809">
        <w:t xml:space="preserve"> </w:t>
      </w:r>
    </w:p>
    <w:p w14:paraId="6DB868C5" w14:textId="5DD12561" w:rsidR="00C24FFC" w:rsidRPr="008D4771" w:rsidRDefault="0018124B" w:rsidP="00C24FFC">
      <w:pPr>
        <w:pStyle w:val="Heading3"/>
      </w:pPr>
      <w:r>
        <w:t xml:space="preserve">A REZ framework </w:t>
      </w:r>
      <w:r w:rsidR="00936F65">
        <w:t xml:space="preserve">should </w:t>
      </w:r>
      <w:r>
        <w:t>not</w:t>
      </w:r>
      <w:r w:rsidR="00936F65">
        <w:t xml:space="preserve"> be</w:t>
      </w:r>
      <w:r>
        <w:t xml:space="preserve"> a ‘stepping stone’ to </w:t>
      </w:r>
      <w:r w:rsidR="00F75B26">
        <w:t>FTR</w:t>
      </w:r>
      <w:r w:rsidR="00C24FFC">
        <w:t xml:space="preserve"> and </w:t>
      </w:r>
      <w:r w:rsidR="00F75B26">
        <w:t>LMP</w:t>
      </w:r>
    </w:p>
    <w:p w14:paraId="36A19DF4" w14:textId="3B78C708" w:rsidR="003A16C7" w:rsidRPr="008D4771" w:rsidRDefault="003A16C7" w:rsidP="003A16C7">
      <w:pPr>
        <w:pStyle w:val="BodyText"/>
      </w:pPr>
      <w:r w:rsidRPr="008D4771">
        <w:t xml:space="preserve">Throughout the consultation paper, the ESB makes positive references to LMP and </w:t>
      </w:r>
      <w:r w:rsidR="008D4771" w:rsidRPr="008D4771">
        <w:t>FTR</w:t>
      </w:r>
      <w:r w:rsidRPr="008D4771">
        <w:t xml:space="preserve">. The overall sentiment is </w:t>
      </w:r>
      <w:r w:rsidR="00F66096">
        <w:t>captured</w:t>
      </w:r>
      <w:r w:rsidRPr="008D4771">
        <w:t xml:space="preserve"> by the following statement:</w:t>
      </w:r>
    </w:p>
    <w:p w14:paraId="3A90C62D" w14:textId="2EA5E773" w:rsidR="008D4771" w:rsidRPr="008D4771" w:rsidRDefault="003A16C7" w:rsidP="00FD4986">
      <w:pPr>
        <w:pStyle w:val="BodyText"/>
        <w:ind w:left="720"/>
      </w:pPr>
      <w:r w:rsidRPr="008D4771">
        <w:rPr>
          <w:i/>
          <w:iCs/>
        </w:rPr>
        <w:t>“The ESB is exploring REZ options that can form a stepping stone towards locational marginal pricing and financial transmission rights as a long term solution for transmission access</w:t>
      </w:r>
      <w:r w:rsidR="008D4771" w:rsidRPr="008D4771">
        <w:rPr>
          <w:i/>
          <w:iCs/>
        </w:rPr>
        <w:t>…</w:t>
      </w:r>
      <w:r w:rsidRPr="008D4771">
        <w:t>”</w:t>
      </w:r>
      <w:r w:rsidRPr="008D4771">
        <w:rPr>
          <w:rStyle w:val="FootnoteReference"/>
        </w:rPr>
        <w:footnoteReference w:id="5"/>
      </w:r>
    </w:p>
    <w:p w14:paraId="7D4ECA54" w14:textId="34F1DF39" w:rsidR="00863A17" w:rsidRDefault="00863A17" w:rsidP="003A16C7">
      <w:pPr>
        <w:pStyle w:val="BodyText"/>
      </w:pPr>
      <w:r>
        <w:t>ERM disagrees that the ESB has done this “in a way that mitigates the important negative impacts identified by stakeholders”.</w:t>
      </w:r>
      <w:r w:rsidRPr="00863A17">
        <w:rPr>
          <w:rStyle w:val="FootnoteReference"/>
        </w:rPr>
        <w:t xml:space="preserve"> </w:t>
      </w:r>
      <w:r w:rsidRPr="008D4771">
        <w:rPr>
          <w:rStyle w:val="FootnoteReference"/>
        </w:rPr>
        <w:footnoteReference w:id="6"/>
      </w:r>
    </w:p>
    <w:p w14:paraId="5DA1D3E0" w14:textId="064A8B67" w:rsidR="003A16C7" w:rsidRPr="008D4771" w:rsidRDefault="003A16C7" w:rsidP="003A16C7">
      <w:pPr>
        <w:pStyle w:val="BodyText"/>
      </w:pPr>
      <w:r>
        <w:t xml:space="preserve">ERM is concerned that the ESB continues to </w:t>
      </w:r>
      <w:r w:rsidR="00A06C2C">
        <w:t>support</w:t>
      </w:r>
      <w:r>
        <w:t xml:space="preserve"> an FTR/LMP regime. The ESB appears not to have taken on board industry views provided to the AEMC as part of COGATI consultation. During this process, the vast majority of stakeholders (including</w:t>
      </w:r>
      <w:r w:rsidR="00E36231">
        <w:t xml:space="preserve"> investors, generators, retailers and consumer groups</w:t>
      </w:r>
      <w:r>
        <w:t xml:space="preserve">) comprehensively rejected that the proposed FTR/LMP framework would be effective or workable. ERM urges the ESB to review the COGATI </w:t>
      </w:r>
      <w:r w:rsidR="00BD1354">
        <w:t>feedback, and redirect its resources to pursue a more reasonable REZ framework.</w:t>
      </w:r>
    </w:p>
    <w:p w14:paraId="1FC2728E" w14:textId="1731BDBF" w:rsidR="003A16C7" w:rsidRDefault="00863A17" w:rsidP="00863A17">
      <w:pPr>
        <w:pStyle w:val="Heading3"/>
      </w:pPr>
      <w:r>
        <w:t>Disorderly bidding</w:t>
      </w:r>
      <w:r w:rsidR="0018124B">
        <w:t xml:space="preserve"> is not a material issue</w:t>
      </w:r>
    </w:p>
    <w:p w14:paraId="479C05EE" w14:textId="08AA4AD6" w:rsidR="00194EED" w:rsidRDefault="00863A17" w:rsidP="003A16C7">
      <w:pPr>
        <w:pStyle w:val="BodyText"/>
      </w:pPr>
      <w:r>
        <w:t xml:space="preserve">Part of the ESB’s </w:t>
      </w:r>
      <w:r w:rsidR="00475464">
        <w:t>preference for</w:t>
      </w:r>
      <w:r>
        <w:t xml:space="preserve"> an FTR/LMP regime appears to be as a solution to disorderly bidding</w:t>
      </w:r>
      <w:r w:rsidR="00513EA0">
        <w:t xml:space="preserve">. Once again, ERM refers </w:t>
      </w:r>
      <w:r w:rsidR="00194EED">
        <w:t xml:space="preserve">the </w:t>
      </w:r>
      <w:r w:rsidR="00513EA0">
        <w:t xml:space="preserve">ESB to </w:t>
      </w:r>
      <w:r w:rsidR="00194EED">
        <w:t>industry</w:t>
      </w:r>
      <w:r w:rsidR="00513EA0">
        <w:t xml:space="preserve"> feedback provided as part of the COGATI consultation. As outlined in many submissions (including from ERM</w:t>
      </w:r>
      <w:r w:rsidR="00513EA0">
        <w:rPr>
          <w:rStyle w:val="FootnoteReference"/>
        </w:rPr>
        <w:footnoteReference w:id="7"/>
      </w:r>
      <w:r w:rsidR="00513EA0">
        <w:t xml:space="preserve"> and AEMO</w:t>
      </w:r>
      <w:r w:rsidR="00513EA0">
        <w:rPr>
          <w:rStyle w:val="FootnoteReference"/>
        </w:rPr>
        <w:footnoteReference w:id="8"/>
      </w:r>
      <w:r w:rsidR="00513EA0">
        <w:t>)</w:t>
      </w:r>
      <w:r w:rsidR="00194EED">
        <w:t>:</w:t>
      </w:r>
    </w:p>
    <w:p w14:paraId="434A9C55" w14:textId="77777777" w:rsidR="00194EED" w:rsidRDefault="00513EA0" w:rsidP="00194EED">
      <w:pPr>
        <w:pStyle w:val="BodyText"/>
        <w:numPr>
          <w:ilvl w:val="0"/>
          <w:numId w:val="22"/>
        </w:numPr>
      </w:pPr>
      <w:r>
        <w:t>disorderly bidding is not currently a material problem</w:t>
      </w:r>
    </w:p>
    <w:p w14:paraId="43BB49C2" w14:textId="77777777" w:rsidR="008D7B50" w:rsidRDefault="00194EED" w:rsidP="00194EED">
      <w:pPr>
        <w:pStyle w:val="BodyText"/>
        <w:numPr>
          <w:ilvl w:val="0"/>
          <w:numId w:val="22"/>
        </w:numPr>
      </w:pPr>
      <w:r>
        <w:t xml:space="preserve">it is not clear that </w:t>
      </w:r>
      <w:r w:rsidR="008D7B50">
        <w:t>disorderly bidding will become a material problem in the future</w:t>
      </w:r>
    </w:p>
    <w:p w14:paraId="3289E47B" w14:textId="77777777" w:rsidR="008D7B50" w:rsidRDefault="008D7B50" w:rsidP="00194EED">
      <w:pPr>
        <w:pStyle w:val="BodyText"/>
        <w:numPr>
          <w:ilvl w:val="0"/>
          <w:numId w:val="22"/>
        </w:numPr>
      </w:pPr>
      <w:r>
        <w:t>it is not clear whether LMP would solve or lead to new forms of disorderly bidding.</w:t>
      </w:r>
    </w:p>
    <w:p w14:paraId="21CBE8BC" w14:textId="2836C480" w:rsidR="00863A17" w:rsidRPr="008D4771" w:rsidRDefault="008D7B50" w:rsidP="008D7B50">
      <w:pPr>
        <w:pStyle w:val="BodyText"/>
      </w:pPr>
      <w:r>
        <w:t>As a result, it does not make sense for a primary objective of the REZ framework to be addressing disorderly bidding – particularly with an FTR/LMP regime.</w:t>
      </w:r>
      <w:r w:rsidR="0058140B">
        <w:t xml:space="preserve"> </w:t>
      </w:r>
      <w:r w:rsidR="00FD4986">
        <w:t>This substantially weakens some of the ESB’s arguments relating to the options in Section 5 of the consultation paper.</w:t>
      </w:r>
    </w:p>
    <w:p w14:paraId="644E522B" w14:textId="296F31F3" w:rsidR="00863A17" w:rsidRDefault="00F66096" w:rsidP="008D7B50">
      <w:pPr>
        <w:pStyle w:val="Heading3"/>
      </w:pPr>
      <w:r>
        <w:lastRenderedPageBreak/>
        <w:t>A</w:t>
      </w:r>
      <w:r w:rsidR="008D7B50">
        <w:t xml:space="preserve"> </w:t>
      </w:r>
      <w:r w:rsidR="00E07B9E">
        <w:t xml:space="preserve">new </w:t>
      </w:r>
      <w:r w:rsidR="008D7B50">
        <w:t>system-wide access model</w:t>
      </w:r>
      <w:r w:rsidR="00E07B9E">
        <w:t xml:space="preserve"> is not necessary</w:t>
      </w:r>
    </w:p>
    <w:p w14:paraId="67A7BEFB" w14:textId="46B4D8AF" w:rsidR="00F66096" w:rsidRDefault="00F66096" w:rsidP="00867CE1">
      <w:pPr>
        <w:pStyle w:val="BodyText"/>
      </w:pPr>
      <w:r>
        <w:t>Another reason for the ESB</w:t>
      </w:r>
      <w:r w:rsidR="00A15E73">
        <w:t xml:space="preserve"> favouring</w:t>
      </w:r>
      <w:r>
        <w:t xml:space="preserve"> FTR and LMP appears to be a belief that</w:t>
      </w:r>
      <w:r w:rsidR="00867CE1">
        <w:t xml:space="preserve"> </w:t>
      </w:r>
      <w:r>
        <w:t xml:space="preserve">there </w:t>
      </w:r>
      <w:r w:rsidR="00974ADC">
        <w:t>must</w:t>
      </w:r>
      <w:r>
        <w:t xml:space="preserve"> </w:t>
      </w:r>
      <w:r w:rsidR="685E5E4F">
        <w:t xml:space="preserve">eventually </w:t>
      </w:r>
      <w:r>
        <w:t xml:space="preserve">be a </w:t>
      </w:r>
      <w:r w:rsidR="00F42719">
        <w:t>new</w:t>
      </w:r>
      <w:r>
        <w:t xml:space="preserve"> </w:t>
      </w:r>
      <w:r w:rsidR="00475464">
        <w:t xml:space="preserve">transmission </w:t>
      </w:r>
      <w:r>
        <w:t>access regime that applies equally to all participants across the entire NEM</w:t>
      </w:r>
      <w:r w:rsidR="00867CE1">
        <w:t>.</w:t>
      </w:r>
      <w:r w:rsidR="00D56D91">
        <w:t xml:space="preserve"> The ESB explains its rationale as follows:</w:t>
      </w:r>
    </w:p>
    <w:p w14:paraId="6A6088E5" w14:textId="572CFBFE" w:rsidR="00D56D91" w:rsidRPr="00D56D91" w:rsidRDefault="00D56D91" w:rsidP="00D56D91">
      <w:pPr>
        <w:pStyle w:val="BodyText"/>
        <w:ind w:left="720"/>
        <w:rPr>
          <w:i/>
          <w:iCs/>
        </w:rPr>
      </w:pPr>
      <w:r>
        <w:rPr>
          <w:i/>
          <w:iCs/>
        </w:rPr>
        <w:t>“</w:t>
      </w:r>
      <w:r w:rsidRPr="00D56D91">
        <w:rPr>
          <w:i/>
          <w:iCs/>
        </w:rPr>
        <w:t>REZs are only a partial solution to the broader challenges that access reform seeks to address. This is because REZs provide a localised solution that applies to specific geographic locations within the power system.</w:t>
      </w:r>
    </w:p>
    <w:p w14:paraId="2E5E6025" w14:textId="34E81FDC" w:rsidR="00867CE1" w:rsidRPr="00D56D91" w:rsidRDefault="00D56D91" w:rsidP="00D56D91">
      <w:pPr>
        <w:pStyle w:val="BodyText"/>
        <w:ind w:left="720"/>
        <w:rPr>
          <w:i/>
          <w:iCs/>
        </w:rPr>
      </w:pPr>
      <w:r w:rsidRPr="00D56D91">
        <w:rPr>
          <w:i/>
          <w:iCs/>
        </w:rPr>
        <w:t>Outside the REZs, the problems associated with the access regime would remain. In an interconnected power system, investment decisions elsewhere on the power system resonate across the grid – including within REZs – affecting power flows and the supply and demand balance faced by other market participants. A comprehensive solution needs to apply on a market-wide basis, not in isolated pockets. In essence, REZs need some form of access regime to work</w:t>
      </w:r>
      <w:r w:rsidR="00D1155C">
        <w:rPr>
          <w:i/>
          <w:iCs/>
        </w:rPr>
        <w:t>.</w:t>
      </w:r>
      <w:r>
        <w:rPr>
          <w:i/>
          <w:iCs/>
        </w:rPr>
        <w:t>”</w:t>
      </w:r>
      <w:r>
        <w:rPr>
          <w:rStyle w:val="FootnoteReference"/>
          <w:i/>
          <w:iCs/>
        </w:rPr>
        <w:footnoteReference w:id="9"/>
      </w:r>
    </w:p>
    <w:p w14:paraId="3A03CF09" w14:textId="49AF6DA9" w:rsidR="00D56D91" w:rsidRDefault="00D56D91" w:rsidP="00867CE1">
      <w:pPr>
        <w:pStyle w:val="BodyText"/>
      </w:pPr>
      <w:r>
        <w:t>ERM agrees that</w:t>
      </w:r>
      <w:r w:rsidR="00974ADC">
        <w:t xml:space="preserve"> REZs by themselves are only a localised solution</w:t>
      </w:r>
      <w:r w:rsidR="0E4149B6">
        <w:t xml:space="preserve"> to </w:t>
      </w:r>
      <w:r w:rsidR="00DC57C2">
        <w:t>facilitate</w:t>
      </w:r>
      <w:r w:rsidR="0E4149B6">
        <w:t xml:space="preserve"> </w:t>
      </w:r>
      <w:r w:rsidR="00425E1D">
        <w:t>efficient investment</w:t>
      </w:r>
      <w:r w:rsidR="00974ADC">
        <w:t>,</w:t>
      </w:r>
      <w:r w:rsidR="00A15E73">
        <w:t xml:space="preserve"> that investments elsewhere in the power system can impact REZ</w:t>
      </w:r>
      <w:r w:rsidR="00D1155C">
        <w:t>s</w:t>
      </w:r>
      <w:r w:rsidR="00974ADC">
        <w:t xml:space="preserve"> </w:t>
      </w:r>
      <w:r w:rsidR="00CB66CD">
        <w:t>(</w:t>
      </w:r>
      <w:r w:rsidR="00332438">
        <w:t>either</w:t>
      </w:r>
      <w:r w:rsidR="39AFA644">
        <w:t xml:space="preserve"> positively or negatively from a network access perspective</w:t>
      </w:r>
      <w:r w:rsidR="00CB66CD">
        <w:t>)</w:t>
      </w:r>
      <w:r w:rsidR="39AFA644">
        <w:t xml:space="preserve">, </w:t>
      </w:r>
      <w:r w:rsidR="00974ADC">
        <w:t>and that a</w:t>
      </w:r>
      <w:r>
        <w:t xml:space="preserve"> solution should </w:t>
      </w:r>
      <w:r w:rsidR="005A3B59">
        <w:t>consider the</w:t>
      </w:r>
      <w:r>
        <w:t xml:space="preserve"> system as a whole. We also agree that REZs need some form of access regime to protect the interests of REZ participants</w:t>
      </w:r>
      <w:r w:rsidR="008A3C64">
        <w:t xml:space="preserve"> from ‘free riders’</w:t>
      </w:r>
      <w:r>
        <w:t xml:space="preserve">. However, we disagree that the solution needs to be </w:t>
      </w:r>
      <w:r w:rsidR="008A3C64">
        <w:t xml:space="preserve">a uniform access regime </w:t>
      </w:r>
      <w:r>
        <w:t xml:space="preserve">across </w:t>
      </w:r>
      <w:r w:rsidR="00FD5C92">
        <w:t>both REZs and the broader shared network</w:t>
      </w:r>
      <w:r>
        <w:t xml:space="preserve">. </w:t>
      </w:r>
      <w:r w:rsidR="007F6425">
        <w:t>We also disagree that the existing open access framework requires wholesale changes</w:t>
      </w:r>
      <w:r w:rsidR="001B4174">
        <w:t xml:space="preserve"> </w:t>
      </w:r>
      <w:r w:rsidR="00213079">
        <w:t>– particularly if those changes fundamentally alter the way the market operates</w:t>
      </w:r>
      <w:r w:rsidR="007F6425">
        <w:t>.</w:t>
      </w:r>
      <w:r w:rsidR="001B4174" w:rsidRPr="001B4174">
        <w:t xml:space="preserve"> </w:t>
      </w:r>
      <w:r w:rsidR="001B4174">
        <w:t xml:space="preserve">We </w:t>
      </w:r>
      <w:r w:rsidR="002B2858">
        <w:t>do not believe</w:t>
      </w:r>
      <w:r w:rsidR="001B4174">
        <w:t xml:space="preserve"> this would result in the most efficient outcome for consumers</w:t>
      </w:r>
      <w:r w:rsidR="0022024B">
        <w:t>.</w:t>
      </w:r>
    </w:p>
    <w:p w14:paraId="614D665C" w14:textId="6A0ECC13" w:rsidR="00867CE1" w:rsidRDefault="00D56D91" w:rsidP="00867CE1">
      <w:pPr>
        <w:pStyle w:val="BodyText"/>
      </w:pPr>
      <w:r>
        <w:t>As ERM advised during the COGATI consultation</w:t>
      </w:r>
      <w:r w:rsidR="00286A2C">
        <w:rPr>
          <w:rStyle w:val="FootnoteReference"/>
        </w:rPr>
        <w:footnoteReference w:id="10"/>
      </w:r>
      <w:r>
        <w:t>, an appropriate REZ framework</w:t>
      </w:r>
      <w:r w:rsidR="00286A2C">
        <w:t>—</w:t>
      </w:r>
      <w:r>
        <w:t xml:space="preserve">in conjunction with </w:t>
      </w:r>
      <w:r w:rsidR="00FD5C92">
        <w:t>best-practice</w:t>
      </w:r>
      <w:r>
        <w:t xml:space="preserve"> I</w:t>
      </w:r>
      <w:r w:rsidR="00CF3DA6">
        <w:t>ntegrated System Plan (I</w:t>
      </w:r>
      <w:r>
        <w:t>SP</w:t>
      </w:r>
      <w:r w:rsidR="00CF3DA6">
        <w:t>)</w:t>
      </w:r>
      <w:r>
        <w:t xml:space="preserve"> </w:t>
      </w:r>
      <w:r w:rsidR="00FD5C92">
        <w:t>development</w:t>
      </w:r>
      <w:r w:rsidR="35E49C0C">
        <w:t xml:space="preserve">, improvements in information regarding future generator connections </w:t>
      </w:r>
      <w:r w:rsidR="536D2B2C">
        <w:t>including connection point congested headroom data</w:t>
      </w:r>
      <w:r w:rsidR="00F85B98">
        <w:t>,</w:t>
      </w:r>
      <w:r w:rsidR="35E49C0C">
        <w:t xml:space="preserve"> </w:t>
      </w:r>
      <w:r w:rsidR="00FD5C92">
        <w:t>and a functional regulated investment test for transmission (RIT-T) process</w:t>
      </w:r>
      <w:r w:rsidR="00286A2C">
        <w:t>—</w:t>
      </w:r>
      <w:r w:rsidR="008A3C64">
        <w:t>is a solution that could</w:t>
      </w:r>
      <w:r>
        <w:t xml:space="preserve"> </w:t>
      </w:r>
      <w:r w:rsidR="00AB2C63">
        <w:t>provide</w:t>
      </w:r>
      <w:r w:rsidR="008A3C64">
        <w:t xml:space="preserve"> appropriate</w:t>
      </w:r>
      <w:r w:rsidR="00AB2C63">
        <w:t xml:space="preserve"> systemwide coordination of transmission and generation investment</w:t>
      </w:r>
      <w:r>
        <w:t>.</w:t>
      </w:r>
      <w:r w:rsidR="00A15E73">
        <w:t xml:space="preserve"> The rationale is as follows</w:t>
      </w:r>
      <w:r w:rsidR="00286A2C">
        <w:t>.</w:t>
      </w:r>
    </w:p>
    <w:p w14:paraId="70B2D5CC" w14:textId="06653A42" w:rsidR="00A15E73" w:rsidRDefault="00FD4986" w:rsidP="00A15E73">
      <w:pPr>
        <w:pStyle w:val="BodyText"/>
        <w:numPr>
          <w:ilvl w:val="0"/>
          <w:numId w:val="26"/>
        </w:numPr>
      </w:pPr>
      <w:r>
        <w:t>From a consumer’s perspective, t</w:t>
      </w:r>
      <w:r w:rsidR="008A3C64">
        <w:t xml:space="preserve">he benefit of a REZ lies in the presupposition that AEMO has correctly identified it as being </w:t>
      </w:r>
      <w:r w:rsidR="0018654D">
        <w:t>along</w:t>
      </w:r>
      <w:r w:rsidR="008A3C64">
        <w:t xml:space="preserve"> the optimal path for minimising total system costs</w:t>
      </w:r>
      <w:r w:rsidR="0018654D">
        <w:t xml:space="preserve"> over the long term</w:t>
      </w:r>
      <w:r w:rsidR="008A3C64">
        <w:t>.</w:t>
      </w:r>
      <w:r w:rsidR="0018654D">
        <w:t xml:space="preserve"> AEMO </w:t>
      </w:r>
      <w:r w:rsidR="00D716DB">
        <w:t>should do</w:t>
      </w:r>
      <w:r w:rsidR="0018654D">
        <w:t xml:space="preserve"> this as part of the ISP process, which includes consideration of power flows. The ISP</w:t>
      </w:r>
      <w:r w:rsidR="00F01A56">
        <w:t xml:space="preserve"> </w:t>
      </w:r>
      <w:r w:rsidR="00D1155C">
        <w:t xml:space="preserve">(and subsequent </w:t>
      </w:r>
      <w:r w:rsidR="00C217CD">
        <w:t xml:space="preserve">REZ design report by the </w:t>
      </w:r>
      <w:r w:rsidR="00F42719">
        <w:t xml:space="preserve">relevant </w:t>
      </w:r>
      <w:r w:rsidR="00C217CD">
        <w:t xml:space="preserve">Jurisdictional Planning Body) </w:t>
      </w:r>
      <w:r w:rsidR="00D716DB">
        <w:t>should</w:t>
      </w:r>
      <w:r w:rsidR="0018654D">
        <w:t xml:space="preserve"> ‘size’ each REZ and </w:t>
      </w:r>
      <w:r w:rsidR="00286A2C">
        <w:t>facilitate</w:t>
      </w:r>
      <w:r w:rsidR="0018654D">
        <w:t xml:space="preserve"> appropriate non-REZ transmission augmentation such that any congestion </w:t>
      </w:r>
      <w:r w:rsidR="2FF61D8A">
        <w:t>in the shared network due to</w:t>
      </w:r>
      <w:r w:rsidR="0018654D">
        <w:t xml:space="preserve"> the REZ is at an optimal level</w:t>
      </w:r>
      <w:r w:rsidR="00C217CD">
        <w:t xml:space="preserve"> over the long term</w:t>
      </w:r>
      <w:r w:rsidR="0018654D">
        <w:t xml:space="preserve">. </w:t>
      </w:r>
    </w:p>
    <w:p w14:paraId="3C2EF2B8" w14:textId="77777777" w:rsidR="003E00FF" w:rsidRDefault="00AB2C63" w:rsidP="00BF7C42">
      <w:pPr>
        <w:pStyle w:val="BodyText"/>
        <w:numPr>
          <w:ilvl w:val="0"/>
          <w:numId w:val="26"/>
        </w:numPr>
      </w:pPr>
      <w:r>
        <w:t>There are already a range of</w:t>
      </w:r>
      <w:r w:rsidR="00286A2C">
        <w:t xml:space="preserve"> locational</w:t>
      </w:r>
      <w:r>
        <w:t xml:space="preserve"> signals </w:t>
      </w:r>
      <w:r w:rsidR="00E006A9">
        <w:t>for</w:t>
      </w:r>
      <w:r>
        <w:t xml:space="preserve"> generation investment. These include marginal loss factors</w:t>
      </w:r>
      <w:r w:rsidR="008A3C64">
        <w:t>;</w:t>
      </w:r>
      <w:r w:rsidR="00E006A9">
        <w:t xml:space="preserve"> various reports from AEMO (including the ISP and the System Strength and Inertia Report)</w:t>
      </w:r>
      <w:r w:rsidR="008A3C64">
        <w:t>;</w:t>
      </w:r>
      <w:r w:rsidR="00E006A9">
        <w:t xml:space="preserve"> and</w:t>
      </w:r>
      <w:r>
        <w:t xml:space="preserve"> information from TNSPs </w:t>
      </w:r>
      <w:r w:rsidR="008A3C64">
        <w:t>(e.g. as part of Transmission Annual Planning Reports or Generation Capacity Guides</w:t>
      </w:r>
      <w:r w:rsidR="008A3C64">
        <w:rPr>
          <w:rStyle w:val="FootnoteReference"/>
        </w:rPr>
        <w:footnoteReference w:id="11"/>
      </w:r>
      <w:r w:rsidR="008A3C64">
        <w:t xml:space="preserve">) </w:t>
      </w:r>
      <w:r>
        <w:t>outlining network congestion</w:t>
      </w:r>
      <w:r w:rsidR="00E006A9">
        <w:t xml:space="preserve">, </w:t>
      </w:r>
      <w:r>
        <w:t xml:space="preserve">future </w:t>
      </w:r>
      <w:r w:rsidR="008A3C64">
        <w:t>augmentation options</w:t>
      </w:r>
      <w:r w:rsidR="00E006A9">
        <w:t xml:space="preserve">, and advice for generators seeking </w:t>
      </w:r>
      <w:r w:rsidR="008A3C64">
        <w:t>new connections.</w:t>
      </w:r>
      <w:r w:rsidR="00844495">
        <w:t xml:space="preserve"> </w:t>
      </w:r>
    </w:p>
    <w:p w14:paraId="282D54A3" w14:textId="32CFBB27" w:rsidR="00BF7C42" w:rsidRDefault="005A2371" w:rsidP="003E00FF">
      <w:pPr>
        <w:pStyle w:val="BodyText"/>
        <w:ind w:left="720"/>
      </w:pPr>
      <w:r>
        <w:t xml:space="preserve">While </w:t>
      </w:r>
      <w:r w:rsidR="00E35C54">
        <w:t>ERM supports efforts to improve the information</w:t>
      </w:r>
      <w:r w:rsidR="002D4926">
        <w:t xml:space="preserve"> available to the market</w:t>
      </w:r>
      <w:r w:rsidR="00E35C54">
        <w:t>, we</w:t>
      </w:r>
      <w:r w:rsidR="00844495">
        <w:t xml:space="preserve"> </w:t>
      </w:r>
      <w:r w:rsidR="00EF1394">
        <w:t>disagree with the ESB’s view that</w:t>
      </w:r>
      <w:r w:rsidR="00844495">
        <w:t xml:space="preserve"> “the current market design does not provide strong enough </w:t>
      </w:r>
      <w:r w:rsidR="00EF1394">
        <w:t>signals to encourage generators to locate in an optimal place from a whole-of-system perspective”.</w:t>
      </w:r>
      <w:r w:rsidR="00C3520C" w:rsidRPr="00C3520C">
        <w:rPr>
          <w:rStyle w:val="FootnoteReference"/>
        </w:rPr>
        <w:t xml:space="preserve"> </w:t>
      </w:r>
      <w:r w:rsidR="00C3520C">
        <w:rPr>
          <w:rStyle w:val="FootnoteReference"/>
        </w:rPr>
        <w:footnoteReference w:id="12"/>
      </w:r>
      <w:r w:rsidR="00EF1394">
        <w:t xml:space="preserve"> </w:t>
      </w:r>
      <w:r w:rsidR="00C3520C">
        <w:t>I</w:t>
      </w:r>
      <w:r w:rsidR="00BF7C42">
        <w:t>t tends to be less experienced market participants that choose to</w:t>
      </w:r>
      <w:r w:rsidR="00C3520C">
        <w:t xml:space="preserve"> build generators in</w:t>
      </w:r>
      <w:r w:rsidR="00BF7C42">
        <w:t xml:space="preserve"> poor network</w:t>
      </w:r>
      <w:r w:rsidR="00C3520C">
        <w:t xml:space="preserve"> locations</w:t>
      </w:r>
      <w:r w:rsidR="003F74BC">
        <w:t xml:space="preserve">, which indicates that signals are </w:t>
      </w:r>
      <w:r w:rsidR="003F74BC">
        <w:lastRenderedPageBreak/>
        <w:t xml:space="preserve">sufficient but </w:t>
      </w:r>
      <w:r w:rsidR="7D1D313A">
        <w:t xml:space="preserve">prospective participant </w:t>
      </w:r>
      <w:r w:rsidR="003F74BC">
        <w:t>decision making can be poor</w:t>
      </w:r>
      <w:r w:rsidR="00BF7C42">
        <w:t>.</w:t>
      </w:r>
      <w:r w:rsidR="00C3520C">
        <w:rPr>
          <w:rStyle w:val="FootnoteReference"/>
        </w:rPr>
        <w:footnoteReference w:id="13"/>
      </w:r>
      <w:r w:rsidR="00C3520C">
        <w:t xml:space="preserve"> It is appropriate that </w:t>
      </w:r>
      <w:r w:rsidR="007B2F17">
        <w:t xml:space="preserve">new </w:t>
      </w:r>
      <w:r w:rsidR="003F74BC">
        <w:t xml:space="preserve">generators that choose to locate in weak parts of the network </w:t>
      </w:r>
      <w:r w:rsidR="00C3520C">
        <w:t xml:space="preserve">face the consequences (e.g. poor MLFs, congestion, system strength remediation costs and/or </w:t>
      </w:r>
      <w:r w:rsidR="001930A9">
        <w:t>network</w:t>
      </w:r>
      <w:r w:rsidR="00C3520C">
        <w:t xml:space="preserve"> augmentation costs) of their choices. These are clear signals to invest in more appropriate locations. Interventions to address these issues (e.g. government-</w:t>
      </w:r>
      <w:r w:rsidR="00120C38">
        <w:t xml:space="preserve">directed </w:t>
      </w:r>
      <w:r w:rsidR="00C3520C">
        <w:t xml:space="preserve">network augmentation) </w:t>
      </w:r>
      <w:r w:rsidR="41884417">
        <w:t xml:space="preserve">may </w:t>
      </w:r>
      <w:r w:rsidR="00C3520C">
        <w:t xml:space="preserve">distort the </w:t>
      </w:r>
      <w:r w:rsidR="480B1112">
        <w:t xml:space="preserve">efficient </w:t>
      </w:r>
      <w:r w:rsidR="00C3520C">
        <w:t>locational signal</w:t>
      </w:r>
      <w:r w:rsidR="001930A9">
        <w:t>s</w:t>
      </w:r>
      <w:r w:rsidR="00C3520C">
        <w:t>.</w:t>
      </w:r>
      <w:r w:rsidR="00B24A47">
        <w:t xml:space="preserve"> </w:t>
      </w:r>
      <w:r w:rsidR="00EE4700">
        <w:t xml:space="preserve">If the ESB is concerned that </w:t>
      </w:r>
      <w:r w:rsidR="00E12AF2">
        <w:t xml:space="preserve">these </w:t>
      </w:r>
      <w:r w:rsidR="00EE4700">
        <w:t>signals are not strong enough,</w:t>
      </w:r>
      <w:r w:rsidR="00454195">
        <w:t xml:space="preserve"> then </w:t>
      </w:r>
      <w:r w:rsidR="0007313F">
        <w:t>the ESB</w:t>
      </w:r>
      <w:r w:rsidR="001422AA">
        <w:t xml:space="preserve"> should focus on </w:t>
      </w:r>
      <w:r w:rsidR="003506C7">
        <w:t>preserving</w:t>
      </w:r>
      <w:r w:rsidR="001422AA">
        <w:t xml:space="preserve"> them rather than overhauling </w:t>
      </w:r>
      <w:r w:rsidR="00A6266D">
        <w:t xml:space="preserve">the entire </w:t>
      </w:r>
      <w:r w:rsidR="00005F24">
        <w:t xml:space="preserve">market with </w:t>
      </w:r>
      <w:r w:rsidR="0077748E">
        <w:t>an FTR</w:t>
      </w:r>
      <w:r w:rsidR="00607210">
        <w:t>/LMP</w:t>
      </w:r>
      <w:r w:rsidR="0077748E">
        <w:t xml:space="preserve"> regime.</w:t>
      </w:r>
      <w:r w:rsidR="00B24A47">
        <w:t xml:space="preserve"> </w:t>
      </w:r>
    </w:p>
    <w:p w14:paraId="23E7442F" w14:textId="1965207B" w:rsidR="00286A2C" w:rsidRDefault="0024379C" w:rsidP="00BF7C42">
      <w:pPr>
        <w:pStyle w:val="BodyText"/>
        <w:numPr>
          <w:ilvl w:val="0"/>
          <w:numId w:val="26"/>
        </w:numPr>
      </w:pPr>
      <w:r>
        <w:t xml:space="preserve">REZs (if designed under an appropriate framework) would deliver a range of benefits to </w:t>
      </w:r>
      <w:r w:rsidR="00D1155C">
        <w:t>REZ participants</w:t>
      </w:r>
      <w:r>
        <w:t xml:space="preserve"> </w:t>
      </w:r>
      <w:r w:rsidR="00286A2C">
        <w:t>(e.g. access rights</w:t>
      </w:r>
      <w:r w:rsidR="009F51B3">
        <w:t xml:space="preserve"> within the REZ</w:t>
      </w:r>
      <w:r w:rsidR="00286A2C">
        <w:t>, more certainty around connection times and technical requirements,</w:t>
      </w:r>
      <w:r w:rsidR="2872D5FF">
        <w:t xml:space="preserve"> choice of connection point</w:t>
      </w:r>
      <w:r w:rsidR="00286A2C">
        <w:t xml:space="preserve"> </w:t>
      </w:r>
      <w:r w:rsidR="03651C17">
        <w:t xml:space="preserve">to the shared network </w:t>
      </w:r>
      <w:r w:rsidR="00286A2C">
        <w:t xml:space="preserve">and the opportunity to share </w:t>
      </w:r>
      <w:r w:rsidR="008A6D37">
        <w:t xml:space="preserve">the </w:t>
      </w:r>
      <w:r w:rsidR="00286A2C">
        <w:t xml:space="preserve">costs </w:t>
      </w:r>
      <w:r w:rsidR="008A6D37">
        <w:t>of</w:t>
      </w:r>
      <w:r w:rsidR="00286A2C">
        <w:t xml:space="preserve"> system strength solutions with other REZ participants)</w:t>
      </w:r>
      <w:r>
        <w:t>. Therefore</w:t>
      </w:r>
      <w:r w:rsidR="00286A2C">
        <w:t xml:space="preserve">, </w:t>
      </w:r>
      <w:r>
        <w:t>if AEMO has identified an appropriate REZ location</w:t>
      </w:r>
      <w:r w:rsidR="001F768C">
        <w:t xml:space="preserve"> (and facilitated appropriate network augmentation</w:t>
      </w:r>
      <w:r w:rsidR="001930A9">
        <w:t xml:space="preserve"> to facilitate power transfer</w:t>
      </w:r>
      <w:r w:rsidR="001F768C">
        <w:t>)</w:t>
      </w:r>
      <w:r>
        <w:t xml:space="preserve">, generators will be strongly incentivised to build in a REZ compared with elsewhere in the network. </w:t>
      </w:r>
    </w:p>
    <w:p w14:paraId="2153011B" w14:textId="6157F2D0" w:rsidR="00B34492" w:rsidRDefault="0024379C" w:rsidP="00B34492">
      <w:pPr>
        <w:pStyle w:val="BodyText"/>
        <w:numPr>
          <w:ilvl w:val="0"/>
          <w:numId w:val="26"/>
        </w:numPr>
      </w:pPr>
      <w:r>
        <w:t>ERM acknowledges that it is still possible that generator</w:t>
      </w:r>
      <w:r w:rsidR="24DD7B15">
        <w:t>s</w:t>
      </w:r>
      <w:r>
        <w:t xml:space="preserve"> may choose to connect to the network outside of a REZ</w:t>
      </w:r>
      <w:r w:rsidR="3AA51AD5">
        <w:t>, possibly via a privately</w:t>
      </w:r>
      <w:r w:rsidR="002E6A39">
        <w:t>-</w:t>
      </w:r>
      <w:r w:rsidR="3AA51AD5">
        <w:t xml:space="preserve">funded </w:t>
      </w:r>
      <w:r w:rsidR="002E6A39">
        <w:t>DNA</w:t>
      </w:r>
      <w:r w:rsidR="3AA51AD5">
        <w:t xml:space="preserve"> or </w:t>
      </w:r>
      <w:r w:rsidR="003D5C7A">
        <w:t>S</w:t>
      </w:r>
      <w:r w:rsidR="3AA51AD5">
        <w:t xml:space="preserve">cale </w:t>
      </w:r>
      <w:r w:rsidR="003D5C7A">
        <w:t>E</w:t>
      </w:r>
      <w:r w:rsidR="3AA51AD5">
        <w:t xml:space="preserve">fficient </w:t>
      </w:r>
      <w:r w:rsidR="003D5C7A">
        <w:t>N</w:t>
      </w:r>
      <w:r w:rsidR="3AA51AD5">
        <w:t xml:space="preserve">etwork </w:t>
      </w:r>
      <w:r w:rsidR="003D5C7A">
        <w:t>E</w:t>
      </w:r>
      <w:r w:rsidR="3AA51AD5">
        <w:t>xtension</w:t>
      </w:r>
      <w:r>
        <w:t xml:space="preserve">. Further, it is possible that this may cause congestion </w:t>
      </w:r>
      <w:r w:rsidR="35BBEE4B">
        <w:t>i</w:t>
      </w:r>
      <w:r>
        <w:t xml:space="preserve">n the </w:t>
      </w:r>
      <w:r w:rsidR="0252905C">
        <w:t xml:space="preserve">shared </w:t>
      </w:r>
      <w:r>
        <w:t xml:space="preserve">network that negatively impacts REZ participants. However, </w:t>
      </w:r>
      <w:r w:rsidR="001F768C">
        <w:t>this is a risk that is most appropriately borne by private investors who choose where to build their generators (e.g. REZ participants).</w:t>
      </w:r>
      <w:r w:rsidR="00E07B9E">
        <w:t xml:space="preserve"> It can be thought of as a form of locational signalling</w:t>
      </w:r>
      <w:r w:rsidR="0018124B">
        <w:t xml:space="preserve"> and can be mitigated</w:t>
      </w:r>
      <w:r w:rsidR="001F768C">
        <w:t xml:space="preserve"> if </w:t>
      </w:r>
      <w:r w:rsidR="23FF580D">
        <w:t xml:space="preserve">AEMO </w:t>
      </w:r>
      <w:r w:rsidR="00151B70">
        <w:t>(</w:t>
      </w:r>
      <w:r w:rsidR="23FF580D">
        <w:t xml:space="preserve">through </w:t>
      </w:r>
      <w:r w:rsidR="001F768C">
        <w:t xml:space="preserve">the ISP </w:t>
      </w:r>
      <w:r w:rsidR="4EAE2560">
        <w:t>process</w:t>
      </w:r>
      <w:r w:rsidR="00151B70">
        <w:t>)</w:t>
      </w:r>
      <w:r w:rsidR="00233FF7">
        <w:t xml:space="preserve"> </w:t>
      </w:r>
      <w:r w:rsidR="4EAE2560">
        <w:t xml:space="preserve">consults effectively with stakeholders and </w:t>
      </w:r>
      <w:r w:rsidR="001F768C">
        <w:t>correctly identifies the optimal locations for new generation</w:t>
      </w:r>
      <w:r w:rsidR="33F1831C">
        <w:t xml:space="preserve"> </w:t>
      </w:r>
      <w:r w:rsidR="00AB5D7B">
        <w:t>(</w:t>
      </w:r>
      <w:r w:rsidR="33F1831C">
        <w:t>including the connection point</w:t>
      </w:r>
      <w:r w:rsidR="00AB5D7B">
        <w:t>s</w:t>
      </w:r>
      <w:r w:rsidR="33F1831C">
        <w:t xml:space="preserve"> to the shared network</w:t>
      </w:r>
      <w:r w:rsidR="00AB5D7B">
        <w:t>)</w:t>
      </w:r>
      <w:r w:rsidR="00C73832">
        <w:t>,</w:t>
      </w:r>
      <w:r w:rsidR="001F768C">
        <w:t xml:space="preserve"> sizes each REZ appropriately</w:t>
      </w:r>
      <w:r w:rsidR="6E087632">
        <w:t xml:space="preserve"> and recommends staged </w:t>
      </w:r>
      <w:r w:rsidR="001151AD">
        <w:t>(</w:t>
      </w:r>
      <w:r w:rsidR="6E087632">
        <w:t xml:space="preserve">as </w:t>
      </w:r>
      <w:r w:rsidR="19FDCA5A">
        <w:t>opposed</w:t>
      </w:r>
      <w:r w:rsidR="6E087632">
        <w:t xml:space="preserve"> to simultaneous</w:t>
      </w:r>
      <w:r w:rsidR="00FE6CBC">
        <w:t>)</w:t>
      </w:r>
      <w:r w:rsidR="6E087632">
        <w:t xml:space="preserve"> </w:t>
      </w:r>
      <w:r w:rsidR="22822256">
        <w:t>development</w:t>
      </w:r>
      <w:r w:rsidR="6E087632">
        <w:t xml:space="preserve"> of REZs</w:t>
      </w:r>
      <w:r w:rsidR="001F768C">
        <w:t>.</w:t>
      </w:r>
      <w:r w:rsidR="00E07B9E">
        <w:t xml:space="preserve"> </w:t>
      </w:r>
      <w:r w:rsidR="00324D32">
        <w:t>AEMO</w:t>
      </w:r>
      <w:r w:rsidR="00B12EBF">
        <w:t xml:space="preserve">’s central planning </w:t>
      </w:r>
      <w:r w:rsidR="00DE59AD">
        <w:t xml:space="preserve">role is critical </w:t>
      </w:r>
      <w:r w:rsidR="004A17A8">
        <w:t>to mitigate risk for REZ participants.</w:t>
      </w:r>
    </w:p>
    <w:p w14:paraId="5968064E" w14:textId="313B87DC" w:rsidR="3A71350E" w:rsidRDefault="00E07B9E" w:rsidP="3A71350E">
      <w:pPr>
        <w:pStyle w:val="BodyText"/>
        <w:ind w:left="720"/>
      </w:pPr>
      <w:r>
        <w:t xml:space="preserve">A well-designed REZ framework should be expected </w:t>
      </w:r>
      <w:r w:rsidR="00D66E87">
        <w:t>to</w:t>
      </w:r>
      <w:r>
        <w:t xml:space="preserve"> </w:t>
      </w:r>
      <w:r w:rsidR="7C0C3D69">
        <w:t>effectively consult with stakeholders and</w:t>
      </w:r>
      <w:r>
        <w:t xml:space="preserve"> reduce, </w:t>
      </w:r>
      <w:r w:rsidR="73FA37A3">
        <w:t xml:space="preserve">but potentially </w:t>
      </w:r>
      <w:r>
        <w:t>not eliminate, risk for REZ participants. With this in mind, ERM does not support restricting connections outside of REZs (Question 19 in the consultation paper).</w:t>
      </w:r>
      <w:r w:rsidR="00A86385">
        <w:t xml:space="preserve"> </w:t>
      </w:r>
      <w:r w:rsidR="1C7F21A7">
        <w:t xml:space="preserve">However, we believe all network </w:t>
      </w:r>
      <w:r w:rsidR="37C3C832">
        <w:t>infrastructure</w:t>
      </w:r>
      <w:r w:rsidR="1C7F21A7">
        <w:t xml:space="preserve"> constructed </w:t>
      </w:r>
      <w:r w:rsidR="3A329E31">
        <w:t>or upgraded t</w:t>
      </w:r>
      <w:r w:rsidR="1C7F21A7">
        <w:t xml:space="preserve">o </w:t>
      </w:r>
      <w:r w:rsidR="1A02128E">
        <w:t>facilitate connection of a REZ</w:t>
      </w:r>
      <w:r w:rsidR="00AA406D">
        <w:t>,</w:t>
      </w:r>
      <w:r w:rsidR="1A02128E">
        <w:t xml:space="preserve"> </w:t>
      </w:r>
      <w:r w:rsidR="2394D797">
        <w:t xml:space="preserve">for which connecting participants would contribute to the costs </w:t>
      </w:r>
      <w:r w:rsidR="00FB6808">
        <w:t>(e.g. via a</w:t>
      </w:r>
      <w:r w:rsidR="005E651C">
        <w:t>n auction for access rights)</w:t>
      </w:r>
      <w:r w:rsidR="2394D797">
        <w:t xml:space="preserve">, </w:t>
      </w:r>
      <w:r w:rsidR="1A02128E">
        <w:t xml:space="preserve">should be included </w:t>
      </w:r>
      <w:r w:rsidR="28FDBE73">
        <w:t>when defining the boundary of in-REZ access rights.</w:t>
      </w:r>
    </w:p>
    <w:p w14:paraId="2EC5EDB3" w14:textId="1662BC6A" w:rsidR="00E07B9E" w:rsidRDefault="0018654D" w:rsidP="00FD4986">
      <w:pPr>
        <w:pStyle w:val="BodyText"/>
        <w:ind w:left="60"/>
      </w:pPr>
      <w:r>
        <w:t xml:space="preserve">ERM </w:t>
      </w:r>
      <w:r w:rsidR="00B34492">
        <w:t>acknowledges</w:t>
      </w:r>
      <w:r>
        <w:t xml:space="preserve"> that this </w:t>
      </w:r>
      <w:r w:rsidR="00E07B9E">
        <w:t>argument</w:t>
      </w:r>
      <w:r>
        <w:t xml:space="preserve"> is dependent on a high-quality ISP</w:t>
      </w:r>
      <w:r w:rsidR="70320B6D">
        <w:t xml:space="preserve"> process</w:t>
      </w:r>
      <w:r w:rsidR="00B34492">
        <w:t>, followed by functional and timely RIT</w:t>
      </w:r>
      <w:r w:rsidR="00E07B9E">
        <w:noBreakHyphen/>
      </w:r>
      <w:r w:rsidR="00B34492">
        <w:t xml:space="preserve">Ts </w:t>
      </w:r>
      <w:r w:rsidR="3D591F1E">
        <w:t xml:space="preserve">that meet </w:t>
      </w:r>
      <w:r w:rsidR="2978BE7F">
        <w:t>stakeholders'</w:t>
      </w:r>
      <w:r w:rsidR="3D591F1E">
        <w:t xml:space="preserve"> expectation</w:t>
      </w:r>
      <w:r w:rsidR="00E00F67">
        <w:t>s</w:t>
      </w:r>
      <w:r w:rsidR="3D591F1E">
        <w:t xml:space="preserve"> and good governance principles</w:t>
      </w:r>
      <w:r w:rsidR="00E00F67">
        <w:t>,</w:t>
      </w:r>
      <w:r w:rsidR="3D591F1E">
        <w:t xml:space="preserve"> </w:t>
      </w:r>
      <w:r w:rsidR="00B34492">
        <w:t xml:space="preserve">and </w:t>
      </w:r>
      <w:r w:rsidR="45BDB0D3">
        <w:t>accurate and well</w:t>
      </w:r>
      <w:r w:rsidR="00FC183F">
        <w:t>-</w:t>
      </w:r>
      <w:r w:rsidR="45BDB0D3">
        <w:t xml:space="preserve">defined </w:t>
      </w:r>
      <w:r w:rsidR="00B34492">
        <w:t>contingent project applications (CPAs) for actionable ISP projects</w:t>
      </w:r>
      <w:r>
        <w:t xml:space="preserve">. </w:t>
      </w:r>
      <w:r w:rsidR="001930A9">
        <w:t xml:space="preserve">Meaningful industry consultation </w:t>
      </w:r>
      <w:r w:rsidR="08CB3118">
        <w:t xml:space="preserve">through every step </w:t>
      </w:r>
      <w:r w:rsidR="001930A9">
        <w:t xml:space="preserve">is key. </w:t>
      </w:r>
      <w:r w:rsidR="00E07B9E">
        <w:t>ERM will continue to engage with AEMO, the Australian Energy Regulator (AER) and the Australian Energy Market Commission (AEMC) to improve outcomes across the relevant reform areas.</w:t>
      </w:r>
      <w:r w:rsidR="00C3520C">
        <w:t xml:space="preserve"> </w:t>
      </w:r>
    </w:p>
    <w:p w14:paraId="10F2F9AB" w14:textId="6BA10358" w:rsidR="00F66096" w:rsidRDefault="00F66096" w:rsidP="00F66096">
      <w:pPr>
        <w:pStyle w:val="Heading3"/>
      </w:pPr>
      <w:r>
        <w:t xml:space="preserve">A mechanism to </w:t>
      </w:r>
      <w:r w:rsidR="0073131E">
        <w:t>establish REZ</w:t>
      </w:r>
      <w:r w:rsidR="00BB0FDE">
        <w:t>s</w:t>
      </w:r>
      <w:r w:rsidR="0073131E">
        <w:t xml:space="preserve"> and </w:t>
      </w:r>
      <w:r>
        <w:t>facilitate access rights</w:t>
      </w:r>
      <w:r w:rsidR="0073131E">
        <w:t xml:space="preserve"> </w:t>
      </w:r>
    </w:p>
    <w:p w14:paraId="3EC2651B" w14:textId="6B2AC244" w:rsidR="008754CC" w:rsidRDefault="0018124B" w:rsidP="008754CC">
      <w:pPr>
        <w:pStyle w:val="BodyText"/>
      </w:pPr>
      <w:r>
        <w:t>ERM agrees that the REZ framework should aim to</w:t>
      </w:r>
      <w:r w:rsidR="008754CC">
        <w:t>:</w:t>
      </w:r>
      <w:r>
        <w:t xml:space="preserve"> </w:t>
      </w:r>
    </w:p>
    <w:p w14:paraId="7BFE7D10" w14:textId="30ED3F54" w:rsidR="006F4809" w:rsidRPr="008754CC" w:rsidRDefault="008754CC" w:rsidP="008754CC">
      <w:pPr>
        <w:pStyle w:val="BodyText"/>
        <w:ind w:left="720"/>
        <w:rPr>
          <w:i/>
          <w:iCs/>
        </w:rPr>
      </w:pPr>
      <w:r>
        <w:rPr>
          <w:i/>
          <w:iCs/>
        </w:rPr>
        <w:t>“…</w:t>
      </w:r>
      <w:r w:rsidR="0018124B" w:rsidRPr="008754CC">
        <w:rPr>
          <w:i/>
          <w:iCs/>
        </w:rPr>
        <w:t>overcome current problems associated with an uncoordinated connections process</w:t>
      </w:r>
      <w:r w:rsidR="00C9030C" w:rsidRPr="008754CC">
        <w:rPr>
          <w:i/>
          <w:iCs/>
        </w:rPr>
        <w:t xml:space="preserve">; </w:t>
      </w:r>
      <w:r w:rsidR="0018124B" w:rsidRPr="008754CC">
        <w:rPr>
          <w:i/>
          <w:iCs/>
        </w:rPr>
        <w:t>ensure that the group of projects that become part of the REZ (the REZ participants) is selected on a basis that aligns with the long term interests of consumers</w:t>
      </w:r>
      <w:r w:rsidRPr="008754CC">
        <w:rPr>
          <w:i/>
          <w:iCs/>
        </w:rPr>
        <w:t xml:space="preserve">; and </w:t>
      </w:r>
      <w:r w:rsidR="0018124B" w:rsidRPr="008754CC">
        <w:rPr>
          <w:i/>
          <w:iCs/>
        </w:rPr>
        <w:t>reduce the level of risk and cost borne by customers”.</w:t>
      </w:r>
      <w:r w:rsidR="0018124B" w:rsidRPr="008754CC">
        <w:rPr>
          <w:i/>
          <w:iCs/>
          <w:vertAlign w:val="superscript"/>
        </w:rPr>
        <w:footnoteReference w:id="14"/>
      </w:r>
      <w:r w:rsidR="006F4809" w:rsidRPr="008754CC">
        <w:rPr>
          <w:i/>
          <w:iCs/>
        </w:rPr>
        <w:t xml:space="preserve"> </w:t>
      </w:r>
    </w:p>
    <w:p w14:paraId="31CCEF6C" w14:textId="0962A778" w:rsidR="00D716DB" w:rsidRDefault="00BB0FDE" w:rsidP="00BB0FDE">
      <w:pPr>
        <w:pStyle w:val="BodyText"/>
      </w:pPr>
      <w:r>
        <w:lastRenderedPageBreak/>
        <w:t xml:space="preserve">In principle, ERM considers an approach where a ‘REZ coordinator’ runs a process to </w:t>
      </w:r>
      <w:r w:rsidR="00F7217C">
        <w:t>allocate access rights to</w:t>
      </w:r>
      <w:r>
        <w:t xml:space="preserve"> “the </w:t>
      </w:r>
      <w:r w:rsidR="006F4809">
        <w:t>suite of projects that promotes the long-term interests of customers, having regard to the combined costs and benefits of the generation, storage and network elements of the project</w:t>
      </w:r>
      <w:r w:rsidR="0018124B">
        <w:t>”</w:t>
      </w:r>
      <w:r>
        <w:rPr>
          <w:rStyle w:val="FootnoteReference"/>
        </w:rPr>
        <w:footnoteReference w:id="15"/>
      </w:r>
      <w:r>
        <w:t xml:space="preserve"> to be sensible. </w:t>
      </w:r>
    </w:p>
    <w:p w14:paraId="49DF14CB" w14:textId="77777777" w:rsidR="00DB0CC1" w:rsidRDefault="00C82279" w:rsidP="00BB0FDE">
      <w:pPr>
        <w:pStyle w:val="BodyText"/>
      </w:pPr>
      <w:r>
        <w:t>In practice, the details of this process will have substantial bearing on whether it achieves its objective.</w:t>
      </w:r>
      <w:r w:rsidR="00D716DB">
        <w:t xml:space="preserve"> For example</w:t>
      </w:r>
      <w:r w:rsidR="00DB0CC1">
        <w:t>:</w:t>
      </w:r>
    </w:p>
    <w:p w14:paraId="5D23D104" w14:textId="731CB7C3" w:rsidR="00DB0CC1" w:rsidRDefault="00DB0CC1" w:rsidP="00DB0CC1">
      <w:pPr>
        <w:pStyle w:val="BodyText"/>
        <w:numPr>
          <w:ilvl w:val="0"/>
          <w:numId w:val="26"/>
        </w:numPr>
      </w:pPr>
      <w:r>
        <w:t>T</w:t>
      </w:r>
      <w:r w:rsidR="00D716DB">
        <w:t>he capacity and mix of generation should be chosen with the broader system in mind</w:t>
      </w:r>
      <w:r>
        <w:t>, as per the ISP</w:t>
      </w:r>
      <w:r w:rsidR="00D716DB">
        <w:t xml:space="preserve">. </w:t>
      </w:r>
      <w:r>
        <w:t xml:space="preserve">If it isn’t, then the net benefit to consumers is likely to be reduced. </w:t>
      </w:r>
      <w:r w:rsidR="00C73832">
        <w:t xml:space="preserve">The party that becomes the ‘REZ coordinator’ must </w:t>
      </w:r>
      <w:r w:rsidR="59568A84">
        <w:t>be independent from</w:t>
      </w:r>
      <w:r w:rsidR="001C55DC">
        <w:t>,</w:t>
      </w:r>
      <w:r w:rsidR="59568A84">
        <w:t xml:space="preserve"> and </w:t>
      </w:r>
      <w:r w:rsidR="00C73832">
        <w:t>work closely with</w:t>
      </w:r>
      <w:r w:rsidR="001C55DC">
        <w:t>,</w:t>
      </w:r>
      <w:r w:rsidR="00C73832">
        <w:t xml:space="preserve"> AEMO and the relevant TNSP(s) to ensure the amount and mix of REZ generation is in the best interests of the broader system.</w:t>
      </w:r>
    </w:p>
    <w:p w14:paraId="433C042D" w14:textId="064BF38D" w:rsidR="00EC00CE" w:rsidRDefault="00DB0CC1" w:rsidP="00DB0CC1">
      <w:pPr>
        <w:pStyle w:val="BodyText"/>
        <w:numPr>
          <w:ilvl w:val="0"/>
          <w:numId w:val="26"/>
        </w:numPr>
      </w:pPr>
      <w:r>
        <w:t>T</w:t>
      </w:r>
      <w:r w:rsidR="00D716DB">
        <w:t>he auction/tender process need</w:t>
      </w:r>
      <w:r>
        <w:t>s</w:t>
      </w:r>
      <w:r w:rsidR="00D716DB">
        <w:t xml:space="preserve"> to be </w:t>
      </w:r>
      <w:r w:rsidR="00F031AB">
        <w:t xml:space="preserve">carefully </w:t>
      </w:r>
      <w:r w:rsidR="00D716DB">
        <w:t xml:space="preserve">designed </w:t>
      </w:r>
      <w:r w:rsidR="000D0BB4">
        <w:t>to</w:t>
      </w:r>
      <w:r>
        <w:t xml:space="preserve"> efficiently </w:t>
      </w:r>
      <w:r w:rsidR="000F0080">
        <w:t>apportion</w:t>
      </w:r>
      <w:r>
        <w:t xml:space="preserve"> the costs between REZ participants and consumers. </w:t>
      </w:r>
      <w:r w:rsidR="00F031AB">
        <w:t xml:space="preserve">The amount a proponent is willing to bid will depend on the maximum level of ‘in-REZ’ congestion to which they will be exposed. This </w:t>
      </w:r>
      <w:r w:rsidR="00B646D4">
        <w:t>will be</w:t>
      </w:r>
      <w:r w:rsidR="00F031AB">
        <w:t xml:space="preserve"> impacted by the mix of generators in the REZ)</w:t>
      </w:r>
      <w:r w:rsidR="00B646D4">
        <w:t>, and the level of ‘designed’ congestion</w:t>
      </w:r>
      <w:r w:rsidR="00B646D4" w:rsidRPr="00B646D4">
        <w:rPr>
          <w:rStyle w:val="FootnoteReference"/>
        </w:rPr>
        <w:footnoteReference w:id="16"/>
      </w:r>
      <w:r w:rsidR="00F031AB">
        <w:t>.</w:t>
      </w:r>
      <w:r w:rsidR="00DA4B04">
        <w:t xml:space="preserve"> </w:t>
      </w:r>
      <w:r w:rsidR="00F7217C">
        <w:t>For</w:t>
      </w:r>
      <w:r w:rsidR="00DA4B04">
        <w:t xml:space="preserve"> participants to make informed bids, the REZ coordinator would need to release detailed information about the REZ design </w:t>
      </w:r>
      <w:r w:rsidR="00BD4624">
        <w:t xml:space="preserve">well in advance of </w:t>
      </w:r>
      <w:r w:rsidR="00DA4B04">
        <w:t>the auction taking place.</w:t>
      </w:r>
      <w:r w:rsidR="00BD4624">
        <w:t xml:space="preserve"> If the auction/tender process has multiple stages, this information may need to be updated at each stage.</w:t>
      </w:r>
      <w:r w:rsidR="00DA4B04">
        <w:t xml:space="preserve"> </w:t>
      </w:r>
    </w:p>
    <w:p w14:paraId="4063AC52" w14:textId="7312212F" w:rsidR="00DA4B04" w:rsidRDefault="000D0BB4" w:rsidP="00DA4B04">
      <w:pPr>
        <w:pStyle w:val="BodyText"/>
        <w:numPr>
          <w:ilvl w:val="0"/>
          <w:numId w:val="26"/>
        </w:numPr>
      </w:pPr>
      <w:r>
        <w:t xml:space="preserve">Government schemes to </w:t>
      </w:r>
      <w:r w:rsidR="00E2317E">
        <w:t xml:space="preserve">encourage REZ participation will need to be carefully coordinated with REZ coordinator’s process to </w:t>
      </w:r>
      <w:r w:rsidR="0AC3B125">
        <w:t xml:space="preserve">efficiently </w:t>
      </w:r>
      <w:r w:rsidR="00E2317E">
        <w:t>allocate the REZ’s ‘hosting capacity’.</w:t>
      </w:r>
      <w:r>
        <w:t xml:space="preserve"> </w:t>
      </w:r>
    </w:p>
    <w:p w14:paraId="0D977FA2" w14:textId="03457A61" w:rsidR="00F33022" w:rsidRDefault="00DA4B04" w:rsidP="00DA4B04">
      <w:pPr>
        <w:pStyle w:val="BodyText"/>
        <w:numPr>
          <w:ilvl w:val="0"/>
          <w:numId w:val="26"/>
        </w:numPr>
      </w:pPr>
      <w:r w:rsidRPr="00DA4B04">
        <w:t xml:space="preserve">It is not clear to ERM whether an existing generator </w:t>
      </w:r>
      <w:r w:rsidR="007D7F6C">
        <w:t>that</w:t>
      </w:r>
      <w:r w:rsidR="25359D17" w:rsidRPr="00DA4B04">
        <w:t xml:space="preserve"> has </w:t>
      </w:r>
      <w:r w:rsidR="007D7F6C">
        <w:t>pai</w:t>
      </w:r>
      <w:r w:rsidR="001426D8">
        <w:t>d for</w:t>
      </w:r>
      <w:r w:rsidR="25359D17" w:rsidRPr="00DA4B04">
        <w:t xml:space="preserve"> their own connection assets </w:t>
      </w:r>
      <w:r w:rsidRPr="00DA4B04">
        <w:t xml:space="preserve">would need to participate in the auction/tender to gain access rights if their connection </w:t>
      </w:r>
      <w:r w:rsidR="765F1E63" w:rsidRPr="00DA4B04">
        <w:t xml:space="preserve">asset </w:t>
      </w:r>
      <w:r w:rsidRPr="00DA4B04">
        <w:t xml:space="preserve">is subsumed into a REZ. As discussed in ERM’s submission to the AEMC’s </w:t>
      </w:r>
      <w:r w:rsidR="00213079">
        <w:t xml:space="preserve">draft </w:t>
      </w:r>
      <w:r w:rsidRPr="00DA4B04">
        <w:t xml:space="preserve">DNA </w:t>
      </w:r>
      <w:r w:rsidR="00213079">
        <w:t>determination</w:t>
      </w:r>
      <w:r w:rsidRPr="00DA4B04">
        <w:t>,</w:t>
      </w:r>
      <w:r w:rsidRPr="00DA4B04">
        <w:rPr>
          <w:rStyle w:val="FootnoteReference"/>
        </w:rPr>
        <w:footnoteReference w:id="17"/>
      </w:r>
      <w:r w:rsidRPr="00DA4B04">
        <w:t xml:space="preserve"> if a private proponent has paid for a transmission asset (e.g. a DNA), </w:t>
      </w:r>
      <w:r w:rsidR="00213079">
        <w:t>their</w:t>
      </w:r>
      <w:r w:rsidRPr="00DA4B04">
        <w:t xml:space="preserve"> </w:t>
      </w:r>
      <w:r w:rsidR="00213079">
        <w:t xml:space="preserve">transmission </w:t>
      </w:r>
      <w:r w:rsidRPr="00DA4B04">
        <w:t>right</w:t>
      </w:r>
      <w:r w:rsidR="00213079">
        <w:t>s</w:t>
      </w:r>
      <w:r w:rsidRPr="00DA4B04">
        <w:t xml:space="preserve"> should be protected.</w:t>
      </w:r>
    </w:p>
    <w:p w14:paraId="1B749B9B" w14:textId="69686108" w:rsidR="007B3D39" w:rsidRPr="00DA4B04" w:rsidRDefault="00963DAB" w:rsidP="002217A1">
      <w:pPr>
        <w:pStyle w:val="BodyText"/>
      </w:pPr>
      <w:bookmarkStart w:id="3" w:name="_Hlk63929021"/>
      <w:r>
        <w:t>I</w:t>
      </w:r>
      <w:r w:rsidR="006E1F3E">
        <w:t xml:space="preserve">t is important for the ESB to further develop and consult </w:t>
      </w:r>
      <w:r w:rsidR="00974FC0">
        <w:t>on the details of the REZ coordinator’s role.</w:t>
      </w:r>
      <w:r w:rsidR="00C84AE4">
        <w:t xml:space="preserve"> The above points are likely only a small subset of issues that will need to be identified and resolved.</w:t>
      </w:r>
    </w:p>
    <w:bookmarkEnd w:id="3"/>
    <w:p w14:paraId="34121BE6" w14:textId="5CAB2616" w:rsidR="00F66096" w:rsidRDefault="00F66096" w:rsidP="00F66096">
      <w:pPr>
        <w:pStyle w:val="Heading3"/>
      </w:pPr>
      <w:r>
        <w:t>A review of the ESB’s four proposed access models</w:t>
      </w:r>
    </w:p>
    <w:p w14:paraId="4C87E1E5" w14:textId="77777777" w:rsidR="00BD4624" w:rsidRDefault="00BD4624" w:rsidP="00DA4B04">
      <w:pPr>
        <w:pStyle w:val="BodyText"/>
      </w:pPr>
      <w:r>
        <w:t xml:space="preserve">Chapter 5 of the consultation paper describes </w:t>
      </w:r>
      <w:r w:rsidR="00DA4B04">
        <w:t xml:space="preserve">four options </w:t>
      </w:r>
      <w:r>
        <w:t>for</w:t>
      </w:r>
      <w:r w:rsidR="00DA4B04">
        <w:t xml:space="preserve"> access rights</w:t>
      </w:r>
      <w:r>
        <w:t xml:space="preserve"> within a REZ:</w:t>
      </w:r>
    </w:p>
    <w:p w14:paraId="419BA1B0" w14:textId="7E45ADDE" w:rsidR="00DA4B04" w:rsidRDefault="00BD4624" w:rsidP="00BD4624">
      <w:pPr>
        <w:pStyle w:val="BodyText"/>
        <w:numPr>
          <w:ilvl w:val="0"/>
          <w:numId w:val="28"/>
        </w:numPr>
      </w:pPr>
      <w:r>
        <w:t>Option 1: Connection access protection</w:t>
      </w:r>
    </w:p>
    <w:p w14:paraId="522C2A5D" w14:textId="7C85F8E5" w:rsidR="00BD4624" w:rsidRDefault="00BD4624" w:rsidP="00BD4624">
      <w:pPr>
        <w:pStyle w:val="BodyText"/>
        <w:numPr>
          <w:ilvl w:val="0"/>
          <w:numId w:val="28"/>
        </w:numPr>
      </w:pPr>
      <w:r>
        <w:t>Option 2: Financial access protection</w:t>
      </w:r>
    </w:p>
    <w:p w14:paraId="3AAA6E6A" w14:textId="68B1AAA8" w:rsidR="00BD4624" w:rsidRDefault="00BD4624" w:rsidP="00BD4624">
      <w:pPr>
        <w:pStyle w:val="BodyText"/>
        <w:numPr>
          <w:ilvl w:val="0"/>
          <w:numId w:val="28"/>
        </w:numPr>
      </w:pPr>
      <w:r>
        <w:t>Option 3: REZ as a region</w:t>
      </w:r>
    </w:p>
    <w:p w14:paraId="02ECE529" w14:textId="21650623" w:rsidR="00BD4624" w:rsidRDefault="00BD4624" w:rsidP="00BD4624">
      <w:pPr>
        <w:pStyle w:val="BodyText"/>
        <w:numPr>
          <w:ilvl w:val="0"/>
          <w:numId w:val="28"/>
        </w:numPr>
      </w:pPr>
      <w:r>
        <w:t>Option 4: Early allocation of FTR.</w:t>
      </w:r>
    </w:p>
    <w:p w14:paraId="28852A39" w14:textId="50A4E4E8" w:rsidR="00BD4624" w:rsidRDefault="00BD4624" w:rsidP="00BD4624">
      <w:pPr>
        <w:pStyle w:val="BodyText"/>
      </w:pPr>
      <w:r>
        <w:t xml:space="preserve">In ERM’s view, none of the four options </w:t>
      </w:r>
      <w:r w:rsidR="00F724C1">
        <w:t>as described by the ESB are appropriate. As discussed earlier in this submission, we strongly oppose the FTR/LMP regime outlined in Option 4. Option 3 is also unsuitable on the grounds that it appears to rely on an FTR/LMP regime for the REZ, which would be a “stepping stone” to “the wider introduction of [LMP] and [FTR] elsewhere across the NEM”</w:t>
      </w:r>
      <w:r w:rsidR="00642DFC">
        <w:rPr>
          <w:rStyle w:val="FootnoteReference"/>
        </w:rPr>
        <w:footnoteReference w:id="18"/>
      </w:r>
      <w:r w:rsidR="00F724C1">
        <w:t xml:space="preserve">. Additionally, introducing a new </w:t>
      </w:r>
      <w:r w:rsidR="005249D3">
        <w:t xml:space="preserve">REZ </w:t>
      </w:r>
      <w:r w:rsidR="00F724C1">
        <w:t>region would be harmful to contract liquidity</w:t>
      </w:r>
      <w:r w:rsidR="00895635">
        <w:t xml:space="preserve"> as </w:t>
      </w:r>
      <w:r w:rsidR="004B2EAD">
        <w:t>it</w:t>
      </w:r>
      <w:r w:rsidR="00600977">
        <w:t xml:space="preserve"> wou</w:t>
      </w:r>
      <w:r w:rsidR="00045C04">
        <w:t xml:space="preserve">ld fragment </w:t>
      </w:r>
      <w:r w:rsidR="004818D7">
        <w:t xml:space="preserve">the </w:t>
      </w:r>
      <w:r w:rsidR="005249D3">
        <w:t>existing region</w:t>
      </w:r>
      <w:r w:rsidR="00F724C1">
        <w:t xml:space="preserve">.  </w:t>
      </w:r>
    </w:p>
    <w:p w14:paraId="5BA8365F" w14:textId="7F8C57B5" w:rsidR="00221BAA" w:rsidRDefault="00213079" w:rsidP="00BD4624">
      <w:pPr>
        <w:pStyle w:val="BodyText"/>
      </w:pPr>
      <w:r>
        <w:t xml:space="preserve">As outlined in ERM’s submission to the AEMC’s draft DNA determination, it is appropriate to protect transmission rights of private proponents who have paid </w:t>
      </w:r>
      <w:r w:rsidR="00F7217C">
        <w:t>to develop the</w:t>
      </w:r>
      <w:r w:rsidR="00E838FA">
        <w:t xml:space="preserve"> infrastructure. Therefore, ERM supports the </w:t>
      </w:r>
      <w:r w:rsidR="00D94351">
        <w:t xml:space="preserve">principle that </w:t>
      </w:r>
      <w:r w:rsidR="00D94351">
        <w:lastRenderedPageBreak/>
        <w:t xml:space="preserve">subsequent entrants to a REZ </w:t>
      </w:r>
      <w:r w:rsidR="00A764A2">
        <w:t>“</w:t>
      </w:r>
      <w:r w:rsidR="00D94351">
        <w:t xml:space="preserve">should </w:t>
      </w:r>
      <w:r w:rsidR="00A764A2">
        <w:t>‘</w:t>
      </w:r>
      <w:r w:rsidR="00E838FA">
        <w:t>do no harm</w:t>
      </w:r>
      <w:r w:rsidR="00A764A2">
        <w:t>’</w:t>
      </w:r>
      <w:r w:rsidR="00F63C40">
        <w:t xml:space="preserve"> to REZ </w:t>
      </w:r>
      <w:r w:rsidR="00A764A2">
        <w:t>generators</w:t>
      </w:r>
      <w:r w:rsidR="00F63C40">
        <w:t xml:space="preserve"> that have bid and acquired access rights</w:t>
      </w:r>
      <w:r w:rsidR="005958DF">
        <w:t>”</w:t>
      </w:r>
      <w:r w:rsidR="005958DF">
        <w:rPr>
          <w:rStyle w:val="FootnoteReference"/>
        </w:rPr>
        <w:footnoteReference w:id="19"/>
      </w:r>
      <w:r w:rsidR="00E838FA">
        <w:t xml:space="preserve">. </w:t>
      </w:r>
      <w:r w:rsidR="00F63C40">
        <w:t>While both Options 1 and 2 are based on this principle,</w:t>
      </w:r>
      <w:r w:rsidR="00E838FA">
        <w:t xml:space="preserve"> each </w:t>
      </w:r>
      <w:r w:rsidR="008A6D37">
        <w:t xml:space="preserve">has its own strengths and weaknesses. </w:t>
      </w:r>
    </w:p>
    <w:p w14:paraId="117A8D0B" w14:textId="40578BBF" w:rsidR="001B5542" w:rsidRDefault="00F63C40" w:rsidP="00734357">
      <w:pPr>
        <w:pStyle w:val="BodyText"/>
      </w:pPr>
      <w:r>
        <w:t>Physically p</w:t>
      </w:r>
      <w:r w:rsidR="00213079">
        <w:t>reventing new connections</w:t>
      </w:r>
      <w:r w:rsidR="003F0CCC">
        <w:t xml:space="preserve"> in the REZ</w:t>
      </w:r>
      <w:r w:rsidR="00213079">
        <w:t xml:space="preserve"> that would negatively impact REZ participants as per </w:t>
      </w:r>
      <w:r w:rsidR="008A6D37">
        <w:t xml:space="preserve">Option 1 </w:t>
      </w:r>
      <w:r w:rsidR="00213079">
        <w:t>would be a positive outcome.</w:t>
      </w:r>
      <w:r w:rsidR="00E838FA">
        <w:t xml:space="preserve"> </w:t>
      </w:r>
      <w:r w:rsidR="00734357">
        <w:t xml:space="preserve">However, the ESB correctly </w:t>
      </w:r>
      <w:r w:rsidR="001B5542">
        <w:t>identifies that</w:t>
      </w:r>
      <w:r w:rsidR="00734357">
        <w:t xml:space="preserve"> it could be difficult to plan for all possible scenarios in which a new connection may do harm</w:t>
      </w:r>
      <w:r w:rsidR="0035313D">
        <w:t xml:space="preserve"> to REZ parti</w:t>
      </w:r>
      <w:r w:rsidR="005825A2">
        <w:t>cipants</w:t>
      </w:r>
      <w:r w:rsidR="001B5542">
        <w:t xml:space="preserve">. In particular, it would </w:t>
      </w:r>
      <w:r w:rsidR="003F0CCC">
        <w:t xml:space="preserve">take substantial time and resources </w:t>
      </w:r>
      <w:r w:rsidR="001B5542">
        <w:t xml:space="preserve">to plan for changed congestion within </w:t>
      </w:r>
      <w:r w:rsidR="00BC3E7B">
        <w:t>a meshed</w:t>
      </w:r>
      <w:r w:rsidR="001B5542">
        <w:t xml:space="preserve"> REZ due to load or network configuration changes outside the REZ that are exacerbated by a new REZ connection. This is an inherent weakness of a ‘connection only’ physical access right, but could potentially be addressed through dispatch protection and/or financial protection for the REZ participants. These concepts are explored further in the next section of this submission.</w:t>
      </w:r>
    </w:p>
    <w:p w14:paraId="487B9AD8" w14:textId="496A0909" w:rsidR="00F7217C" w:rsidRDefault="00244F76" w:rsidP="000E45EA">
      <w:pPr>
        <w:pStyle w:val="BodyText"/>
      </w:pPr>
      <w:r w:rsidRPr="00F7217C">
        <w:t xml:space="preserve">Option 2 </w:t>
      </w:r>
      <w:r w:rsidR="000E45EA" w:rsidRPr="00F7217C">
        <w:t>also has promising elements</w:t>
      </w:r>
      <w:r w:rsidRPr="00F7217C">
        <w:t>.</w:t>
      </w:r>
      <w:r w:rsidR="004B188A" w:rsidRPr="00F7217C">
        <w:t xml:space="preserve"> The concept of new-entrant generators financially compensating REZ participants if they operate while other REZ generators are constrained appears sensible. </w:t>
      </w:r>
      <w:r w:rsidR="00D259ED" w:rsidRPr="00F7217C">
        <w:t>Similarly, a</w:t>
      </w:r>
      <w:r w:rsidRPr="00F7217C">
        <w:t xml:space="preserve"> revenue</w:t>
      </w:r>
      <w:r w:rsidR="000E45EA" w:rsidRPr="00F7217C">
        <w:t>-</w:t>
      </w:r>
      <w:r w:rsidRPr="00F7217C">
        <w:t>sharing regime within the REZ to prevent ‘winner takes all’ outcomes is also worth investigating further</w:t>
      </w:r>
      <w:r w:rsidR="00CD6AE7" w:rsidRPr="00F7217C">
        <w:t>.</w:t>
      </w:r>
      <w:r w:rsidR="000E45EA" w:rsidRPr="00F7217C">
        <w:rPr>
          <w:rStyle w:val="FootnoteReference"/>
        </w:rPr>
        <w:footnoteReference w:id="20"/>
      </w:r>
      <w:r w:rsidR="00CD6AE7" w:rsidRPr="00F7217C">
        <w:t xml:space="preserve"> </w:t>
      </w:r>
      <w:r w:rsidR="00D259ED" w:rsidRPr="00F7217C">
        <w:t>However</w:t>
      </w:r>
      <w:r w:rsidR="00D259ED">
        <w:t xml:space="preserve">, </w:t>
      </w:r>
      <w:r w:rsidR="00F7217C">
        <w:t>Option 2 has drawbacks</w:t>
      </w:r>
      <w:r w:rsidR="008378F4">
        <w:t xml:space="preserve"> in its current form</w:t>
      </w:r>
      <w:r w:rsidR="00F7217C">
        <w:t>.</w:t>
      </w:r>
    </w:p>
    <w:p w14:paraId="2385E5A2" w14:textId="77777777" w:rsidR="008378F4" w:rsidRDefault="00F7217C" w:rsidP="00F7217C">
      <w:pPr>
        <w:pStyle w:val="BodyText"/>
        <w:numPr>
          <w:ilvl w:val="0"/>
          <w:numId w:val="34"/>
        </w:numPr>
      </w:pPr>
      <w:r>
        <w:t>There does not appear to be</w:t>
      </w:r>
      <w:r w:rsidR="00D259ED">
        <w:t xml:space="preserve"> a process whereby a new-entrant generator could have its ‘harm’ assessed during the connection process, and subsequently pay for the necessary upgrades to the REZ to address it</w:t>
      </w:r>
      <w:r w:rsidR="00CD6AE7">
        <w:t>.</w:t>
      </w:r>
      <w:r w:rsidR="00D259ED">
        <w:t xml:space="preserve"> This is an unnecessary barrier to entry.</w:t>
      </w:r>
    </w:p>
    <w:p w14:paraId="27F88FA8" w14:textId="28B6C0D4" w:rsidR="00F426DC" w:rsidRDefault="001C3758" w:rsidP="00F7217C">
      <w:pPr>
        <w:pStyle w:val="BodyText"/>
        <w:numPr>
          <w:ilvl w:val="0"/>
          <w:numId w:val="34"/>
        </w:numPr>
      </w:pPr>
      <w:r>
        <w:t xml:space="preserve">Consider a scenario where </w:t>
      </w:r>
      <w:r w:rsidR="002A14A2">
        <w:t xml:space="preserve">AEMO requires </w:t>
      </w:r>
      <w:r>
        <w:t>a new-entrant generator</w:t>
      </w:r>
      <w:r w:rsidR="00DB3A99">
        <w:t xml:space="preserve"> </w:t>
      </w:r>
      <w:r w:rsidR="00211A7C">
        <w:t xml:space="preserve">to operate </w:t>
      </w:r>
      <w:r w:rsidR="002A14A2">
        <w:t>(e.g. to maintain system strength)</w:t>
      </w:r>
      <w:r w:rsidR="00D05E50">
        <w:t xml:space="preserve"> during a time of </w:t>
      </w:r>
      <w:r w:rsidR="00D903DD">
        <w:t xml:space="preserve">in-REZ </w:t>
      </w:r>
      <w:r w:rsidR="00D05E50">
        <w:t>congestion.</w:t>
      </w:r>
      <w:r w:rsidR="002A14A2">
        <w:t xml:space="preserve"> </w:t>
      </w:r>
      <w:r w:rsidR="00CC73FA">
        <w:t xml:space="preserve">It </w:t>
      </w:r>
      <w:r w:rsidR="00FC4202">
        <w:t>is not</w:t>
      </w:r>
      <w:r w:rsidR="00D85F8D">
        <w:t xml:space="preserve"> </w:t>
      </w:r>
      <w:r w:rsidR="00FC4202">
        <w:t>clear</w:t>
      </w:r>
      <w:r w:rsidR="00CC73FA">
        <w:t xml:space="preserve"> </w:t>
      </w:r>
      <w:r w:rsidR="00D85F8D">
        <w:t xml:space="preserve">what revenue this plant </w:t>
      </w:r>
      <w:r w:rsidR="00F24C02">
        <w:t>would receive under Option 2</w:t>
      </w:r>
      <w:r w:rsidR="00520A05">
        <w:t xml:space="preserve">. </w:t>
      </w:r>
      <w:r w:rsidR="00F24C02">
        <w:t xml:space="preserve">One interpretation </w:t>
      </w:r>
      <w:r w:rsidR="00056CB1">
        <w:t>is</w:t>
      </w:r>
      <w:r w:rsidR="00F24C02">
        <w:t xml:space="preserve"> that the </w:t>
      </w:r>
      <w:r w:rsidR="00203DF2">
        <w:t>new entrant</w:t>
      </w:r>
      <w:r w:rsidR="00F24C02">
        <w:t xml:space="preserve"> would receive zero revenue</w:t>
      </w:r>
      <w:r w:rsidR="00DD1B84">
        <w:t>, and the revenue</w:t>
      </w:r>
      <w:r w:rsidR="00515ECD">
        <w:t xml:space="preserve"> would </w:t>
      </w:r>
      <w:r w:rsidR="001273DA">
        <w:t xml:space="preserve">added to the pool </w:t>
      </w:r>
      <w:r w:rsidR="008E7E16">
        <w:t xml:space="preserve">shared between the </w:t>
      </w:r>
      <w:r w:rsidR="00931E8E">
        <w:t>available</w:t>
      </w:r>
      <w:r w:rsidR="008E7E16">
        <w:t xml:space="preserve"> REZ participants.</w:t>
      </w:r>
      <w:r w:rsidR="006804C2">
        <w:t xml:space="preserve"> </w:t>
      </w:r>
      <w:r w:rsidR="00856778">
        <w:t xml:space="preserve">Another interpretation </w:t>
      </w:r>
      <w:r w:rsidR="00056CB1">
        <w:t>is</w:t>
      </w:r>
      <w:r w:rsidR="00856778">
        <w:t xml:space="preserve"> that</w:t>
      </w:r>
      <w:r w:rsidR="00DC3C42">
        <w:t xml:space="preserve"> the </w:t>
      </w:r>
      <w:r w:rsidR="00597F98">
        <w:t>new entrant would receive a portion</w:t>
      </w:r>
      <w:r w:rsidR="00B31DA5">
        <w:t xml:space="preserve"> of the revenue</w:t>
      </w:r>
      <w:r w:rsidR="00C01419">
        <w:t xml:space="preserve"> based on total availability of generators within the REZ</w:t>
      </w:r>
      <w:r w:rsidR="00B31DA5">
        <w:t>.</w:t>
      </w:r>
      <w:r w:rsidR="00856778">
        <w:t xml:space="preserve"> Neither of these interpretations is appropriate – particularly if the </w:t>
      </w:r>
      <w:r w:rsidR="007456D1">
        <w:t>new-entrant generator has a n</w:t>
      </w:r>
      <w:r w:rsidR="00EA230D">
        <w:t>on-zero fuel cost.</w:t>
      </w:r>
      <w:r w:rsidR="006804C2">
        <w:t xml:space="preserve"> </w:t>
      </w:r>
      <w:r w:rsidR="00010871">
        <w:t>At minimum</w:t>
      </w:r>
      <w:r w:rsidR="00770755">
        <w:t xml:space="preserve">, the </w:t>
      </w:r>
      <w:r w:rsidR="00123634">
        <w:t>new entrant should be entitled to recover costs</w:t>
      </w:r>
      <w:r w:rsidR="0052592C">
        <w:t xml:space="preserve"> if subject to AEMO Direction</w:t>
      </w:r>
      <w:r w:rsidR="006B61B9">
        <w:t>.</w:t>
      </w:r>
      <w:r w:rsidR="006804C2">
        <w:t xml:space="preserve"> </w:t>
      </w:r>
    </w:p>
    <w:p w14:paraId="356375E2" w14:textId="015E0028" w:rsidR="008378F4" w:rsidRDefault="008378F4" w:rsidP="008378F4">
      <w:pPr>
        <w:pStyle w:val="BodyText"/>
        <w:numPr>
          <w:ilvl w:val="0"/>
          <w:numId w:val="34"/>
        </w:numPr>
      </w:pPr>
      <w:r>
        <w:t>The revenue sharing model appears to incentivise disorderly bidding of REZ participants</w:t>
      </w:r>
      <w:r w:rsidR="6A2D1A5B">
        <w:t>, particularly those that would benefit from the shared compensation pool</w:t>
      </w:r>
      <w:r>
        <w:t>. The exact type of disorderly bidding would depend on the REZ’s location in the network, and the REZ participants’ marginal cost and location within the REZ.</w:t>
      </w:r>
      <w:r w:rsidR="00886E3D">
        <w:t xml:space="preserve"> However, the likelihood and materiality of disorderly bidding may be insignificant</w:t>
      </w:r>
      <w:r w:rsidR="00B123E5">
        <w:t>.</w:t>
      </w:r>
      <w:r w:rsidR="00886E3D">
        <w:t xml:space="preserve"> </w:t>
      </w:r>
    </w:p>
    <w:p w14:paraId="3113A2E4" w14:textId="05EFE013" w:rsidR="005D447B" w:rsidRPr="00F66096" w:rsidRDefault="00225C9A" w:rsidP="004A7A5C">
      <w:pPr>
        <w:pStyle w:val="BodyText"/>
        <w:numPr>
          <w:ilvl w:val="0"/>
          <w:numId w:val="34"/>
        </w:numPr>
      </w:pPr>
      <w:r>
        <w:t>The exact metric used to allocate shared revenue within the REZ needs to be carefully designed to avoid gaming. Pure</w:t>
      </w:r>
      <w:r w:rsidR="424F2D93">
        <w:t xml:space="preserve"> bid</w:t>
      </w:r>
      <w:r>
        <w:t xml:space="preserve"> availability is not appropriate</w:t>
      </w:r>
      <w:r w:rsidR="00AF0C9C">
        <w:t>.</w:t>
      </w:r>
      <w:r>
        <w:t xml:space="preserve"> </w:t>
      </w:r>
      <w:r w:rsidR="717EE979">
        <w:t xml:space="preserve">VRE generation availability </w:t>
      </w:r>
      <w:r w:rsidR="4F662B6D">
        <w:t xml:space="preserve">should be based on the </w:t>
      </w:r>
      <w:r w:rsidR="00D44B3F">
        <w:t>Unconstrained Intermi</w:t>
      </w:r>
      <w:r w:rsidR="00F27CB2">
        <w:t>ttent Generation Forecast,</w:t>
      </w:r>
      <w:r w:rsidR="4F662B6D">
        <w:t xml:space="preserve"> and</w:t>
      </w:r>
      <w:r>
        <w:t xml:space="preserve"> a generator bidding in at greater than the RRP should not be allocated part of the revenue, despite being available.</w:t>
      </w:r>
    </w:p>
    <w:p w14:paraId="2A8BD912" w14:textId="13CAB556" w:rsidR="00C24FFC" w:rsidRPr="008D4771" w:rsidRDefault="00C24FFC" w:rsidP="00C24FFC">
      <w:pPr>
        <w:pStyle w:val="Heading3"/>
      </w:pPr>
      <w:r w:rsidRPr="000F793C">
        <w:t>A</w:t>
      </w:r>
      <w:r w:rsidR="00F66096" w:rsidRPr="000F793C">
        <w:t>n alternative</w:t>
      </w:r>
      <w:r w:rsidRPr="000F793C">
        <w:t xml:space="preserve"> access model</w:t>
      </w:r>
    </w:p>
    <w:p w14:paraId="3758D91F" w14:textId="21CE0485" w:rsidR="00D94351" w:rsidRDefault="00E838FA" w:rsidP="00E838FA">
      <w:pPr>
        <w:pStyle w:val="BodyText"/>
      </w:pPr>
      <w:r w:rsidRPr="008D4771">
        <w:t xml:space="preserve">If </w:t>
      </w:r>
      <w:r>
        <w:t>a private proponent pays</w:t>
      </w:r>
      <w:r w:rsidRPr="008D4771">
        <w:t xml:space="preserve"> for a </w:t>
      </w:r>
      <w:r w:rsidR="00193B4F">
        <w:t>transmission</w:t>
      </w:r>
      <w:r w:rsidRPr="008D4771">
        <w:t xml:space="preserve"> asset</w:t>
      </w:r>
      <w:r w:rsidR="5D7A27B7" w:rsidRPr="008D4771">
        <w:t xml:space="preserve"> to secure access</w:t>
      </w:r>
      <w:r w:rsidRPr="008D4771">
        <w:t xml:space="preserve">, </w:t>
      </w:r>
      <w:r>
        <w:t xml:space="preserve">they </w:t>
      </w:r>
      <w:r w:rsidRPr="008D4771">
        <w:t>should get the</w:t>
      </w:r>
      <w:r>
        <w:t>ir</w:t>
      </w:r>
      <w:r w:rsidRPr="008D4771">
        <w:t xml:space="preserve"> access protected. This should apply regardless of</w:t>
      </w:r>
      <w:r>
        <w:t xml:space="preserve"> whether the asset is </w:t>
      </w:r>
      <w:r w:rsidR="00B646D4">
        <w:t>radial or</w:t>
      </w:r>
      <w:r>
        <w:t xml:space="preserve"> is part of a network mesh. If amended as per ERM’s submission</w:t>
      </w:r>
      <w:r w:rsidR="0099572A">
        <w:t xml:space="preserve"> to the AEMC</w:t>
      </w:r>
      <w:r>
        <w:t>,</w:t>
      </w:r>
      <w:r w:rsidR="00B646D4">
        <w:rPr>
          <w:rStyle w:val="FootnoteReference"/>
        </w:rPr>
        <w:footnoteReference w:id="21"/>
      </w:r>
      <w:r>
        <w:t xml:space="preserve"> </w:t>
      </w:r>
      <w:r w:rsidR="00D94351">
        <w:t xml:space="preserve">the </w:t>
      </w:r>
      <w:r w:rsidR="0063553C">
        <w:t xml:space="preserve">principles underpinning </w:t>
      </w:r>
      <w:r w:rsidR="005958DF">
        <w:t xml:space="preserve">third-party access in the </w:t>
      </w:r>
      <w:r w:rsidR="00D94351">
        <w:t>AEMC’s draft DNA determination would be an appropriate framework for radial REZs.</w:t>
      </w:r>
    </w:p>
    <w:p w14:paraId="2E79C872" w14:textId="5784BFEE" w:rsidR="0063553C" w:rsidRDefault="0063553C" w:rsidP="00E838FA">
      <w:pPr>
        <w:pStyle w:val="BodyText"/>
      </w:pPr>
      <w:r>
        <w:t xml:space="preserve">For a REZ that is part of a network mesh or loop, the general principal of protecting the REZ participants could be similarly applied, with some extra </w:t>
      </w:r>
      <w:r w:rsidR="004B188A">
        <w:t>processes to account for the complexity of a REZ that is not radial.</w:t>
      </w:r>
      <w:r w:rsidR="00193B4F">
        <w:t xml:space="preserve"> A hybrid model combining the advantages of Options 1 and 2 could be appropriate. The hybrid model could work as follows</w:t>
      </w:r>
      <w:r w:rsidR="00931D41">
        <w:t>.</w:t>
      </w:r>
    </w:p>
    <w:p w14:paraId="5E6D3EF1" w14:textId="77777777" w:rsidR="008F23C4" w:rsidRDefault="00244F76" w:rsidP="008F23C4">
      <w:pPr>
        <w:pStyle w:val="BodyText"/>
        <w:numPr>
          <w:ilvl w:val="0"/>
          <w:numId w:val="36"/>
        </w:numPr>
      </w:pPr>
      <w:r>
        <w:lastRenderedPageBreak/>
        <w:t>Define the REZ boundary</w:t>
      </w:r>
      <w:r w:rsidR="008F23C4">
        <w:t xml:space="preserve">. </w:t>
      </w:r>
    </w:p>
    <w:p w14:paraId="1B8F6447" w14:textId="4487914F" w:rsidR="008F23C4" w:rsidRDefault="00244F76" w:rsidP="008F23C4">
      <w:pPr>
        <w:pStyle w:val="BodyText"/>
        <w:numPr>
          <w:ilvl w:val="0"/>
          <w:numId w:val="36"/>
        </w:numPr>
      </w:pPr>
      <w:r>
        <w:t>Undertake the auction</w:t>
      </w:r>
      <w:r w:rsidR="008F23C4">
        <w:t>/tender process</w:t>
      </w:r>
      <w:r>
        <w:t xml:space="preserve"> and allocate the REZ hosting capacity</w:t>
      </w:r>
      <w:r w:rsidR="008F23C4">
        <w:t xml:space="preserve"> via access right</w:t>
      </w:r>
      <w:r w:rsidR="00931D41">
        <w:t>s, which would formalise the remaining steps in this process</w:t>
      </w:r>
      <w:r w:rsidR="008F23C4">
        <w:t>.</w:t>
      </w:r>
    </w:p>
    <w:p w14:paraId="4B071E48" w14:textId="110C9953" w:rsidR="008F23C4" w:rsidRDefault="00244F76" w:rsidP="008F23C4">
      <w:pPr>
        <w:pStyle w:val="BodyText"/>
        <w:numPr>
          <w:ilvl w:val="0"/>
          <w:numId w:val="36"/>
        </w:numPr>
      </w:pPr>
      <w:r>
        <w:t xml:space="preserve">Allow </w:t>
      </w:r>
      <w:r w:rsidR="008F23C4">
        <w:t>new</w:t>
      </w:r>
      <w:r>
        <w:t xml:space="preserve"> connections to the REZ only if the new entrants meet sensible ‘do no harm’ criteria </w:t>
      </w:r>
      <w:r w:rsidR="00931D41">
        <w:t>and</w:t>
      </w:r>
      <w:r>
        <w:t xml:space="preserve"> fund any necessary augmentations for this to be the case.</w:t>
      </w:r>
      <w:r w:rsidR="00931D41">
        <w:t xml:space="preserve"> Note that the ‘do no harm’ criteria </w:t>
      </w:r>
      <w:r w:rsidR="0017593B">
        <w:t xml:space="preserve">are not </w:t>
      </w:r>
      <w:r w:rsidR="00746BC1">
        <w:t>intended to be exhaustive, as</w:t>
      </w:r>
      <w:r w:rsidR="00451719">
        <w:t xml:space="preserve"> it may be impractical (from a time and cost perspective) </w:t>
      </w:r>
      <w:r w:rsidR="008169C1">
        <w:t xml:space="preserve">to assess and address every possible </w:t>
      </w:r>
      <w:r w:rsidR="0058026B">
        <w:t xml:space="preserve">instance </w:t>
      </w:r>
      <w:r w:rsidR="00E31FB5">
        <w:t>of harm caused by a new connection. A</w:t>
      </w:r>
      <w:r w:rsidR="00931D41">
        <w:t xml:space="preserve">ny residual risk of harm </w:t>
      </w:r>
      <w:r w:rsidR="00E31FB5">
        <w:t xml:space="preserve">to REZ participants </w:t>
      </w:r>
      <w:r w:rsidR="00931D41">
        <w:t>would be addressed in the remaining steps of this process.</w:t>
      </w:r>
    </w:p>
    <w:p w14:paraId="7F75B0D2" w14:textId="583069D3" w:rsidR="00886E3D" w:rsidRDefault="008F23C4" w:rsidP="00886E3D">
      <w:pPr>
        <w:pStyle w:val="BodyText"/>
        <w:numPr>
          <w:ilvl w:val="0"/>
          <w:numId w:val="36"/>
        </w:numPr>
      </w:pPr>
      <w:r>
        <w:t>R</w:t>
      </w:r>
      <w:r w:rsidR="00244F76">
        <w:t xml:space="preserve">equire new-entrant generation to be constrained </w:t>
      </w:r>
      <w:r w:rsidR="00CD5816">
        <w:t>down</w:t>
      </w:r>
      <w:r w:rsidR="00244F76">
        <w:t xml:space="preserve"> prior to the other REZ participants</w:t>
      </w:r>
      <w:r w:rsidR="0063553C">
        <w:t>.</w:t>
      </w:r>
      <w:r>
        <w:t xml:space="preserve"> This could be </w:t>
      </w:r>
      <w:r w:rsidR="6D87363C">
        <w:t>efficiently achieved</w:t>
      </w:r>
      <w:r>
        <w:t xml:space="preserve"> via AEMO’s dispatch engine</w:t>
      </w:r>
      <w:r w:rsidRPr="2F303F3E">
        <w:rPr>
          <w:rStyle w:val="FootnoteReference"/>
        </w:rPr>
        <w:footnoteReference w:id="22"/>
      </w:r>
      <w:r>
        <w:t xml:space="preserve">, </w:t>
      </w:r>
      <w:r w:rsidR="00142059">
        <w:t xml:space="preserve">or </w:t>
      </w:r>
      <w:r w:rsidR="4E941F4F">
        <w:t xml:space="preserve">the connection NSP implementing </w:t>
      </w:r>
      <w:r>
        <w:t xml:space="preserve">a </w:t>
      </w:r>
      <w:r w:rsidR="15549C9C">
        <w:t>generator output</w:t>
      </w:r>
      <w:r>
        <w:t xml:space="preserve"> tripping or a runback scheme</w:t>
      </w:r>
      <w:r>
        <w:rPr>
          <w:rStyle w:val="FootnoteReference"/>
        </w:rPr>
        <w:footnoteReference w:id="23"/>
      </w:r>
      <w:r>
        <w:t>.</w:t>
      </w:r>
      <w:r w:rsidR="00931D41">
        <w:t xml:space="preserve"> </w:t>
      </w:r>
      <w:r w:rsidR="00244F76">
        <w:t>If</w:t>
      </w:r>
      <w:r w:rsidR="00931D41">
        <w:t xml:space="preserve"> this is not possible</w:t>
      </w:r>
      <w:r w:rsidR="00886E3D">
        <w:t xml:space="preserve"> for a particular dispatch period (e.g. </w:t>
      </w:r>
      <w:r w:rsidR="006D65BF">
        <w:t xml:space="preserve">if </w:t>
      </w:r>
      <w:r w:rsidR="0020214B">
        <w:t>AEMO directs</w:t>
      </w:r>
      <w:r w:rsidR="006D65BF">
        <w:t xml:space="preserve"> </w:t>
      </w:r>
      <w:r w:rsidR="00B65546">
        <w:t xml:space="preserve">a new-entrant generator </w:t>
      </w:r>
      <w:r w:rsidR="003E1CFC">
        <w:t xml:space="preserve">to operate </w:t>
      </w:r>
      <w:r w:rsidR="00244F76">
        <w:t>for system security reasons</w:t>
      </w:r>
      <w:r w:rsidR="00886E3D">
        <w:t>)</w:t>
      </w:r>
      <w:r w:rsidR="00244F76">
        <w:t xml:space="preserve">, share the revenue </w:t>
      </w:r>
      <w:r w:rsidR="00886E3D">
        <w:t>between</w:t>
      </w:r>
      <w:r w:rsidR="00244F76">
        <w:t xml:space="preserve"> the new-entrant </w:t>
      </w:r>
      <w:r w:rsidR="00886E3D">
        <w:t>generator</w:t>
      </w:r>
      <w:r w:rsidR="00244F76">
        <w:t xml:space="preserve"> and the </w:t>
      </w:r>
      <w:r w:rsidR="00886E3D">
        <w:t>REZ participants</w:t>
      </w:r>
      <w:r w:rsidR="00244F76">
        <w:t xml:space="preserve"> that </w:t>
      </w:r>
      <w:r w:rsidR="00886E3D">
        <w:t>had their output</w:t>
      </w:r>
      <w:r w:rsidR="00244F76">
        <w:t xml:space="preserve"> constrained</w:t>
      </w:r>
      <w:r w:rsidR="00931D41">
        <w:t xml:space="preserve">. </w:t>
      </w:r>
      <w:r w:rsidR="004259A7">
        <w:t>In this case, t</w:t>
      </w:r>
      <w:r w:rsidR="00931D41">
        <w:t xml:space="preserve">he revenue for the new-entrant generation </w:t>
      </w:r>
      <w:r w:rsidR="00B123E5">
        <w:t xml:space="preserve">that got dispatched </w:t>
      </w:r>
      <w:r w:rsidR="00931D41">
        <w:t>should</w:t>
      </w:r>
      <w:r w:rsidR="00CA382E">
        <w:t>, at a minimum, cover costs</w:t>
      </w:r>
      <w:r w:rsidR="00886E3D">
        <w:t>.</w:t>
      </w:r>
    </w:p>
    <w:p w14:paraId="603017E5" w14:textId="48CCC04C" w:rsidR="00244F76" w:rsidRDefault="00244F76" w:rsidP="00886E3D">
      <w:pPr>
        <w:pStyle w:val="BodyText"/>
        <w:numPr>
          <w:ilvl w:val="0"/>
          <w:numId w:val="36"/>
        </w:numPr>
      </w:pPr>
      <w:r>
        <w:t xml:space="preserve">Incorporate </w:t>
      </w:r>
      <w:r w:rsidR="00886E3D">
        <w:t>a</w:t>
      </w:r>
      <w:r>
        <w:t xml:space="preserve"> revenue sharing regime within the REZ to avoid ‘winner-takes all’ outcomes</w:t>
      </w:r>
      <w:r w:rsidR="00886E3D">
        <w:t xml:space="preserve"> as per Option 2, noting ERM’s </w:t>
      </w:r>
      <w:r w:rsidR="001471DF">
        <w:t xml:space="preserve">earlier </w:t>
      </w:r>
      <w:r w:rsidR="00886E3D">
        <w:t>comments on an appropriate revenue-sharing metric. Consider how to design the revenue sharing scheme to minimise disorderly bidding within the REZ, noting that it may not be practical to eliminate the risk entirely.</w:t>
      </w:r>
    </w:p>
    <w:p w14:paraId="4589EF69" w14:textId="1F7368D9" w:rsidR="00B123E5" w:rsidRDefault="00B123E5" w:rsidP="00886E3D">
      <w:pPr>
        <w:pStyle w:val="BodyText"/>
        <w:numPr>
          <w:ilvl w:val="0"/>
          <w:numId w:val="36"/>
        </w:numPr>
      </w:pPr>
      <w:r>
        <w:t xml:space="preserve">Allow both storage and flexible load to benefit from zero-cost </w:t>
      </w:r>
      <w:r w:rsidR="1B49F565">
        <w:t>consumption (</w:t>
      </w:r>
      <w:r>
        <w:t>charging</w:t>
      </w:r>
      <w:r w:rsidR="3179E557">
        <w:t>)</w:t>
      </w:r>
      <w:r>
        <w:t xml:space="preserve"> to alleviate congestion (discussed further in the next section)</w:t>
      </w:r>
      <w:r w:rsidR="00AA05EA">
        <w:t>.</w:t>
      </w:r>
    </w:p>
    <w:p w14:paraId="4E9803F7" w14:textId="3C74D83F" w:rsidR="00886E3D" w:rsidRDefault="00886E3D" w:rsidP="00906D27">
      <w:pPr>
        <w:pStyle w:val="BodyText"/>
      </w:pPr>
      <w:r>
        <w:t xml:space="preserve">Note that the details for each step </w:t>
      </w:r>
      <w:r w:rsidR="00B123E5">
        <w:t>above</w:t>
      </w:r>
      <w:r>
        <w:t xml:space="preserve"> need further development and consultation. Despite this, ERM considers </w:t>
      </w:r>
      <w:r w:rsidR="00814E85">
        <w:t>this</w:t>
      </w:r>
      <w:r>
        <w:t xml:space="preserve"> hybrid model </w:t>
      </w:r>
      <w:r w:rsidR="00814E85">
        <w:t>to be</w:t>
      </w:r>
      <w:r>
        <w:t xml:space="preserve"> more appropriate than any of the four options in the ESB’s consultation paper.</w:t>
      </w:r>
      <w:r w:rsidR="00B123E5">
        <w:t xml:space="preserve"> </w:t>
      </w:r>
    </w:p>
    <w:p w14:paraId="7D7FEF8A" w14:textId="2F386D1A" w:rsidR="003F7C53" w:rsidRPr="00906D27" w:rsidRDefault="003F7C53" w:rsidP="003F7C53">
      <w:pPr>
        <w:pStyle w:val="Heading3"/>
      </w:pPr>
      <w:r>
        <w:t>Storage</w:t>
      </w:r>
      <w:r w:rsidR="35E15FA1">
        <w:t xml:space="preserve"> and dispatchable load</w:t>
      </w:r>
    </w:p>
    <w:p w14:paraId="5373BFA7" w14:textId="1490F1AE" w:rsidR="00221BAA" w:rsidRPr="00225C9A" w:rsidRDefault="00221BAA" w:rsidP="00906D27">
      <w:pPr>
        <w:pStyle w:val="BodyText"/>
      </w:pPr>
      <w:r w:rsidRPr="00906D27">
        <w:t>ERM agrees that</w:t>
      </w:r>
      <w:r w:rsidRPr="00221BAA">
        <w:t xml:space="preserve"> “REZ frameworks need to be designed in a way that rewards storage for contributing to efficient overall outcomes”</w:t>
      </w:r>
      <w:r w:rsidRPr="00221BAA">
        <w:rPr>
          <w:rStyle w:val="FootnoteReference"/>
        </w:rPr>
        <w:footnoteReference w:id="24"/>
      </w:r>
      <w:r w:rsidRPr="00221BAA">
        <w:t>.</w:t>
      </w:r>
      <w:r>
        <w:t xml:space="preserve"> However, given that storage is effectively a combined load/generator, this principle should be extended.</w:t>
      </w:r>
      <w:r w:rsidR="00906D27">
        <w:t xml:space="preserve"> In particular, the framework should encourage supply-following </w:t>
      </w:r>
      <w:r w:rsidR="6BE67A95">
        <w:t xml:space="preserve">dispatchable </w:t>
      </w:r>
      <w:r w:rsidR="00906D27">
        <w:t xml:space="preserve">load more broadly (not just </w:t>
      </w:r>
      <w:r w:rsidR="00A346FE">
        <w:t>storage</w:t>
      </w:r>
      <w:r w:rsidR="51E0B341">
        <w:t xml:space="preserve"> </w:t>
      </w:r>
      <w:r w:rsidR="00906D27">
        <w:t xml:space="preserve">charging) to </w:t>
      </w:r>
      <w:r w:rsidR="00906D27" w:rsidRPr="00225C9A">
        <w:t>alleviate congestion within the REZ.</w:t>
      </w:r>
    </w:p>
    <w:p w14:paraId="20E32F55" w14:textId="6D97034E" w:rsidR="001F25BA" w:rsidRPr="008D4771" w:rsidRDefault="00167E5A" w:rsidP="001F25BA">
      <w:pPr>
        <w:pStyle w:val="BodyText"/>
      </w:pPr>
      <w:r w:rsidRPr="008D4771">
        <w:t xml:space="preserve">If you would like to discuss this submission further, please contact Matthew Ladewig, Policy Adviser at </w:t>
      </w:r>
      <w:hyperlink r:id="rId14" w:history="1">
        <w:r w:rsidRPr="008D4771">
          <w:rPr>
            <w:rStyle w:val="Hyperlink"/>
          </w:rPr>
          <w:t>mladewig@ermpower.com.au</w:t>
        </w:r>
      </w:hyperlink>
      <w:r w:rsidRPr="008D4771">
        <w:t xml:space="preserve"> or </w:t>
      </w:r>
      <w:r w:rsidR="00DA4B04">
        <w:t xml:space="preserve">on </w:t>
      </w:r>
      <w:r w:rsidRPr="008D4771">
        <w:t>03 9214 9397.</w:t>
      </w:r>
    </w:p>
    <w:p w14:paraId="469B9F9A" w14:textId="77777777" w:rsidR="001F25BA" w:rsidRPr="008D4771" w:rsidRDefault="001F25BA" w:rsidP="001F25BA">
      <w:pPr>
        <w:pStyle w:val="BodyText"/>
      </w:pPr>
    </w:p>
    <w:p w14:paraId="5B46BAF9" w14:textId="77777777" w:rsidR="001F25BA" w:rsidRPr="008D4771" w:rsidRDefault="001F25BA" w:rsidP="001F25BA">
      <w:pPr>
        <w:pStyle w:val="BodyText"/>
      </w:pPr>
      <w:r w:rsidRPr="008D4771">
        <w:br/>
        <w:t>Yours sincerely,</w:t>
      </w:r>
      <w:r w:rsidRPr="008D4771">
        <w:br/>
      </w:r>
    </w:p>
    <w:p w14:paraId="437FCF1A" w14:textId="77777777" w:rsidR="001F25BA" w:rsidRPr="008D4771" w:rsidRDefault="001F25BA" w:rsidP="001F25BA">
      <w:pPr>
        <w:pStyle w:val="BodyText"/>
      </w:pPr>
      <w:r w:rsidRPr="008D4771">
        <w:t>[signed]</w:t>
      </w:r>
      <w:r w:rsidRPr="008D4771">
        <w:br/>
      </w:r>
    </w:p>
    <w:p w14:paraId="76F59BEE" w14:textId="7A3A8EB1" w:rsidR="001F25BA" w:rsidRPr="008D4771" w:rsidRDefault="00167E5A" w:rsidP="00DA6AC1">
      <w:pPr>
        <w:pStyle w:val="BodyText"/>
      </w:pPr>
      <w:r w:rsidRPr="008D4771">
        <w:t>Libby Hawker</w:t>
      </w:r>
      <w:r w:rsidRPr="008D4771">
        <w:br/>
        <w:t>Senior Manager – Regulatory Affairs</w:t>
      </w:r>
      <w:r w:rsidRPr="008D4771">
        <w:br/>
        <w:t xml:space="preserve">03 9214 9324 – </w:t>
      </w:r>
      <w:hyperlink r:id="rId15" w:history="1">
        <w:r w:rsidRPr="008D4771">
          <w:rPr>
            <w:rStyle w:val="Hyperlink"/>
          </w:rPr>
          <w:t>lhawker@ermpower.com.au</w:t>
        </w:r>
      </w:hyperlink>
      <w:bookmarkEnd w:id="1"/>
      <w:bookmarkEnd w:id="0"/>
    </w:p>
    <w:sectPr w:rsidR="001F25BA" w:rsidRPr="008D4771" w:rsidSect="00DA6AC1">
      <w:headerReference w:type="default" r:id="rId16"/>
      <w:footerReference w:type="default" r:id="rId17"/>
      <w:headerReference w:type="first" r:id="rId18"/>
      <w:footerReference w:type="first" r:id="rId19"/>
      <w:pgSz w:w="11906" w:h="16838" w:code="9"/>
      <w:pgMar w:top="3232"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8C934" w14:textId="77777777" w:rsidR="00E62FD8" w:rsidRDefault="00E62FD8" w:rsidP="00AF320E">
      <w:r>
        <w:separator/>
      </w:r>
    </w:p>
  </w:endnote>
  <w:endnote w:type="continuationSeparator" w:id="0">
    <w:p w14:paraId="3BECDD41" w14:textId="77777777" w:rsidR="00E62FD8" w:rsidRDefault="00E62FD8" w:rsidP="00AF320E">
      <w:r>
        <w:continuationSeparator/>
      </w:r>
    </w:p>
  </w:endnote>
  <w:endnote w:type="continuationNotice" w:id="1">
    <w:p w14:paraId="1925133E" w14:textId="77777777" w:rsidR="00E62FD8" w:rsidRDefault="00E62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w:altName w:val="Arial"/>
    <w:charset w:val="00"/>
    <w:family w:val="auto"/>
    <w:pitch w:val="variable"/>
    <w:sig w:usb0="80000027" w:usb1="00000000" w:usb2="00000000" w:usb3="00000000" w:csb0="00000001" w:csb1="00000000"/>
  </w:font>
  <w:font w:name="Gotham Light">
    <w:panose1 w:val="00000000000000000000"/>
    <w:charset w:val="00"/>
    <w:family w:val="modern"/>
    <w:notTrueType/>
    <w:pitch w:val="variable"/>
    <w:sig w:usb0="A00002FF" w:usb1="40000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3401"/>
      <w:gridCol w:w="3401"/>
      <w:gridCol w:w="3402"/>
    </w:tblGrid>
    <w:tr w:rsidR="00CD6AE7" w14:paraId="394FAC25" w14:textId="77777777" w:rsidTr="00CD6AE7">
      <w:tc>
        <w:tcPr>
          <w:tcW w:w="3401" w:type="dxa"/>
        </w:tcPr>
        <w:p w14:paraId="49C76141" w14:textId="77777777" w:rsidR="00CD6AE7" w:rsidRPr="00523F1C" w:rsidRDefault="00CD6AE7" w:rsidP="00821CE1">
          <w:pPr>
            <w:pStyle w:val="Footer"/>
            <w:tabs>
              <w:tab w:val="clear" w:pos="4513"/>
              <w:tab w:val="clear" w:pos="9026"/>
            </w:tabs>
            <w:jc w:val="left"/>
          </w:pPr>
        </w:p>
      </w:tc>
      <w:tc>
        <w:tcPr>
          <w:tcW w:w="3401" w:type="dxa"/>
        </w:tcPr>
        <w:p w14:paraId="00EADC8C" w14:textId="77777777" w:rsidR="00CD6AE7" w:rsidRPr="00523F1C" w:rsidRDefault="00CD6AE7" w:rsidP="00821CE1">
          <w:pPr>
            <w:pStyle w:val="Footer"/>
            <w:tabs>
              <w:tab w:val="clear" w:pos="4513"/>
              <w:tab w:val="clear" w:pos="9026"/>
            </w:tabs>
            <w:rPr>
              <w:noProof/>
            </w:rPr>
          </w:pPr>
          <w:r w:rsidRPr="00523F1C">
            <w:t xml:space="preserve">Page </w:t>
          </w:r>
          <w:r w:rsidRPr="00523F1C">
            <w:fldChar w:fldCharType="begin"/>
          </w:r>
          <w:r w:rsidRPr="00523F1C">
            <w:instrText xml:space="preserve"> PAGE </w:instrText>
          </w:r>
          <w:r w:rsidRPr="00523F1C">
            <w:fldChar w:fldCharType="separate"/>
          </w:r>
          <w:r>
            <w:rPr>
              <w:noProof/>
            </w:rPr>
            <w:t>2</w:t>
          </w:r>
          <w:r w:rsidRPr="00523F1C">
            <w:fldChar w:fldCharType="end"/>
          </w:r>
          <w:r w:rsidRPr="00523F1C">
            <w:t xml:space="preserve"> of </w:t>
          </w:r>
          <w:r w:rsidRPr="00523F1C">
            <w:rPr>
              <w:noProof/>
            </w:rPr>
            <w:fldChar w:fldCharType="begin"/>
          </w:r>
          <w:r w:rsidRPr="00523F1C">
            <w:rPr>
              <w:noProof/>
            </w:rPr>
            <w:instrText xml:space="preserve"> NUMPAGES </w:instrText>
          </w:r>
          <w:r w:rsidRPr="00523F1C">
            <w:rPr>
              <w:noProof/>
            </w:rPr>
            <w:fldChar w:fldCharType="separate"/>
          </w:r>
          <w:r>
            <w:rPr>
              <w:noProof/>
            </w:rPr>
            <w:t>2</w:t>
          </w:r>
          <w:r w:rsidRPr="00523F1C">
            <w:rPr>
              <w:noProof/>
            </w:rPr>
            <w:fldChar w:fldCharType="end"/>
          </w:r>
        </w:p>
      </w:tc>
      <w:tc>
        <w:tcPr>
          <w:tcW w:w="3402" w:type="dxa"/>
          <w:vAlign w:val="bottom"/>
        </w:tcPr>
        <w:p w14:paraId="4D1BA9D8" w14:textId="77777777" w:rsidR="00CD6AE7" w:rsidRPr="00523F1C" w:rsidRDefault="00CD6AE7" w:rsidP="00821CE1">
          <w:pPr>
            <w:pStyle w:val="Footer"/>
            <w:tabs>
              <w:tab w:val="clear" w:pos="4513"/>
              <w:tab w:val="clear" w:pos="9026"/>
            </w:tabs>
            <w:jc w:val="right"/>
            <w:rPr>
              <w:b w:val="0"/>
              <w:color w:val="A6A6A6" w:themeColor="background1" w:themeShade="A6"/>
              <w:sz w:val="12"/>
            </w:rPr>
          </w:pPr>
          <w:r w:rsidRPr="00FE4622">
            <w:rPr>
              <w:b w:val="0"/>
              <w:noProof/>
              <w:color w:val="A6A6A6" w:themeColor="background1" w:themeShade="A6"/>
              <w:sz w:val="12"/>
            </w:rPr>
            <w:t>ERM00082.0</w:t>
          </w:r>
          <w:r>
            <w:rPr>
              <w:b w:val="0"/>
              <w:noProof/>
              <w:color w:val="A6A6A6" w:themeColor="background1" w:themeShade="A6"/>
              <w:sz w:val="12"/>
            </w:rPr>
            <w:t>1</w:t>
          </w:r>
        </w:p>
      </w:tc>
    </w:tr>
  </w:tbl>
  <w:p w14:paraId="408BE33B" w14:textId="77777777" w:rsidR="00CD6AE7" w:rsidRPr="00821CE1" w:rsidRDefault="00CD6AE7" w:rsidP="00821CE1">
    <w:pPr>
      <w:pStyle w:val="Footer"/>
      <w:rPr>
        <w:b w:val="0"/>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3401"/>
      <w:gridCol w:w="3401"/>
      <w:gridCol w:w="3402"/>
    </w:tblGrid>
    <w:tr w:rsidR="00CD6AE7" w14:paraId="48FA93D6" w14:textId="77777777" w:rsidTr="00CD6AE7">
      <w:tc>
        <w:tcPr>
          <w:tcW w:w="3401" w:type="dxa"/>
        </w:tcPr>
        <w:p w14:paraId="221F10B8" w14:textId="77777777" w:rsidR="00CD6AE7" w:rsidRPr="00523F1C" w:rsidRDefault="00CD6AE7" w:rsidP="00821CE1">
          <w:pPr>
            <w:pStyle w:val="Footer"/>
            <w:tabs>
              <w:tab w:val="clear" w:pos="4513"/>
              <w:tab w:val="clear" w:pos="9026"/>
            </w:tabs>
            <w:jc w:val="left"/>
          </w:pPr>
        </w:p>
      </w:tc>
      <w:tc>
        <w:tcPr>
          <w:tcW w:w="3401" w:type="dxa"/>
        </w:tcPr>
        <w:p w14:paraId="1CD13831" w14:textId="77777777" w:rsidR="00CD6AE7" w:rsidRPr="00523F1C" w:rsidRDefault="00CD6AE7" w:rsidP="00821CE1">
          <w:pPr>
            <w:pStyle w:val="Footer"/>
            <w:tabs>
              <w:tab w:val="clear" w:pos="4513"/>
              <w:tab w:val="clear" w:pos="9026"/>
            </w:tabs>
            <w:rPr>
              <w:noProof/>
            </w:rPr>
          </w:pPr>
          <w:r w:rsidRPr="00523F1C">
            <w:t xml:space="preserve">Page </w:t>
          </w:r>
          <w:r w:rsidRPr="00523F1C">
            <w:fldChar w:fldCharType="begin"/>
          </w:r>
          <w:r w:rsidRPr="00523F1C">
            <w:instrText xml:space="preserve"> PAGE </w:instrText>
          </w:r>
          <w:r w:rsidRPr="00523F1C">
            <w:fldChar w:fldCharType="separate"/>
          </w:r>
          <w:r>
            <w:rPr>
              <w:noProof/>
            </w:rPr>
            <w:t>1</w:t>
          </w:r>
          <w:r w:rsidRPr="00523F1C">
            <w:fldChar w:fldCharType="end"/>
          </w:r>
          <w:r w:rsidRPr="00523F1C">
            <w:t xml:space="preserve"> of </w:t>
          </w:r>
          <w:r w:rsidRPr="00523F1C">
            <w:rPr>
              <w:noProof/>
            </w:rPr>
            <w:fldChar w:fldCharType="begin"/>
          </w:r>
          <w:r w:rsidRPr="00523F1C">
            <w:rPr>
              <w:noProof/>
            </w:rPr>
            <w:instrText xml:space="preserve"> NUMPAGES </w:instrText>
          </w:r>
          <w:r w:rsidRPr="00523F1C">
            <w:rPr>
              <w:noProof/>
            </w:rPr>
            <w:fldChar w:fldCharType="separate"/>
          </w:r>
          <w:r>
            <w:rPr>
              <w:noProof/>
            </w:rPr>
            <w:t>2</w:t>
          </w:r>
          <w:r w:rsidRPr="00523F1C">
            <w:rPr>
              <w:noProof/>
            </w:rPr>
            <w:fldChar w:fldCharType="end"/>
          </w:r>
        </w:p>
      </w:tc>
      <w:tc>
        <w:tcPr>
          <w:tcW w:w="3402" w:type="dxa"/>
          <w:vAlign w:val="bottom"/>
        </w:tcPr>
        <w:p w14:paraId="21655F02" w14:textId="77777777" w:rsidR="00CD6AE7" w:rsidRPr="00523F1C" w:rsidRDefault="00CD6AE7" w:rsidP="00821CE1">
          <w:pPr>
            <w:pStyle w:val="Footer"/>
            <w:tabs>
              <w:tab w:val="clear" w:pos="4513"/>
              <w:tab w:val="clear" w:pos="9026"/>
            </w:tabs>
            <w:jc w:val="right"/>
            <w:rPr>
              <w:b w:val="0"/>
              <w:color w:val="A6A6A6" w:themeColor="background1" w:themeShade="A6"/>
              <w:sz w:val="12"/>
            </w:rPr>
          </w:pPr>
          <w:r w:rsidRPr="00FE4622">
            <w:rPr>
              <w:b w:val="0"/>
              <w:noProof/>
              <w:color w:val="A6A6A6" w:themeColor="background1" w:themeShade="A6"/>
              <w:sz w:val="12"/>
            </w:rPr>
            <w:t>ERM00082.0</w:t>
          </w:r>
          <w:r>
            <w:rPr>
              <w:b w:val="0"/>
              <w:noProof/>
              <w:color w:val="A6A6A6" w:themeColor="background1" w:themeShade="A6"/>
              <w:sz w:val="12"/>
            </w:rPr>
            <w:t>1</w:t>
          </w:r>
        </w:p>
      </w:tc>
    </w:tr>
  </w:tbl>
  <w:p w14:paraId="500656DA" w14:textId="77777777" w:rsidR="00CD6AE7" w:rsidRPr="00821CE1" w:rsidRDefault="00CD6AE7" w:rsidP="00821CE1">
    <w:pPr>
      <w:pStyle w:val="Footer"/>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8487F" w14:textId="77777777" w:rsidR="00E62FD8" w:rsidRDefault="00E62FD8" w:rsidP="00AF320E">
      <w:r>
        <w:separator/>
      </w:r>
    </w:p>
  </w:footnote>
  <w:footnote w:type="continuationSeparator" w:id="0">
    <w:p w14:paraId="7B563B87" w14:textId="77777777" w:rsidR="00E62FD8" w:rsidRDefault="00E62FD8" w:rsidP="00AF320E">
      <w:r>
        <w:continuationSeparator/>
      </w:r>
    </w:p>
  </w:footnote>
  <w:footnote w:type="continuationNotice" w:id="1">
    <w:p w14:paraId="6B86F51D" w14:textId="77777777" w:rsidR="00E62FD8" w:rsidRDefault="00E62FD8"/>
  </w:footnote>
  <w:footnote w:id="2">
    <w:p w14:paraId="3BEE6F3F" w14:textId="4D21499B" w:rsidR="00CD6AE7" w:rsidRPr="001F25BA" w:rsidRDefault="00CD6AE7">
      <w:pPr>
        <w:pStyle w:val="FootnoteText"/>
        <w:rPr>
          <w:sz w:val="16"/>
          <w:szCs w:val="16"/>
        </w:rPr>
      </w:pPr>
      <w:r w:rsidRPr="001F25BA">
        <w:rPr>
          <w:rStyle w:val="FootnoteReference"/>
          <w:sz w:val="16"/>
          <w:szCs w:val="16"/>
        </w:rPr>
        <w:footnoteRef/>
      </w:r>
      <w:r w:rsidRPr="001F25BA">
        <w:rPr>
          <w:sz w:val="16"/>
          <w:szCs w:val="16"/>
        </w:rPr>
        <w:t xml:space="preserve"> Based on ERM Power analysis of latest published information.</w:t>
      </w:r>
    </w:p>
  </w:footnote>
  <w:footnote w:id="3">
    <w:p w14:paraId="40C0F8C7" w14:textId="66D4ECD1" w:rsidR="00CD6AE7" w:rsidRPr="009D1790" w:rsidRDefault="00CD6AE7">
      <w:pPr>
        <w:pStyle w:val="FootnoteText"/>
        <w:rPr>
          <w:sz w:val="16"/>
          <w:szCs w:val="16"/>
        </w:rPr>
      </w:pPr>
      <w:r w:rsidRPr="009D1790">
        <w:rPr>
          <w:rStyle w:val="FootnoteReference"/>
          <w:sz w:val="16"/>
          <w:szCs w:val="16"/>
        </w:rPr>
        <w:footnoteRef/>
      </w:r>
      <w:r w:rsidRPr="009D1790">
        <w:rPr>
          <w:sz w:val="16"/>
          <w:szCs w:val="16"/>
        </w:rPr>
        <w:t xml:space="preserve"> </w:t>
      </w:r>
      <w:r>
        <w:rPr>
          <w:sz w:val="16"/>
          <w:szCs w:val="16"/>
        </w:rPr>
        <w:t>Note that this submission</w:t>
      </w:r>
      <w:r w:rsidRPr="009D1790">
        <w:rPr>
          <w:sz w:val="16"/>
          <w:szCs w:val="16"/>
        </w:rPr>
        <w:t xml:space="preserve"> focuses on the third and fourth components because </w:t>
      </w:r>
      <w:r>
        <w:rPr>
          <w:sz w:val="16"/>
          <w:szCs w:val="16"/>
        </w:rPr>
        <w:t>the first two were largely</w:t>
      </w:r>
      <w:r w:rsidRPr="009D1790">
        <w:rPr>
          <w:sz w:val="16"/>
          <w:szCs w:val="16"/>
        </w:rPr>
        <w:t xml:space="preserve"> out of scope of the consultation paper</w:t>
      </w:r>
      <w:r>
        <w:rPr>
          <w:sz w:val="16"/>
          <w:szCs w:val="16"/>
        </w:rPr>
        <w:t>. ERM has previously provided feedback on the first component</w:t>
      </w:r>
      <w:r w:rsidRPr="009D1790">
        <w:rPr>
          <w:sz w:val="16"/>
          <w:szCs w:val="16"/>
        </w:rPr>
        <w:t xml:space="preserve"> as part of an earlier </w:t>
      </w:r>
      <w:r w:rsidR="00F42719">
        <w:rPr>
          <w:sz w:val="16"/>
          <w:szCs w:val="16"/>
        </w:rPr>
        <w:t xml:space="preserve">ESB </w:t>
      </w:r>
      <w:r w:rsidRPr="009D1790">
        <w:rPr>
          <w:sz w:val="16"/>
          <w:szCs w:val="16"/>
        </w:rPr>
        <w:t xml:space="preserve">consultation process.   </w:t>
      </w:r>
    </w:p>
  </w:footnote>
  <w:footnote w:id="4">
    <w:p w14:paraId="03552A51" w14:textId="7DEEC454" w:rsidR="00CD6AE7" w:rsidRPr="00152F6B" w:rsidRDefault="00CD6AE7">
      <w:pPr>
        <w:pStyle w:val="FootnoteText"/>
        <w:rPr>
          <w:sz w:val="16"/>
          <w:szCs w:val="16"/>
        </w:rPr>
      </w:pPr>
      <w:r w:rsidRPr="00152F6B">
        <w:rPr>
          <w:rStyle w:val="FootnoteReference"/>
          <w:sz w:val="16"/>
          <w:szCs w:val="16"/>
        </w:rPr>
        <w:footnoteRef/>
      </w:r>
      <w:r w:rsidRPr="00152F6B">
        <w:rPr>
          <w:sz w:val="16"/>
          <w:szCs w:val="16"/>
        </w:rPr>
        <w:t xml:space="preserve"> </w:t>
      </w:r>
      <w:r>
        <w:rPr>
          <w:sz w:val="16"/>
          <w:szCs w:val="16"/>
        </w:rPr>
        <w:t xml:space="preserve">ESB, </w:t>
      </w:r>
      <w:r>
        <w:rPr>
          <w:i/>
          <w:iCs/>
          <w:sz w:val="16"/>
          <w:szCs w:val="16"/>
        </w:rPr>
        <w:t>Renewable Energy Zones, Consultation paper</w:t>
      </w:r>
      <w:r w:rsidRPr="00C24FFC">
        <w:rPr>
          <w:sz w:val="16"/>
          <w:szCs w:val="16"/>
        </w:rPr>
        <w:t>, January 2021</w:t>
      </w:r>
      <w:r>
        <w:rPr>
          <w:sz w:val="16"/>
          <w:szCs w:val="16"/>
        </w:rPr>
        <w:t>, pp</w:t>
      </w:r>
      <w:r>
        <w:rPr>
          <w:i/>
          <w:iCs/>
          <w:sz w:val="16"/>
          <w:szCs w:val="16"/>
        </w:rPr>
        <w:t xml:space="preserve"> </w:t>
      </w:r>
      <w:r>
        <w:rPr>
          <w:sz w:val="16"/>
          <w:szCs w:val="16"/>
        </w:rPr>
        <w:t>5</w:t>
      </w:r>
    </w:p>
  </w:footnote>
  <w:footnote w:id="5">
    <w:p w14:paraId="6A884DE8" w14:textId="77777777" w:rsidR="00CD6AE7" w:rsidRPr="00513EA0" w:rsidRDefault="00CD6AE7" w:rsidP="003A16C7">
      <w:pPr>
        <w:pStyle w:val="FootnoteText"/>
        <w:rPr>
          <w:sz w:val="16"/>
          <w:szCs w:val="16"/>
        </w:rPr>
      </w:pPr>
      <w:r w:rsidRPr="00513EA0">
        <w:rPr>
          <w:rStyle w:val="FootnoteReference"/>
          <w:sz w:val="16"/>
          <w:szCs w:val="16"/>
        </w:rPr>
        <w:footnoteRef/>
      </w:r>
      <w:r w:rsidRPr="00513EA0">
        <w:rPr>
          <w:sz w:val="16"/>
          <w:szCs w:val="16"/>
        </w:rPr>
        <w:t xml:space="preserve"> ESB, </w:t>
      </w:r>
      <w:r w:rsidRPr="00513EA0">
        <w:rPr>
          <w:i/>
          <w:iCs/>
          <w:sz w:val="16"/>
          <w:szCs w:val="16"/>
        </w:rPr>
        <w:t>Renewable Energy Zones, Consultation paper</w:t>
      </w:r>
      <w:r w:rsidRPr="00513EA0">
        <w:rPr>
          <w:sz w:val="16"/>
          <w:szCs w:val="16"/>
        </w:rPr>
        <w:t>, January 2021, pp</w:t>
      </w:r>
      <w:r w:rsidRPr="00513EA0">
        <w:rPr>
          <w:i/>
          <w:iCs/>
          <w:sz w:val="16"/>
          <w:szCs w:val="16"/>
        </w:rPr>
        <w:t xml:space="preserve"> </w:t>
      </w:r>
      <w:r w:rsidRPr="00513EA0">
        <w:rPr>
          <w:sz w:val="16"/>
          <w:szCs w:val="16"/>
        </w:rPr>
        <w:t>16</w:t>
      </w:r>
    </w:p>
  </w:footnote>
  <w:footnote w:id="6">
    <w:p w14:paraId="33072A63" w14:textId="77777777" w:rsidR="00CD6AE7" w:rsidRPr="00513EA0" w:rsidRDefault="00CD6AE7" w:rsidP="00863A17">
      <w:pPr>
        <w:pStyle w:val="FootnoteText"/>
        <w:rPr>
          <w:sz w:val="16"/>
          <w:szCs w:val="16"/>
        </w:rPr>
      </w:pPr>
      <w:r w:rsidRPr="00513EA0">
        <w:rPr>
          <w:rStyle w:val="FootnoteReference"/>
          <w:sz w:val="16"/>
          <w:szCs w:val="16"/>
        </w:rPr>
        <w:footnoteRef/>
      </w:r>
      <w:r w:rsidRPr="00513EA0">
        <w:rPr>
          <w:sz w:val="16"/>
          <w:szCs w:val="16"/>
        </w:rPr>
        <w:t xml:space="preserve"> ESB, </w:t>
      </w:r>
      <w:r w:rsidRPr="00513EA0">
        <w:rPr>
          <w:i/>
          <w:iCs/>
          <w:sz w:val="16"/>
          <w:szCs w:val="16"/>
        </w:rPr>
        <w:t>Renewable Energy Zones, Consultation paper</w:t>
      </w:r>
      <w:r w:rsidRPr="00513EA0">
        <w:rPr>
          <w:sz w:val="16"/>
          <w:szCs w:val="16"/>
        </w:rPr>
        <w:t>, January 2021, pp</w:t>
      </w:r>
      <w:r w:rsidRPr="00513EA0">
        <w:rPr>
          <w:i/>
          <w:iCs/>
          <w:sz w:val="16"/>
          <w:szCs w:val="16"/>
        </w:rPr>
        <w:t xml:space="preserve"> </w:t>
      </w:r>
      <w:r w:rsidRPr="00513EA0">
        <w:rPr>
          <w:sz w:val="16"/>
          <w:szCs w:val="16"/>
        </w:rPr>
        <w:t>16</w:t>
      </w:r>
    </w:p>
  </w:footnote>
  <w:footnote w:id="7">
    <w:p w14:paraId="423682F1" w14:textId="732C67D6" w:rsidR="00CD6AE7" w:rsidRPr="00513EA0" w:rsidRDefault="00CD6AE7">
      <w:pPr>
        <w:pStyle w:val="FootnoteText"/>
        <w:rPr>
          <w:sz w:val="16"/>
          <w:szCs w:val="16"/>
        </w:rPr>
      </w:pPr>
      <w:r w:rsidRPr="00513EA0">
        <w:rPr>
          <w:rStyle w:val="FootnoteReference"/>
          <w:sz w:val="16"/>
          <w:szCs w:val="16"/>
        </w:rPr>
        <w:footnoteRef/>
      </w:r>
      <w:r w:rsidRPr="00513EA0">
        <w:rPr>
          <w:sz w:val="16"/>
          <w:szCs w:val="16"/>
        </w:rPr>
        <w:t xml:space="preserve"> </w:t>
      </w:r>
      <w:r>
        <w:rPr>
          <w:sz w:val="16"/>
          <w:szCs w:val="16"/>
        </w:rPr>
        <w:t xml:space="preserve">ERM Power, </w:t>
      </w:r>
      <w:r>
        <w:rPr>
          <w:i/>
          <w:iCs/>
          <w:sz w:val="16"/>
          <w:szCs w:val="16"/>
        </w:rPr>
        <w:t>RE: Coordination of Generation and Transmission Investment Proposed Access Model – Discussion Paper</w:t>
      </w:r>
      <w:r>
        <w:rPr>
          <w:sz w:val="16"/>
          <w:szCs w:val="16"/>
        </w:rPr>
        <w:t>, 8 November 2019.</w:t>
      </w:r>
      <w:r>
        <w:rPr>
          <w:i/>
          <w:iCs/>
          <w:sz w:val="16"/>
          <w:szCs w:val="16"/>
        </w:rPr>
        <w:t xml:space="preserve"> </w:t>
      </w:r>
      <w:r>
        <w:rPr>
          <w:sz w:val="16"/>
          <w:szCs w:val="16"/>
        </w:rPr>
        <w:t xml:space="preserve">Accessed from: </w:t>
      </w:r>
      <w:hyperlink r:id="rId1" w:history="1">
        <w:r w:rsidRPr="004634DE">
          <w:rPr>
            <w:rStyle w:val="Hyperlink"/>
            <w:sz w:val="16"/>
            <w:szCs w:val="16"/>
          </w:rPr>
          <w:t>www.aemc.gov.au/sites/default/files/2019-11/ERM%20Power%20-%20Proposed%20access%20model.pdf</w:t>
        </w:r>
      </w:hyperlink>
      <w:r>
        <w:rPr>
          <w:sz w:val="16"/>
          <w:szCs w:val="16"/>
        </w:rPr>
        <w:t xml:space="preserve"> </w:t>
      </w:r>
    </w:p>
  </w:footnote>
  <w:footnote w:id="8">
    <w:p w14:paraId="0F3D45AC" w14:textId="1E8A932B" w:rsidR="00CD6AE7" w:rsidRPr="00863A17" w:rsidRDefault="00CD6AE7" w:rsidP="00513EA0">
      <w:pPr>
        <w:pStyle w:val="FootnoteText"/>
        <w:rPr>
          <w:sz w:val="16"/>
          <w:szCs w:val="16"/>
        </w:rPr>
      </w:pPr>
      <w:r w:rsidRPr="00513EA0">
        <w:rPr>
          <w:rStyle w:val="FootnoteReference"/>
          <w:sz w:val="16"/>
          <w:szCs w:val="16"/>
        </w:rPr>
        <w:footnoteRef/>
      </w:r>
      <w:r w:rsidRPr="00513EA0">
        <w:rPr>
          <w:sz w:val="16"/>
          <w:szCs w:val="16"/>
        </w:rPr>
        <w:t xml:space="preserve"> AEMO, </w:t>
      </w:r>
      <w:r w:rsidRPr="00513EA0">
        <w:rPr>
          <w:i/>
          <w:iCs/>
          <w:sz w:val="16"/>
          <w:szCs w:val="16"/>
        </w:rPr>
        <w:t xml:space="preserve">Coordination of Generation and Transmission Investment – Proposed Access Model Consultation </w:t>
      </w:r>
      <w:r w:rsidR="004822AE">
        <w:rPr>
          <w:i/>
          <w:iCs/>
          <w:sz w:val="16"/>
          <w:szCs w:val="16"/>
        </w:rPr>
        <w:t>P</w:t>
      </w:r>
      <w:r w:rsidRPr="00513EA0">
        <w:rPr>
          <w:i/>
          <w:iCs/>
          <w:sz w:val="16"/>
          <w:szCs w:val="16"/>
        </w:rPr>
        <w:t>aper 2019</w:t>
      </w:r>
      <w:r w:rsidRPr="00513EA0">
        <w:rPr>
          <w:sz w:val="16"/>
          <w:szCs w:val="16"/>
        </w:rPr>
        <w:t>, 8 November 2019. Accessed</w:t>
      </w:r>
      <w:r>
        <w:rPr>
          <w:sz w:val="16"/>
          <w:szCs w:val="16"/>
        </w:rPr>
        <w:t xml:space="preserve"> from: </w:t>
      </w:r>
      <w:hyperlink r:id="rId2" w:history="1">
        <w:r w:rsidRPr="004634DE">
          <w:rPr>
            <w:rStyle w:val="Hyperlink"/>
            <w:sz w:val="16"/>
            <w:szCs w:val="16"/>
          </w:rPr>
          <w:t>www.aemc.gov.au/sites/default/files/2019-11/AEMO%20-%20Proposed%20access%20model.pdf</w:t>
        </w:r>
      </w:hyperlink>
      <w:r>
        <w:rPr>
          <w:sz w:val="16"/>
          <w:szCs w:val="16"/>
        </w:rPr>
        <w:t xml:space="preserve"> </w:t>
      </w:r>
    </w:p>
  </w:footnote>
  <w:footnote w:id="9">
    <w:p w14:paraId="218DDCB6" w14:textId="52188B4D" w:rsidR="00CD6AE7" w:rsidRPr="00D56D91" w:rsidRDefault="00CD6AE7">
      <w:pPr>
        <w:pStyle w:val="FootnoteText"/>
        <w:rPr>
          <w:sz w:val="16"/>
          <w:szCs w:val="16"/>
        </w:rPr>
      </w:pPr>
      <w:r w:rsidRPr="00D56D91">
        <w:rPr>
          <w:rStyle w:val="FootnoteReference"/>
          <w:sz w:val="16"/>
          <w:szCs w:val="16"/>
        </w:rPr>
        <w:footnoteRef/>
      </w:r>
      <w:r w:rsidRPr="00D56D91">
        <w:rPr>
          <w:sz w:val="16"/>
          <w:szCs w:val="16"/>
        </w:rPr>
        <w:t xml:space="preserve"> ESB, </w:t>
      </w:r>
      <w:r w:rsidRPr="00D56D91">
        <w:rPr>
          <w:i/>
          <w:iCs/>
          <w:sz w:val="16"/>
          <w:szCs w:val="16"/>
        </w:rPr>
        <w:t>Renewable Energy Zones, Consultation paper</w:t>
      </w:r>
      <w:r w:rsidRPr="00D56D91">
        <w:rPr>
          <w:sz w:val="16"/>
          <w:szCs w:val="16"/>
        </w:rPr>
        <w:t xml:space="preserve">, </w:t>
      </w:r>
      <w:r w:rsidRPr="00475464">
        <w:rPr>
          <w:sz w:val="16"/>
          <w:szCs w:val="16"/>
        </w:rPr>
        <w:t>January 2021, pp</w:t>
      </w:r>
      <w:r w:rsidRPr="00475464">
        <w:rPr>
          <w:i/>
          <w:iCs/>
          <w:sz w:val="16"/>
          <w:szCs w:val="16"/>
        </w:rPr>
        <w:t xml:space="preserve"> </w:t>
      </w:r>
      <w:r w:rsidRPr="00475464">
        <w:rPr>
          <w:sz w:val="16"/>
          <w:szCs w:val="16"/>
        </w:rPr>
        <w:t>19</w:t>
      </w:r>
    </w:p>
  </w:footnote>
  <w:footnote w:id="10">
    <w:p w14:paraId="18031CB8" w14:textId="1C7E5435" w:rsidR="00CD6AE7" w:rsidRPr="00286A2C" w:rsidRDefault="00CD6AE7">
      <w:pPr>
        <w:pStyle w:val="FootnoteText"/>
        <w:rPr>
          <w:sz w:val="16"/>
          <w:szCs w:val="16"/>
        </w:rPr>
      </w:pPr>
      <w:r w:rsidRPr="00286A2C">
        <w:rPr>
          <w:rStyle w:val="FootnoteReference"/>
          <w:sz w:val="16"/>
          <w:szCs w:val="16"/>
        </w:rPr>
        <w:footnoteRef/>
      </w:r>
      <w:r w:rsidRPr="00286A2C">
        <w:rPr>
          <w:sz w:val="16"/>
          <w:szCs w:val="16"/>
        </w:rPr>
        <w:t xml:space="preserve"> </w:t>
      </w:r>
      <w:r>
        <w:rPr>
          <w:sz w:val="16"/>
          <w:szCs w:val="16"/>
        </w:rPr>
        <w:t xml:space="preserve">ERM Power, </w:t>
      </w:r>
      <w:r>
        <w:rPr>
          <w:i/>
          <w:iCs/>
          <w:sz w:val="16"/>
          <w:szCs w:val="16"/>
        </w:rPr>
        <w:t>RE: Transmission access reform: Updated technical specifications and cost benefit analysis, 7 September 2020</w:t>
      </w:r>
      <w:r>
        <w:rPr>
          <w:sz w:val="16"/>
          <w:szCs w:val="16"/>
        </w:rPr>
        <w:t xml:space="preserve">, 19 October 2020. Accessed from: </w:t>
      </w:r>
      <w:hyperlink r:id="rId3" w:history="1">
        <w:r w:rsidRPr="004634DE">
          <w:rPr>
            <w:rStyle w:val="Hyperlink"/>
            <w:sz w:val="16"/>
            <w:szCs w:val="16"/>
          </w:rPr>
          <w:t>www.aemc.gov.au/sites/default/files/documents/epr0073_-_erm_power_submission_cogati_interim_report_19oct2020.pdf</w:t>
        </w:r>
      </w:hyperlink>
      <w:r>
        <w:rPr>
          <w:sz w:val="16"/>
          <w:szCs w:val="16"/>
        </w:rPr>
        <w:t xml:space="preserve"> </w:t>
      </w:r>
    </w:p>
  </w:footnote>
  <w:footnote w:id="11">
    <w:p w14:paraId="1390BDCF" w14:textId="6E774417" w:rsidR="00CD6AE7" w:rsidRPr="00E006A9" w:rsidRDefault="00CD6AE7" w:rsidP="008A3C64">
      <w:pPr>
        <w:pStyle w:val="FootnoteText"/>
        <w:rPr>
          <w:sz w:val="16"/>
          <w:szCs w:val="16"/>
        </w:rPr>
      </w:pPr>
      <w:r w:rsidRPr="00E006A9">
        <w:rPr>
          <w:rStyle w:val="FootnoteReference"/>
          <w:sz w:val="16"/>
          <w:szCs w:val="16"/>
        </w:rPr>
        <w:footnoteRef/>
      </w:r>
      <w:r w:rsidRPr="00E006A9">
        <w:rPr>
          <w:sz w:val="16"/>
          <w:szCs w:val="16"/>
        </w:rPr>
        <w:t xml:space="preserve"> Powerlink, </w:t>
      </w:r>
      <w:r>
        <w:rPr>
          <w:i/>
          <w:iCs/>
          <w:sz w:val="16"/>
          <w:szCs w:val="16"/>
        </w:rPr>
        <w:t>Generation Capacity Guide</w:t>
      </w:r>
      <w:r>
        <w:rPr>
          <w:sz w:val="16"/>
          <w:szCs w:val="16"/>
        </w:rPr>
        <w:t>,</w:t>
      </w:r>
      <w:r>
        <w:rPr>
          <w:i/>
          <w:iCs/>
          <w:sz w:val="16"/>
          <w:szCs w:val="16"/>
        </w:rPr>
        <w:t xml:space="preserve"> </w:t>
      </w:r>
      <w:r w:rsidRPr="00E006A9">
        <w:rPr>
          <w:sz w:val="16"/>
          <w:szCs w:val="16"/>
        </w:rPr>
        <w:t xml:space="preserve">August 2020. Accessed from: </w:t>
      </w:r>
      <w:hyperlink r:id="rId4" w:history="1">
        <w:r w:rsidRPr="004634DE">
          <w:rPr>
            <w:rStyle w:val="Hyperlink"/>
            <w:sz w:val="16"/>
            <w:szCs w:val="16"/>
          </w:rPr>
          <w:t>www.powerlink.com.au/sites/default/files/2020-10/Generation%20Capacity%20Guide%20-%20August%202020.pdf</w:t>
        </w:r>
      </w:hyperlink>
      <w:r w:rsidRPr="00E006A9">
        <w:rPr>
          <w:sz w:val="16"/>
          <w:szCs w:val="16"/>
        </w:rPr>
        <w:t xml:space="preserve">  </w:t>
      </w:r>
    </w:p>
  </w:footnote>
  <w:footnote w:id="12">
    <w:p w14:paraId="0B0F4A57" w14:textId="77777777" w:rsidR="00CD6AE7" w:rsidRPr="00BF7C42" w:rsidRDefault="00CD6AE7" w:rsidP="00C3520C">
      <w:pPr>
        <w:pStyle w:val="FootnoteText"/>
        <w:rPr>
          <w:sz w:val="16"/>
          <w:szCs w:val="16"/>
        </w:rPr>
      </w:pPr>
      <w:r w:rsidRPr="00BF7C42">
        <w:rPr>
          <w:rStyle w:val="FootnoteReference"/>
          <w:sz w:val="16"/>
          <w:szCs w:val="16"/>
        </w:rPr>
        <w:footnoteRef/>
      </w:r>
      <w:r w:rsidRPr="00BF7C42">
        <w:rPr>
          <w:sz w:val="16"/>
          <w:szCs w:val="16"/>
        </w:rPr>
        <w:t xml:space="preserve"> </w:t>
      </w:r>
      <w:r w:rsidRPr="00D56D91">
        <w:rPr>
          <w:sz w:val="16"/>
          <w:szCs w:val="16"/>
        </w:rPr>
        <w:t xml:space="preserve">ESB, </w:t>
      </w:r>
      <w:r w:rsidRPr="00D56D91">
        <w:rPr>
          <w:i/>
          <w:iCs/>
          <w:sz w:val="16"/>
          <w:szCs w:val="16"/>
        </w:rPr>
        <w:t>Renewable Energy Zones, Consultation paper</w:t>
      </w:r>
      <w:r w:rsidRPr="00D56D91">
        <w:rPr>
          <w:sz w:val="16"/>
          <w:szCs w:val="16"/>
        </w:rPr>
        <w:t xml:space="preserve">, </w:t>
      </w:r>
      <w:r w:rsidRPr="00475464">
        <w:rPr>
          <w:sz w:val="16"/>
          <w:szCs w:val="16"/>
        </w:rPr>
        <w:t>January 2021, pp</w:t>
      </w:r>
      <w:r w:rsidRPr="00475464">
        <w:rPr>
          <w:i/>
          <w:iCs/>
          <w:sz w:val="16"/>
          <w:szCs w:val="16"/>
        </w:rPr>
        <w:t xml:space="preserve"> </w:t>
      </w:r>
      <w:r w:rsidRPr="00475464">
        <w:rPr>
          <w:sz w:val="16"/>
          <w:szCs w:val="16"/>
        </w:rPr>
        <w:t>1</w:t>
      </w:r>
      <w:r>
        <w:rPr>
          <w:sz w:val="16"/>
          <w:szCs w:val="16"/>
        </w:rPr>
        <w:t>6</w:t>
      </w:r>
    </w:p>
  </w:footnote>
  <w:footnote w:id="13">
    <w:p w14:paraId="11E0B4FA" w14:textId="77777777" w:rsidR="00CD6AE7" w:rsidRPr="00EF1394" w:rsidRDefault="00CD6AE7" w:rsidP="00C3520C">
      <w:pPr>
        <w:pStyle w:val="FootnoteText"/>
        <w:rPr>
          <w:sz w:val="16"/>
          <w:szCs w:val="16"/>
        </w:rPr>
      </w:pPr>
      <w:r w:rsidRPr="00EF1394">
        <w:rPr>
          <w:rStyle w:val="FootnoteReference"/>
          <w:sz w:val="16"/>
          <w:szCs w:val="16"/>
        </w:rPr>
        <w:footnoteRef/>
      </w:r>
      <w:r w:rsidRPr="00EF1394">
        <w:rPr>
          <w:sz w:val="16"/>
          <w:szCs w:val="16"/>
        </w:rPr>
        <w:t xml:space="preserve"> </w:t>
      </w:r>
      <w:proofErr w:type="spellStart"/>
      <w:r>
        <w:rPr>
          <w:sz w:val="16"/>
          <w:szCs w:val="16"/>
        </w:rPr>
        <w:t>Simshauser</w:t>
      </w:r>
      <w:proofErr w:type="spellEnd"/>
      <w:r>
        <w:rPr>
          <w:sz w:val="16"/>
          <w:szCs w:val="16"/>
        </w:rPr>
        <w:t xml:space="preserve"> P &amp; Gilmore J, </w:t>
      </w:r>
      <w:r>
        <w:rPr>
          <w:i/>
          <w:iCs/>
          <w:sz w:val="16"/>
          <w:szCs w:val="16"/>
        </w:rPr>
        <w:t>Is the NEM Broken? Policy discontinuity and the 2017-2020 investment megacycle</w:t>
      </w:r>
      <w:r>
        <w:rPr>
          <w:sz w:val="16"/>
          <w:szCs w:val="16"/>
        </w:rPr>
        <w:t>, Cambridge Working Paper in Economics 2048, pp 24</w:t>
      </w:r>
    </w:p>
  </w:footnote>
  <w:footnote w:id="14">
    <w:p w14:paraId="27335AA7" w14:textId="3CC064AF" w:rsidR="00CD6AE7" w:rsidRDefault="00CD6AE7">
      <w:pPr>
        <w:pStyle w:val="FootnoteText"/>
      </w:pPr>
      <w:r w:rsidRPr="0018124B">
        <w:rPr>
          <w:rStyle w:val="FootnoteReference"/>
          <w:sz w:val="16"/>
          <w:szCs w:val="16"/>
        </w:rPr>
        <w:footnoteRef/>
      </w:r>
      <w:r w:rsidRPr="0018124B">
        <w:rPr>
          <w:sz w:val="16"/>
          <w:szCs w:val="16"/>
        </w:rPr>
        <w:t xml:space="preserve"> </w:t>
      </w:r>
      <w:r w:rsidRPr="00D56D91">
        <w:rPr>
          <w:sz w:val="16"/>
          <w:szCs w:val="16"/>
        </w:rPr>
        <w:t xml:space="preserve">ESB, </w:t>
      </w:r>
      <w:r w:rsidRPr="00D56D91">
        <w:rPr>
          <w:i/>
          <w:iCs/>
          <w:sz w:val="16"/>
          <w:szCs w:val="16"/>
        </w:rPr>
        <w:t>Renewable Energy Zones, Consultation paper</w:t>
      </w:r>
      <w:r w:rsidRPr="00D56D91">
        <w:rPr>
          <w:sz w:val="16"/>
          <w:szCs w:val="16"/>
        </w:rPr>
        <w:t>, January 2021, pp</w:t>
      </w:r>
      <w:r w:rsidRPr="00D56D91">
        <w:rPr>
          <w:i/>
          <w:iCs/>
          <w:sz w:val="16"/>
          <w:szCs w:val="16"/>
        </w:rPr>
        <w:t xml:space="preserve"> </w:t>
      </w:r>
      <w:r>
        <w:rPr>
          <w:sz w:val="16"/>
          <w:szCs w:val="16"/>
        </w:rPr>
        <w:t>29</w:t>
      </w:r>
    </w:p>
  </w:footnote>
  <w:footnote w:id="15">
    <w:p w14:paraId="75ED1B0D" w14:textId="77777777" w:rsidR="00CD6AE7" w:rsidRDefault="00CD6AE7" w:rsidP="00BB0FDE">
      <w:pPr>
        <w:pStyle w:val="FootnoteText"/>
      </w:pPr>
      <w:r w:rsidRPr="0018124B">
        <w:rPr>
          <w:rStyle w:val="FootnoteReference"/>
          <w:sz w:val="16"/>
          <w:szCs w:val="16"/>
        </w:rPr>
        <w:footnoteRef/>
      </w:r>
      <w:r w:rsidRPr="0018124B">
        <w:rPr>
          <w:sz w:val="16"/>
          <w:szCs w:val="16"/>
        </w:rPr>
        <w:t xml:space="preserve"> </w:t>
      </w:r>
      <w:r w:rsidRPr="00D56D91">
        <w:rPr>
          <w:sz w:val="16"/>
          <w:szCs w:val="16"/>
        </w:rPr>
        <w:t xml:space="preserve">ESB, </w:t>
      </w:r>
      <w:r w:rsidRPr="00D56D91">
        <w:rPr>
          <w:i/>
          <w:iCs/>
          <w:sz w:val="16"/>
          <w:szCs w:val="16"/>
        </w:rPr>
        <w:t>Renewable Energy Zones, Consultation paper</w:t>
      </w:r>
      <w:r w:rsidRPr="00D56D91">
        <w:rPr>
          <w:sz w:val="16"/>
          <w:szCs w:val="16"/>
        </w:rPr>
        <w:t>, January 2021, pp</w:t>
      </w:r>
      <w:r w:rsidRPr="00D56D91">
        <w:rPr>
          <w:i/>
          <w:iCs/>
          <w:sz w:val="16"/>
          <w:szCs w:val="16"/>
        </w:rPr>
        <w:t xml:space="preserve"> </w:t>
      </w:r>
      <w:r>
        <w:rPr>
          <w:sz w:val="16"/>
          <w:szCs w:val="16"/>
        </w:rPr>
        <w:t>25</w:t>
      </w:r>
    </w:p>
  </w:footnote>
  <w:footnote w:id="16">
    <w:p w14:paraId="5DFE1DA4" w14:textId="77777777" w:rsidR="00B646D4" w:rsidRPr="002B6B81" w:rsidRDefault="00B646D4" w:rsidP="00B646D4">
      <w:pPr>
        <w:pStyle w:val="FootnoteText"/>
        <w:rPr>
          <w:sz w:val="16"/>
          <w:szCs w:val="16"/>
        </w:rPr>
      </w:pPr>
      <w:r w:rsidRPr="002B6B81">
        <w:rPr>
          <w:rStyle w:val="FootnoteReference"/>
          <w:sz w:val="16"/>
          <w:szCs w:val="16"/>
        </w:rPr>
        <w:footnoteRef/>
      </w:r>
      <w:r w:rsidRPr="002B6B81">
        <w:rPr>
          <w:sz w:val="16"/>
          <w:szCs w:val="16"/>
        </w:rPr>
        <w:t xml:space="preserve"> ESB, </w:t>
      </w:r>
      <w:r w:rsidRPr="002B6B81">
        <w:rPr>
          <w:i/>
          <w:iCs/>
          <w:sz w:val="16"/>
          <w:szCs w:val="16"/>
        </w:rPr>
        <w:t>Renewable Energy Zones, Consultation paper</w:t>
      </w:r>
      <w:r w:rsidRPr="002B6B81">
        <w:rPr>
          <w:sz w:val="16"/>
          <w:szCs w:val="16"/>
        </w:rPr>
        <w:t>, January 2021, pp 19-20</w:t>
      </w:r>
    </w:p>
  </w:footnote>
  <w:footnote w:id="17">
    <w:p w14:paraId="0C9E104B" w14:textId="77E46BB6" w:rsidR="00CD6AE7" w:rsidRPr="00642DFC" w:rsidRDefault="00CD6AE7">
      <w:pPr>
        <w:pStyle w:val="FootnoteText"/>
        <w:rPr>
          <w:sz w:val="16"/>
          <w:szCs w:val="16"/>
        </w:rPr>
      </w:pPr>
      <w:r w:rsidRPr="00642DFC">
        <w:rPr>
          <w:rStyle w:val="FootnoteReference"/>
          <w:sz w:val="16"/>
          <w:szCs w:val="16"/>
        </w:rPr>
        <w:footnoteRef/>
      </w:r>
      <w:r w:rsidRPr="00642DFC">
        <w:rPr>
          <w:sz w:val="16"/>
          <w:szCs w:val="16"/>
        </w:rPr>
        <w:t xml:space="preserve"> ERM Power, </w:t>
      </w:r>
      <w:r w:rsidRPr="00642DFC">
        <w:rPr>
          <w:i/>
          <w:iCs/>
          <w:sz w:val="16"/>
          <w:szCs w:val="16"/>
        </w:rPr>
        <w:t>RE: Connection to dedicated connection assets</w:t>
      </w:r>
      <w:r w:rsidRPr="00642DFC">
        <w:rPr>
          <w:sz w:val="16"/>
          <w:szCs w:val="16"/>
        </w:rPr>
        <w:t>, 28 January 2021</w:t>
      </w:r>
      <w:r w:rsidR="003931C5">
        <w:rPr>
          <w:sz w:val="16"/>
          <w:szCs w:val="16"/>
        </w:rPr>
        <w:t xml:space="preserve">. Accessed from: </w:t>
      </w:r>
      <w:hyperlink r:id="rId5" w:history="1">
        <w:r w:rsidR="003931C5" w:rsidRPr="00106A1C">
          <w:rPr>
            <w:rStyle w:val="Hyperlink"/>
            <w:sz w:val="16"/>
            <w:szCs w:val="16"/>
          </w:rPr>
          <w:t>https://www.aemc.gov.au/sites/default/files/documents/rule_change_submission_-_erc0294_-_erm_power_-_20210128.pdf</w:t>
        </w:r>
      </w:hyperlink>
      <w:r w:rsidR="003931C5">
        <w:rPr>
          <w:sz w:val="16"/>
          <w:szCs w:val="16"/>
        </w:rPr>
        <w:t xml:space="preserve"> </w:t>
      </w:r>
    </w:p>
  </w:footnote>
  <w:footnote w:id="18">
    <w:p w14:paraId="1D1567F3" w14:textId="3A951894" w:rsidR="00CD6AE7" w:rsidRPr="005958DF" w:rsidRDefault="00CD6AE7">
      <w:pPr>
        <w:pStyle w:val="FootnoteText"/>
        <w:rPr>
          <w:sz w:val="16"/>
          <w:szCs w:val="16"/>
        </w:rPr>
      </w:pPr>
      <w:r w:rsidRPr="00642DFC">
        <w:rPr>
          <w:rStyle w:val="FootnoteReference"/>
          <w:sz w:val="16"/>
          <w:szCs w:val="16"/>
        </w:rPr>
        <w:footnoteRef/>
      </w:r>
      <w:r w:rsidRPr="00642DFC">
        <w:rPr>
          <w:sz w:val="16"/>
          <w:szCs w:val="16"/>
        </w:rPr>
        <w:t xml:space="preserve"> ESB, </w:t>
      </w:r>
      <w:r w:rsidRPr="005958DF">
        <w:rPr>
          <w:i/>
          <w:iCs/>
          <w:sz w:val="16"/>
          <w:szCs w:val="16"/>
        </w:rPr>
        <w:t>Renewable Energy Zones, Consultation paper</w:t>
      </w:r>
      <w:r w:rsidRPr="005958DF">
        <w:rPr>
          <w:sz w:val="16"/>
          <w:szCs w:val="16"/>
        </w:rPr>
        <w:t>, January 2021, pp</w:t>
      </w:r>
      <w:r w:rsidRPr="005958DF">
        <w:rPr>
          <w:i/>
          <w:iCs/>
          <w:sz w:val="16"/>
          <w:szCs w:val="16"/>
        </w:rPr>
        <w:t xml:space="preserve"> </w:t>
      </w:r>
      <w:r w:rsidRPr="005958DF">
        <w:rPr>
          <w:sz w:val="16"/>
          <w:szCs w:val="16"/>
        </w:rPr>
        <w:t>42</w:t>
      </w:r>
    </w:p>
  </w:footnote>
  <w:footnote w:id="19">
    <w:p w14:paraId="7A20F8B9" w14:textId="4D3A1B14" w:rsidR="00CD6AE7" w:rsidRDefault="00CD6AE7">
      <w:pPr>
        <w:pStyle w:val="FootnoteText"/>
      </w:pPr>
      <w:r w:rsidRPr="005958DF">
        <w:rPr>
          <w:rStyle w:val="FootnoteReference"/>
          <w:sz w:val="16"/>
          <w:szCs w:val="16"/>
        </w:rPr>
        <w:footnoteRef/>
      </w:r>
      <w:r w:rsidRPr="005958DF">
        <w:rPr>
          <w:sz w:val="16"/>
          <w:szCs w:val="16"/>
        </w:rPr>
        <w:t xml:space="preserve"> ESB, </w:t>
      </w:r>
      <w:r w:rsidRPr="005958DF">
        <w:rPr>
          <w:i/>
          <w:iCs/>
          <w:sz w:val="16"/>
          <w:szCs w:val="16"/>
        </w:rPr>
        <w:t>Renewable Energy Zones, Consultation paper</w:t>
      </w:r>
      <w:r w:rsidRPr="005958DF">
        <w:rPr>
          <w:sz w:val="16"/>
          <w:szCs w:val="16"/>
        </w:rPr>
        <w:t>, January 2021, pp</w:t>
      </w:r>
      <w:r w:rsidRPr="005958DF">
        <w:rPr>
          <w:i/>
          <w:iCs/>
          <w:sz w:val="16"/>
          <w:szCs w:val="16"/>
        </w:rPr>
        <w:t xml:space="preserve"> </w:t>
      </w:r>
      <w:r w:rsidRPr="005958DF">
        <w:rPr>
          <w:sz w:val="16"/>
          <w:szCs w:val="16"/>
        </w:rPr>
        <w:t>36</w:t>
      </w:r>
    </w:p>
  </w:footnote>
  <w:footnote w:id="20">
    <w:p w14:paraId="6DA981BB" w14:textId="77777777" w:rsidR="000E45EA" w:rsidRPr="000E45EA" w:rsidRDefault="000E45EA" w:rsidP="000E45EA">
      <w:pPr>
        <w:pStyle w:val="FootnoteText"/>
        <w:rPr>
          <w:sz w:val="16"/>
          <w:szCs w:val="16"/>
        </w:rPr>
      </w:pPr>
      <w:r w:rsidRPr="000E45EA">
        <w:rPr>
          <w:rStyle w:val="FootnoteReference"/>
          <w:sz w:val="16"/>
          <w:szCs w:val="16"/>
        </w:rPr>
        <w:footnoteRef/>
      </w:r>
      <w:r w:rsidRPr="000E45EA">
        <w:rPr>
          <w:sz w:val="16"/>
          <w:szCs w:val="16"/>
        </w:rPr>
        <w:t xml:space="preserve"> Noting that this should be designed carefully so as not to disadvantage proponents subsumed into a REZ that had already paid for network assets.</w:t>
      </w:r>
    </w:p>
  </w:footnote>
  <w:footnote w:id="21">
    <w:p w14:paraId="06C15089" w14:textId="4DF09B37" w:rsidR="00B646D4" w:rsidRDefault="00B646D4">
      <w:pPr>
        <w:pStyle w:val="FootnoteText"/>
      </w:pPr>
      <w:r>
        <w:rPr>
          <w:rStyle w:val="FootnoteReference"/>
        </w:rPr>
        <w:footnoteRef/>
      </w:r>
      <w:r>
        <w:t xml:space="preserve"> </w:t>
      </w:r>
      <w:r w:rsidRPr="00642DFC">
        <w:rPr>
          <w:sz w:val="16"/>
          <w:szCs w:val="16"/>
        </w:rPr>
        <w:t xml:space="preserve">ERM Power, </w:t>
      </w:r>
      <w:r w:rsidRPr="00642DFC">
        <w:rPr>
          <w:i/>
          <w:iCs/>
          <w:sz w:val="16"/>
          <w:szCs w:val="16"/>
        </w:rPr>
        <w:t>RE: Connection to dedicated connection assets</w:t>
      </w:r>
      <w:r w:rsidRPr="00642DFC">
        <w:rPr>
          <w:sz w:val="16"/>
          <w:szCs w:val="16"/>
        </w:rPr>
        <w:t>, 28 January 2021</w:t>
      </w:r>
      <w:r w:rsidR="00F207BF">
        <w:rPr>
          <w:sz w:val="16"/>
          <w:szCs w:val="16"/>
        </w:rPr>
        <w:t xml:space="preserve">. Accessed from: </w:t>
      </w:r>
      <w:hyperlink r:id="rId6" w:history="1">
        <w:r w:rsidR="00F207BF" w:rsidRPr="00106A1C">
          <w:rPr>
            <w:rStyle w:val="Hyperlink"/>
            <w:sz w:val="16"/>
            <w:szCs w:val="16"/>
          </w:rPr>
          <w:t>https://www.aemc.gov.au/sites/default/files/documents/rule_change_submission_-_erc0294_-_erm_power_-_20210128.pdf</w:t>
        </w:r>
      </w:hyperlink>
      <w:r w:rsidR="00F207BF">
        <w:rPr>
          <w:sz w:val="16"/>
          <w:szCs w:val="16"/>
        </w:rPr>
        <w:t xml:space="preserve"> </w:t>
      </w:r>
    </w:p>
  </w:footnote>
  <w:footnote w:id="22">
    <w:p w14:paraId="42D18BB1" w14:textId="444F0B44" w:rsidR="2F303F3E" w:rsidRDefault="2F303F3E" w:rsidP="00B726E6">
      <w:pPr>
        <w:pStyle w:val="FootnoteText"/>
      </w:pPr>
      <w:r w:rsidRPr="2F303F3E">
        <w:rPr>
          <w:rStyle w:val="FootnoteReference"/>
          <w:rFonts w:ascii="Arial" w:eastAsia="Arial" w:hAnsi="Arial" w:cs="Arial"/>
          <w:sz w:val="16"/>
          <w:szCs w:val="16"/>
        </w:rPr>
        <w:footnoteRef/>
      </w:r>
      <w:r w:rsidRPr="00B726E6">
        <w:rPr>
          <w:rFonts w:ascii="Arial" w:eastAsia="Arial" w:hAnsi="Arial" w:cs="Arial"/>
          <w:sz w:val="16"/>
          <w:szCs w:val="16"/>
        </w:rPr>
        <w:t xml:space="preserve"> Generators holding REZ access rights could be positioned on the uncontrolled </w:t>
      </w:r>
      <w:r w:rsidR="00595F0A">
        <w:rPr>
          <w:rFonts w:ascii="Arial" w:eastAsia="Arial" w:hAnsi="Arial" w:cs="Arial"/>
          <w:sz w:val="16"/>
          <w:szCs w:val="16"/>
        </w:rPr>
        <w:t>right</w:t>
      </w:r>
      <w:r w:rsidR="004A1215">
        <w:rPr>
          <w:rFonts w:ascii="Arial" w:eastAsia="Arial" w:hAnsi="Arial" w:cs="Arial"/>
          <w:sz w:val="16"/>
          <w:szCs w:val="16"/>
        </w:rPr>
        <w:t>-hand</w:t>
      </w:r>
      <w:r w:rsidR="00595F0A">
        <w:rPr>
          <w:rFonts w:ascii="Arial" w:eastAsia="Arial" w:hAnsi="Arial" w:cs="Arial"/>
          <w:sz w:val="16"/>
          <w:szCs w:val="16"/>
        </w:rPr>
        <w:t xml:space="preserve"> side</w:t>
      </w:r>
      <w:r w:rsidRPr="00B726E6">
        <w:rPr>
          <w:rFonts w:ascii="Arial" w:eastAsia="Arial" w:hAnsi="Arial" w:cs="Arial"/>
          <w:sz w:val="16"/>
          <w:szCs w:val="16"/>
        </w:rPr>
        <w:t xml:space="preserve"> of the constraint equation</w:t>
      </w:r>
      <w:r w:rsidR="00F41023">
        <w:rPr>
          <w:rFonts w:ascii="Arial" w:eastAsia="Arial" w:hAnsi="Arial" w:cs="Arial"/>
          <w:sz w:val="16"/>
          <w:szCs w:val="16"/>
        </w:rPr>
        <w:t>.</w:t>
      </w:r>
    </w:p>
  </w:footnote>
  <w:footnote w:id="23">
    <w:p w14:paraId="0E7DF0D4" w14:textId="1B7629BD" w:rsidR="008F23C4" w:rsidRPr="00931D41" w:rsidRDefault="008F23C4">
      <w:pPr>
        <w:pStyle w:val="FootnoteText"/>
        <w:rPr>
          <w:sz w:val="16"/>
          <w:szCs w:val="16"/>
        </w:rPr>
      </w:pPr>
      <w:r w:rsidRPr="00931D41">
        <w:rPr>
          <w:rStyle w:val="FootnoteReference"/>
          <w:sz w:val="16"/>
          <w:szCs w:val="16"/>
        </w:rPr>
        <w:footnoteRef/>
      </w:r>
      <w:r w:rsidRPr="00931D41">
        <w:rPr>
          <w:sz w:val="16"/>
          <w:szCs w:val="16"/>
        </w:rPr>
        <w:t xml:space="preserve"> </w:t>
      </w:r>
      <w:r w:rsidR="00931D41">
        <w:rPr>
          <w:sz w:val="16"/>
          <w:szCs w:val="16"/>
        </w:rPr>
        <w:t xml:space="preserve">TransGrid, </w:t>
      </w:r>
      <w:r w:rsidR="00931D41">
        <w:rPr>
          <w:i/>
          <w:iCs/>
          <w:sz w:val="16"/>
          <w:szCs w:val="16"/>
        </w:rPr>
        <w:t>Renewable Energy Hub Knowledge Sharing Report, Version 23.0</w:t>
      </w:r>
      <w:r w:rsidR="00931D41" w:rsidRPr="00931D41">
        <w:rPr>
          <w:sz w:val="16"/>
          <w:szCs w:val="16"/>
        </w:rPr>
        <w:t>, 2 June 2016, pp19.</w:t>
      </w:r>
      <w:r w:rsidR="00931D41">
        <w:rPr>
          <w:i/>
          <w:iCs/>
          <w:sz w:val="16"/>
          <w:szCs w:val="16"/>
        </w:rPr>
        <w:t xml:space="preserve"> </w:t>
      </w:r>
      <w:r w:rsidR="00931D41">
        <w:rPr>
          <w:sz w:val="16"/>
          <w:szCs w:val="16"/>
        </w:rPr>
        <w:t>Accessed from:</w:t>
      </w:r>
      <w:r w:rsidR="00931D41">
        <w:rPr>
          <w:i/>
          <w:iCs/>
          <w:sz w:val="16"/>
          <w:szCs w:val="16"/>
        </w:rPr>
        <w:t xml:space="preserve"> </w:t>
      </w:r>
      <w:hyperlink r:id="rId7" w:history="1">
        <w:r w:rsidR="00931D41" w:rsidRPr="00A57B28">
          <w:rPr>
            <w:rStyle w:val="Hyperlink"/>
            <w:sz w:val="16"/>
            <w:szCs w:val="16"/>
          </w:rPr>
          <w:t>www.transgrid.com.au/ news-views/lets-connect/consultations/current-consultations/Documents/Renewable%20Hub_Knowledge%20Report_TransGrid.pdf</w:t>
        </w:r>
      </w:hyperlink>
      <w:r w:rsidR="00931D41">
        <w:rPr>
          <w:sz w:val="16"/>
          <w:szCs w:val="16"/>
        </w:rPr>
        <w:t xml:space="preserve"> </w:t>
      </w:r>
    </w:p>
  </w:footnote>
  <w:footnote w:id="24">
    <w:p w14:paraId="45B2E255" w14:textId="5FFD7B69" w:rsidR="00CD6AE7" w:rsidRPr="00221BAA" w:rsidRDefault="00CD6AE7">
      <w:pPr>
        <w:pStyle w:val="FootnoteText"/>
        <w:rPr>
          <w:sz w:val="16"/>
          <w:szCs w:val="16"/>
        </w:rPr>
      </w:pPr>
      <w:r w:rsidRPr="00221BAA">
        <w:rPr>
          <w:rStyle w:val="FootnoteReference"/>
          <w:sz w:val="16"/>
          <w:szCs w:val="16"/>
        </w:rPr>
        <w:footnoteRef/>
      </w:r>
      <w:r w:rsidRPr="00221BAA">
        <w:rPr>
          <w:sz w:val="16"/>
          <w:szCs w:val="16"/>
        </w:rPr>
        <w:t xml:space="preserve"> </w:t>
      </w:r>
      <w:r w:rsidRPr="002B6B81">
        <w:rPr>
          <w:sz w:val="16"/>
          <w:szCs w:val="16"/>
        </w:rPr>
        <w:t xml:space="preserve">ESB, </w:t>
      </w:r>
      <w:r w:rsidRPr="002B6B81">
        <w:rPr>
          <w:i/>
          <w:iCs/>
          <w:sz w:val="16"/>
          <w:szCs w:val="16"/>
        </w:rPr>
        <w:t>Renewable Energy Zones, Consultation paper</w:t>
      </w:r>
      <w:r w:rsidRPr="002B6B81">
        <w:rPr>
          <w:sz w:val="16"/>
          <w:szCs w:val="16"/>
        </w:rPr>
        <w:t xml:space="preserve">, January 2021, pp </w:t>
      </w:r>
      <w:r>
        <w:rPr>
          <w:sz w:val="16"/>
          <w:szCs w:val="16"/>
        </w:rPr>
        <w:t>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02251" w14:textId="77777777" w:rsidR="00CD6AE7" w:rsidRDefault="00CD6AE7" w:rsidP="00DA6AC1">
    <w:pPr>
      <w:pStyle w:val="Header"/>
    </w:pPr>
    <w:r>
      <w:rPr>
        <w:noProof/>
        <w:lang w:eastAsia="en-AU"/>
      </w:rPr>
      <w:drawing>
        <wp:anchor distT="0" distB="0" distL="114300" distR="114300" simplePos="0" relativeHeight="251658240" behindDoc="1" locked="1" layoutInCell="1" allowOverlap="1" wp14:anchorId="1F9E1C12" wp14:editId="0FA7A161">
          <wp:simplePos x="0" y="0"/>
          <wp:positionH relativeFrom="page">
            <wp:posOffset>381635</wp:posOffset>
          </wp:positionH>
          <wp:positionV relativeFrom="page">
            <wp:posOffset>165735</wp:posOffset>
          </wp:positionV>
          <wp:extent cx="1717200" cy="1717200"/>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M_Logo_MAIN_NoStrap_RGB_WEB.png"/>
                  <pic:cNvPicPr/>
                </pic:nvPicPr>
                <pic:blipFill>
                  <a:blip r:embed="rId1">
                    <a:extLst>
                      <a:ext uri="{28A0092B-C50C-407E-A947-70E740481C1C}">
                        <a14:useLocalDpi xmlns:a14="http://schemas.microsoft.com/office/drawing/2010/main" val="0"/>
                      </a:ext>
                    </a:extLst>
                  </a:blip>
                  <a:stretch>
                    <a:fillRect/>
                  </a:stretch>
                </pic:blipFill>
                <pic:spPr>
                  <a:xfrm>
                    <a:off x="0" y="0"/>
                    <a:ext cx="1717200" cy="171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Address"/>
      <w:tag w:val="[Double click into the header and choose an address]"/>
      <w:id w:val="1823937642"/>
      <w:docPartList>
        <w:docPartGallery w:val="Custom 1"/>
        <w:docPartCategory w:val="Address Block"/>
      </w:docPartList>
    </w:sdtPr>
    <w:sdtEndPr/>
    <w:sdtContent>
      <w:p w14:paraId="78D9578F" w14:textId="77777777" w:rsidR="00CD6AE7" w:rsidRDefault="00CD6AE7" w:rsidP="0018620F">
        <w:pPr>
          <w:pStyle w:val="Header"/>
          <w:rPr>
            <w:color w:val="auto"/>
            <w:sz w:val="20"/>
          </w:rPr>
        </w:pPr>
        <w:r>
          <w:rPr>
            <w:noProof/>
            <w:lang w:eastAsia="en-AU"/>
          </w:rPr>
          <w:drawing>
            <wp:anchor distT="0" distB="0" distL="114300" distR="114300" simplePos="0" relativeHeight="251658241" behindDoc="1" locked="1" layoutInCell="1" allowOverlap="1" wp14:anchorId="2CE6BA9D" wp14:editId="2A91F19A">
              <wp:simplePos x="0" y="0"/>
              <wp:positionH relativeFrom="page">
                <wp:align>left</wp:align>
              </wp:positionH>
              <wp:positionV relativeFrom="page">
                <wp:posOffset>338455</wp:posOffset>
              </wp:positionV>
              <wp:extent cx="7556400" cy="1458000"/>
              <wp:effectExtent l="0" t="0" r="6985" b="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s.png"/>
                      <pic:cNvPicPr/>
                    </pic:nvPicPr>
                    <pic:blipFill rotWithShape="1">
                      <a:blip r:embed="rId1">
                        <a:extLst>
                          <a:ext uri="{28A0092B-C50C-407E-A947-70E740481C1C}">
                            <a14:useLocalDpi xmlns:a14="http://schemas.microsoft.com/office/drawing/2010/main" val="0"/>
                          </a:ext>
                        </a:extLst>
                      </a:blip>
                      <a:srcRect t="19009"/>
                      <a:stretch/>
                    </pic:blipFill>
                    <pic:spPr bwMode="auto">
                      <a:xfrm>
                        <a:off x="0" y="0"/>
                        <a:ext cx="7556400" cy="145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010747" w14:textId="77777777" w:rsidR="00CD6AE7" w:rsidRDefault="00CD6AE7">
        <w:pPr>
          <w:pStyle w:val="Header"/>
        </w:pPr>
      </w:p>
      <w:p w14:paraId="53811239" w14:textId="77777777" w:rsidR="00CD6AE7" w:rsidRDefault="00B74158" w:rsidP="001E4814">
        <w:pPr>
          <w:pStyle w:val="Header"/>
          <w:rPr>
            <w:color w:val="auto"/>
            <w:sz w:val="20"/>
          </w:rPr>
        </w:pPr>
      </w:p>
    </w:sdtContent>
  </w:sdt>
  <w:p w14:paraId="19A4EFF9" w14:textId="77777777" w:rsidR="00CD6AE7" w:rsidRDefault="00CD6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F0380"/>
    <w:multiLevelType w:val="multilevel"/>
    <w:tmpl w:val="A906D87A"/>
    <w:numStyleLink w:val="ListTableBullet"/>
  </w:abstractNum>
  <w:abstractNum w:abstractNumId="1" w15:restartNumberingAfterBreak="0">
    <w:nsid w:val="02366E77"/>
    <w:multiLevelType w:val="hybridMultilevel"/>
    <w:tmpl w:val="875A136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DD726A9"/>
    <w:multiLevelType w:val="multilevel"/>
    <w:tmpl w:val="632E4D1C"/>
    <w:styleLink w:val="ListAppendix"/>
    <w:lvl w:ilvl="0">
      <w:start w:val="1"/>
      <w:numFmt w:val="upperLetter"/>
      <w:pStyle w:val="AppendixH1"/>
      <w:lvlText w:val="Appendix %1"/>
      <w:lvlJc w:val="left"/>
      <w:pPr>
        <w:tabs>
          <w:tab w:val="num" w:pos="2268"/>
        </w:tabs>
        <w:ind w:left="2268" w:hanging="2268"/>
      </w:pPr>
      <w:rPr>
        <w:rFonts w:hint="default"/>
      </w:rPr>
    </w:lvl>
    <w:lvl w:ilvl="1">
      <w:start w:val="1"/>
      <w:numFmt w:val="decimal"/>
      <w:pStyle w:val="AppendixH2"/>
      <w:lvlText w:val="%1-%2"/>
      <w:lvlJc w:val="left"/>
      <w:pPr>
        <w:tabs>
          <w:tab w:val="num" w:pos="1134"/>
        </w:tabs>
        <w:ind w:left="1134" w:hanging="1134"/>
      </w:pPr>
      <w:rPr>
        <w:rFonts w:hint="default"/>
      </w:rPr>
    </w:lvl>
    <w:lvl w:ilvl="2">
      <w:start w:val="1"/>
      <w:numFmt w:val="decimal"/>
      <w:pStyle w:val="AppendixH3"/>
      <w:lvlText w:val="%1-%2-%3"/>
      <w:lvlJc w:val="left"/>
      <w:pPr>
        <w:tabs>
          <w:tab w:val="num" w:pos="1134"/>
        </w:tabs>
        <w:ind w:left="1134" w:hanging="1134"/>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color w:val="192E58" w:themeColor="accent1"/>
      </w:rPr>
    </w:lvl>
    <w:lvl w:ilvl="1">
      <w:start w:val="1"/>
      <w:numFmt w:val="lowerRoman"/>
      <w:pStyle w:val="ListAlpha2"/>
      <w:lvlText w:val="%2."/>
      <w:lvlJc w:val="left"/>
      <w:pPr>
        <w:tabs>
          <w:tab w:val="num" w:pos="850"/>
        </w:tabs>
        <w:ind w:left="850" w:hanging="425"/>
      </w:pPr>
      <w:rPr>
        <w:rFonts w:hint="default"/>
        <w:color w:val="192E58" w:themeColor="accent1"/>
      </w:rPr>
    </w:lvl>
    <w:lvl w:ilvl="2">
      <w:start w:val="1"/>
      <w:numFmt w:val="decimal"/>
      <w:pStyle w:val="ListAlpha3"/>
      <w:lvlText w:val="%3."/>
      <w:lvlJc w:val="left"/>
      <w:pPr>
        <w:tabs>
          <w:tab w:val="num" w:pos="1275"/>
        </w:tabs>
        <w:ind w:left="1275" w:hanging="425"/>
      </w:pPr>
      <w:rPr>
        <w:rFonts w:hint="default"/>
        <w:color w:val="192E58" w:themeColor="accent1"/>
      </w:rPr>
    </w:lvl>
    <w:lvl w:ilvl="3">
      <w:start w:val="1"/>
      <w:numFmt w:val="upperLetter"/>
      <w:pStyle w:val="ListAlpha4"/>
      <w:lvlText w:val="%4."/>
      <w:lvlJc w:val="left"/>
      <w:pPr>
        <w:tabs>
          <w:tab w:val="num" w:pos="1700"/>
        </w:tabs>
        <w:ind w:left="1700" w:hanging="425"/>
      </w:pPr>
      <w:rPr>
        <w:rFonts w:hint="default"/>
        <w:color w:val="192E58" w:themeColor="accent1"/>
      </w:rPr>
    </w:lvl>
    <w:lvl w:ilvl="4">
      <w:start w:val="1"/>
      <w:numFmt w:val="upperRoman"/>
      <w:pStyle w:val="ListAlpha5"/>
      <w:lvlText w:val="%5."/>
      <w:lvlJc w:val="left"/>
      <w:pPr>
        <w:tabs>
          <w:tab w:val="num" w:pos="2125"/>
        </w:tabs>
        <w:ind w:left="2125" w:hanging="425"/>
      </w:pPr>
      <w:rPr>
        <w:rFonts w:hint="default"/>
        <w:color w:val="192E58" w:themeColor="accent1"/>
      </w:rPr>
    </w:lvl>
    <w:lvl w:ilvl="5">
      <w:start w:val="1"/>
      <w:numFmt w:val="lowerLetter"/>
      <w:pStyle w:val="ListAlpha6"/>
      <w:lvlText w:val="%6."/>
      <w:lvlJc w:val="left"/>
      <w:pPr>
        <w:tabs>
          <w:tab w:val="num" w:pos="2550"/>
        </w:tabs>
        <w:ind w:left="2550" w:hanging="425"/>
      </w:pPr>
      <w:rPr>
        <w:rFonts w:hint="default"/>
        <w:color w:val="192E58" w:themeColor="accent1"/>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 w15:restartNumberingAfterBreak="0">
    <w:nsid w:val="17C06111"/>
    <w:multiLevelType w:val="hybridMultilevel"/>
    <w:tmpl w:val="18EC636A"/>
    <w:lvl w:ilvl="0" w:tplc="CF08FEB0">
      <w:numFmt w:val="bullet"/>
      <w:lvlText w:val="-"/>
      <w:lvlJc w:val="left"/>
      <w:pPr>
        <w:ind w:left="4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color w:val="192E58" w:themeColor="accent1"/>
      </w:rPr>
    </w:lvl>
    <w:lvl w:ilvl="1">
      <w:start w:val="1"/>
      <w:numFmt w:val="lowerLetter"/>
      <w:pStyle w:val="ListNumber2"/>
      <w:lvlText w:val="%2."/>
      <w:lvlJc w:val="left"/>
      <w:pPr>
        <w:tabs>
          <w:tab w:val="num" w:pos="850"/>
        </w:tabs>
        <w:ind w:left="850" w:hanging="425"/>
      </w:pPr>
      <w:rPr>
        <w:rFonts w:hint="default"/>
        <w:color w:val="192E58" w:themeColor="accent1"/>
      </w:rPr>
    </w:lvl>
    <w:lvl w:ilvl="2">
      <w:start w:val="1"/>
      <w:numFmt w:val="lowerRoman"/>
      <w:pStyle w:val="ListNumber3"/>
      <w:lvlText w:val="%3."/>
      <w:lvlJc w:val="left"/>
      <w:pPr>
        <w:tabs>
          <w:tab w:val="num" w:pos="1275"/>
        </w:tabs>
        <w:ind w:left="1275" w:hanging="425"/>
      </w:pPr>
      <w:rPr>
        <w:rFonts w:hint="default"/>
        <w:color w:val="192E58" w:themeColor="accent1"/>
      </w:rPr>
    </w:lvl>
    <w:lvl w:ilvl="3">
      <w:start w:val="1"/>
      <w:numFmt w:val="upperLetter"/>
      <w:pStyle w:val="ListNumber4"/>
      <w:lvlText w:val="%4."/>
      <w:lvlJc w:val="left"/>
      <w:pPr>
        <w:tabs>
          <w:tab w:val="num" w:pos="1700"/>
        </w:tabs>
        <w:ind w:left="1700" w:hanging="425"/>
      </w:pPr>
      <w:rPr>
        <w:rFonts w:hint="default"/>
        <w:color w:val="192E58" w:themeColor="accent1"/>
      </w:rPr>
    </w:lvl>
    <w:lvl w:ilvl="4">
      <w:start w:val="1"/>
      <w:numFmt w:val="upperRoman"/>
      <w:pStyle w:val="ListNumber5"/>
      <w:lvlText w:val="%5."/>
      <w:lvlJc w:val="left"/>
      <w:pPr>
        <w:tabs>
          <w:tab w:val="num" w:pos="2125"/>
        </w:tabs>
        <w:ind w:left="2125" w:hanging="425"/>
      </w:pPr>
      <w:rPr>
        <w:rFonts w:hint="default"/>
        <w:color w:val="192E58" w:themeColor="accent1"/>
      </w:rPr>
    </w:lvl>
    <w:lvl w:ilvl="5">
      <w:start w:val="1"/>
      <w:numFmt w:val="decimal"/>
      <w:pStyle w:val="ListNumber6"/>
      <w:lvlText w:val="%6."/>
      <w:lvlJc w:val="left"/>
      <w:pPr>
        <w:tabs>
          <w:tab w:val="num" w:pos="2550"/>
        </w:tabs>
        <w:ind w:left="2550" w:hanging="425"/>
      </w:pPr>
      <w:rPr>
        <w:rFonts w:hint="default"/>
        <w:color w:val="192E58" w:themeColor="accent1"/>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A8C10E4"/>
    <w:multiLevelType w:val="hybridMultilevel"/>
    <w:tmpl w:val="4404BD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pStyle w:val="NbrHeading5"/>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color w:val="192E58" w:themeColor="accent1"/>
      </w:rPr>
    </w:lvl>
    <w:lvl w:ilvl="1">
      <w:start w:val="1"/>
      <w:numFmt w:val="bullet"/>
      <w:pStyle w:val="TableBullet2"/>
      <w:lvlText w:val="–"/>
      <w:lvlJc w:val="left"/>
      <w:pPr>
        <w:tabs>
          <w:tab w:val="num" w:pos="680"/>
        </w:tabs>
        <w:ind w:left="680" w:hanging="283"/>
      </w:pPr>
      <w:rPr>
        <w:rFonts w:ascii="Arial Rounded MT" w:hAnsi="Arial Rounded MT" w:hint="default"/>
        <w:color w:val="192E58" w:themeColor="accent1"/>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28266430"/>
    <w:multiLevelType w:val="hybridMultilevel"/>
    <w:tmpl w:val="832E22AC"/>
    <w:lvl w:ilvl="0" w:tplc="82E03570">
      <w:start w:val="4"/>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color w:val="192E58" w:themeColor="accent1"/>
      </w:rPr>
    </w:lvl>
    <w:lvl w:ilvl="1">
      <w:start w:val="1"/>
      <w:numFmt w:val="lowerLetter"/>
      <w:pStyle w:val="TableNumber2"/>
      <w:lvlText w:val="%2."/>
      <w:lvlJc w:val="left"/>
      <w:pPr>
        <w:tabs>
          <w:tab w:val="num" w:pos="680"/>
        </w:tabs>
        <w:ind w:left="680" w:hanging="283"/>
      </w:pPr>
      <w:rPr>
        <w:rFonts w:hint="default"/>
        <w:color w:val="192E58" w:themeColor="accent1"/>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B075B36"/>
    <w:multiLevelType w:val="hybridMultilevel"/>
    <w:tmpl w:val="DACC5794"/>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CCF3677"/>
    <w:multiLevelType w:val="hybridMultilevel"/>
    <w:tmpl w:val="7B001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5A3B0C"/>
    <w:multiLevelType w:val="hybridMultilevel"/>
    <w:tmpl w:val="FA9249FE"/>
    <w:lvl w:ilvl="0" w:tplc="CF08FEB0">
      <w:numFmt w:val="bullet"/>
      <w:lvlText w:val="-"/>
      <w:lvlJc w:val="left"/>
      <w:pPr>
        <w:ind w:left="4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F26A71"/>
    <w:multiLevelType w:val="multilevel"/>
    <w:tmpl w:val="E9B44B6A"/>
    <w:styleLink w:val="ListParagraph0"/>
    <w:lvl w:ilvl="0">
      <w:start w:val="1"/>
      <w:numFmt w:val="none"/>
      <w:pStyle w:val="ListParagraph"/>
      <w:lvlText w:val=""/>
      <w:lvlJc w:val="left"/>
      <w:pPr>
        <w:ind w:left="425" w:firstLine="0"/>
      </w:pPr>
      <w:rPr>
        <w:rFonts w:hint="default"/>
      </w:rPr>
    </w:lvl>
    <w:lvl w:ilvl="1">
      <w:start w:val="1"/>
      <w:numFmt w:val="none"/>
      <w:pStyle w:val="ListParagraph2"/>
      <w:lvlText w:val=""/>
      <w:lvlJc w:val="left"/>
      <w:pPr>
        <w:ind w:left="851" w:hanging="1"/>
      </w:pPr>
      <w:rPr>
        <w:rFonts w:hint="default"/>
      </w:rPr>
    </w:lvl>
    <w:lvl w:ilvl="2">
      <w:start w:val="1"/>
      <w:numFmt w:val="none"/>
      <w:pStyle w:val="ListParagraph3"/>
      <w:lvlText w:val=""/>
      <w:lvlJc w:val="left"/>
      <w:pPr>
        <w:ind w:left="1276" w:hanging="1"/>
      </w:pPr>
      <w:rPr>
        <w:rFonts w:hint="default"/>
      </w:rPr>
    </w:lvl>
    <w:lvl w:ilvl="3">
      <w:start w:val="1"/>
      <w:numFmt w:val="none"/>
      <w:pStyle w:val="ListParagraph4"/>
      <w:lvlText w:val=""/>
      <w:lvlJc w:val="left"/>
      <w:pPr>
        <w:ind w:left="1701" w:hanging="1"/>
      </w:pPr>
      <w:rPr>
        <w:rFonts w:hint="default"/>
      </w:rPr>
    </w:lvl>
    <w:lvl w:ilvl="4">
      <w:start w:val="1"/>
      <w:numFmt w:val="none"/>
      <w:pStyle w:val="ListParagraph5"/>
      <w:lvlText w:val=""/>
      <w:lvlJc w:val="left"/>
      <w:pPr>
        <w:ind w:left="2126" w:hanging="1"/>
      </w:pPr>
      <w:rPr>
        <w:rFonts w:hint="default"/>
      </w:rPr>
    </w:lvl>
    <w:lvl w:ilvl="5">
      <w:start w:val="1"/>
      <w:numFmt w:val="none"/>
      <w:pStyle w:val="ListParagraph6"/>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C251563"/>
    <w:multiLevelType w:val="hybridMultilevel"/>
    <w:tmpl w:val="3F482A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A7212B"/>
    <w:multiLevelType w:val="hybridMultilevel"/>
    <w:tmpl w:val="44C47FC8"/>
    <w:lvl w:ilvl="0" w:tplc="CF08FEB0">
      <w:numFmt w:val="bullet"/>
      <w:lvlText w:val="-"/>
      <w:lvlJc w:val="left"/>
      <w:pPr>
        <w:ind w:left="420" w:hanging="360"/>
      </w:pPr>
      <w:rPr>
        <w:rFonts w:ascii="Arial" w:eastAsiaTheme="minorHAnsi" w:hAnsi="Arial" w:cs="Arial" w:hint="default"/>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7"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F15A22" w:themeColor="accent2"/>
      </w:rPr>
    </w:lvl>
    <w:lvl w:ilvl="1">
      <w:start w:val="1"/>
      <w:numFmt w:val="decimal"/>
      <w:lvlText w:val="%1.%2"/>
      <w:lvlJc w:val="left"/>
      <w:pPr>
        <w:tabs>
          <w:tab w:val="num" w:pos="1134"/>
        </w:tabs>
        <w:ind w:left="1134" w:hanging="1134"/>
      </w:pPr>
      <w:rPr>
        <w:rFonts w:ascii="Gotham Light" w:hAnsi="Gotham Light" w:hint="default"/>
        <w:color w:val="00B3DD" w:themeColor="accent3"/>
      </w:rPr>
    </w:lvl>
    <w:lvl w:ilvl="2">
      <w:start w:val="1"/>
      <w:numFmt w:val="decimal"/>
      <w:lvlText w:val="%1.%2.%3"/>
      <w:lvlJc w:val="left"/>
      <w:pPr>
        <w:tabs>
          <w:tab w:val="num" w:pos="1134"/>
        </w:tabs>
        <w:ind w:left="1134" w:hanging="1134"/>
      </w:pPr>
      <w:rPr>
        <w:rFonts w:asciiTheme="majorHAnsi" w:hAnsiTheme="majorHAnsi" w:hint="default"/>
        <w:color w:val="192E58"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F15A22"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8" w15:restartNumberingAfterBreak="0">
    <w:nsid w:val="40134CF7"/>
    <w:multiLevelType w:val="multilevel"/>
    <w:tmpl w:val="D442603C"/>
    <w:numStyleLink w:val="ListTableNumber"/>
  </w:abstractNum>
  <w:abstractNum w:abstractNumId="19" w15:restartNumberingAfterBreak="0">
    <w:nsid w:val="42A621E9"/>
    <w:multiLevelType w:val="hybridMultilevel"/>
    <w:tmpl w:val="50704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6C1C93"/>
    <w:multiLevelType w:val="multilevel"/>
    <w:tmpl w:val="2F6CA4A0"/>
    <w:numStyleLink w:val="ListBullet"/>
  </w:abstractNum>
  <w:abstractNum w:abstractNumId="21" w15:restartNumberingAfterBreak="0">
    <w:nsid w:val="45150762"/>
    <w:multiLevelType w:val="hybridMultilevel"/>
    <w:tmpl w:val="C9926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9B5275"/>
    <w:multiLevelType w:val="hybridMultilevel"/>
    <w:tmpl w:val="20D62D3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3" w15:restartNumberingAfterBreak="0">
    <w:nsid w:val="47F547EA"/>
    <w:multiLevelType w:val="hybridMultilevel"/>
    <w:tmpl w:val="329874F4"/>
    <w:lvl w:ilvl="0" w:tplc="57AA9666">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8EF3EC4"/>
    <w:multiLevelType w:val="hybridMultilevel"/>
    <w:tmpl w:val="5694C8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AA0A7D"/>
    <w:multiLevelType w:val="multilevel"/>
    <w:tmpl w:val="E9B44B6A"/>
    <w:numStyleLink w:val="ListParagraph0"/>
  </w:abstractNum>
  <w:abstractNum w:abstractNumId="26" w15:restartNumberingAfterBreak="0">
    <w:nsid w:val="53F1117D"/>
    <w:multiLevelType w:val="hybridMultilevel"/>
    <w:tmpl w:val="5656A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54337E0"/>
    <w:multiLevelType w:val="hybridMultilevel"/>
    <w:tmpl w:val="A916379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5B3D0345"/>
    <w:multiLevelType w:val="hybridMultilevel"/>
    <w:tmpl w:val="09349484"/>
    <w:lvl w:ilvl="0" w:tplc="559A4B30">
      <w:start w:val="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204820"/>
    <w:multiLevelType w:val="hybridMultilevel"/>
    <w:tmpl w:val="239C9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0E0448A"/>
    <w:multiLevelType w:val="multilevel"/>
    <w:tmpl w:val="88B4D9D6"/>
    <w:numStyleLink w:val="ListAlpha"/>
  </w:abstractNum>
  <w:abstractNum w:abstractNumId="31" w15:restartNumberingAfterBreak="0">
    <w:nsid w:val="61F711F1"/>
    <w:multiLevelType w:val="hybridMultilevel"/>
    <w:tmpl w:val="FCA03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D36E14"/>
    <w:multiLevelType w:val="multilevel"/>
    <w:tmpl w:val="0B76EB08"/>
    <w:numStyleLink w:val="ListNumber"/>
  </w:abstractNum>
  <w:abstractNum w:abstractNumId="33" w15:restartNumberingAfterBreak="0">
    <w:nsid w:val="6D855766"/>
    <w:multiLevelType w:val="hybridMultilevel"/>
    <w:tmpl w:val="6DE210AA"/>
    <w:lvl w:ilvl="0" w:tplc="F8489130">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5B532E"/>
    <w:multiLevelType w:val="multilevel"/>
    <w:tmpl w:val="2F6CA4A0"/>
    <w:styleLink w:val="ListBullet"/>
    <w:lvl w:ilvl="0">
      <w:start w:val="1"/>
      <w:numFmt w:val="bullet"/>
      <w:pStyle w:val="ListBullet0"/>
      <w:lvlText w:val=""/>
      <w:lvlJc w:val="left"/>
      <w:pPr>
        <w:tabs>
          <w:tab w:val="num" w:pos="425"/>
        </w:tabs>
        <w:ind w:left="425" w:hanging="425"/>
      </w:pPr>
      <w:rPr>
        <w:rFonts w:ascii="Symbol" w:hAnsi="Symbol" w:hint="default"/>
        <w:color w:val="192E58" w:themeColor="accent1"/>
      </w:rPr>
    </w:lvl>
    <w:lvl w:ilvl="1">
      <w:start w:val="1"/>
      <w:numFmt w:val="bullet"/>
      <w:pStyle w:val="ListBullet2"/>
      <w:lvlText w:val="–"/>
      <w:lvlJc w:val="left"/>
      <w:pPr>
        <w:tabs>
          <w:tab w:val="num" w:pos="850"/>
        </w:tabs>
        <w:ind w:left="850" w:hanging="425"/>
      </w:pPr>
      <w:rPr>
        <w:rFonts w:ascii="Arial Rounded MT" w:hAnsi="Arial Rounded MT" w:hint="default"/>
        <w:color w:val="192E58" w:themeColor="accent1"/>
      </w:rPr>
    </w:lvl>
    <w:lvl w:ilvl="2">
      <w:start w:val="1"/>
      <w:numFmt w:val="bullet"/>
      <w:pStyle w:val="ListBullet3"/>
      <w:lvlText w:val=""/>
      <w:lvlJc w:val="left"/>
      <w:pPr>
        <w:tabs>
          <w:tab w:val="num" w:pos="1275"/>
        </w:tabs>
        <w:ind w:left="1275" w:hanging="425"/>
      </w:pPr>
      <w:rPr>
        <w:rFonts w:ascii="Symbol" w:hAnsi="Symbol" w:hint="default"/>
        <w:color w:val="192E58" w:themeColor="accent1"/>
      </w:rPr>
    </w:lvl>
    <w:lvl w:ilvl="3">
      <w:start w:val="1"/>
      <w:numFmt w:val="bullet"/>
      <w:pStyle w:val="ListBullet4"/>
      <w:lvlText w:val="–"/>
      <w:lvlJc w:val="left"/>
      <w:pPr>
        <w:tabs>
          <w:tab w:val="num" w:pos="1700"/>
        </w:tabs>
        <w:ind w:left="1700" w:hanging="425"/>
      </w:pPr>
      <w:rPr>
        <w:rFonts w:ascii="Arial Rounded MT" w:hAnsi="Arial Rounded MT" w:hint="default"/>
        <w:color w:val="192E58" w:themeColor="accent1"/>
      </w:rPr>
    </w:lvl>
    <w:lvl w:ilvl="4">
      <w:start w:val="1"/>
      <w:numFmt w:val="bullet"/>
      <w:pStyle w:val="ListBullet5"/>
      <w:lvlText w:val=""/>
      <w:lvlJc w:val="left"/>
      <w:pPr>
        <w:tabs>
          <w:tab w:val="num" w:pos="2125"/>
        </w:tabs>
        <w:ind w:left="2125" w:hanging="425"/>
      </w:pPr>
      <w:rPr>
        <w:rFonts w:ascii="Symbol" w:hAnsi="Symbol" w:hint="default"/>
        <w:color w:val="192E58" w:themeColor="accent1"/>
      </w:rPr>
    </w:lvl>
    <w:lvl w:ilvl="5">
      <w:start w:val="1"/>
      <w:numFmt w:val="bullet"/>
      <w:pStyle w:val="ListBullet6"/>
      <w:lvlText w:val="–"/>
      <w:lvlJc w:val="left"/>
      <w:pPr>
        <w:tabs>
          <w:tab w:val="num" w:pos="2550"/>
        </w:tabs>
        <w:ind w:left="2550" w:hanging="425"/>
      </w:pPr>
      <w:rPr>
        <w:rFonts w:ascii="Arial Rounded MT" w:hAnsi="Arial Rounded MT" w:hint="default"/>
        <w:color w:val="192E58" w:themeColor="accent1"/>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5" w15:restartNumberingAfterBreak="0">
    <w:nsid w:val="78AC21DB"/>
    <w:multiLevelType w:val="hybridMultilevel"/>
    <w:tmpl w:val="4EA6858A"/>
    <w:lvl w:ilvl="0" w:tplc="9F90EC9A">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4"/>
  </w:num>
  <w:num w:numId="2">
    <w:abstractNumId w:val="5"/>
  </w:num>
  <w:num w:numId="3">
    <w:abstractNumId w:val="14"/>
  </w:num>
  <w:num w:numId="4">
    <w:abstractNumId w:val="3"/>
  </w:num>
  <w:num w:numId="5">
    <w:abstractNumId w:val="25"/>
  </w:num>
  <w:num w:numId="6">
    <w:abstractNumId w:val="7"/>
  </w:num>
  <w:num w:numId="7">
    <w:abstractNumId w:val="8"/>
  </w:num>
  <w:num w:numId="8">
    <w:abstractNumId w:val="10"/>
  </w:num>
  <w:num w:numId="9">
    <w:abstractNumId w:val="2"/>
  </w:num>
  <w:num w:numId="10">
    <w:abstractNumId w:val="17"/>
  </w:num>
  <w:num w:numId="11">
    <w:abstractNumId w:val="20"/>
  </w:num>
  <w:num w:numId="12">
    <w:abstractNumId w:val="30"/>
  </w:num>
  <w:num w:numId="13">
    <w:abstractNumId w:val="32"/>
  </w:num>
  <w:num w:numId="14">
    <w:abstractNumId w:val="0"/>
  </w:num>
  <w:num w:numId="15">
    <w:abstractNumId w:val="18"/>
  </w:num>
  <w:num w:numId="16">
    <w:abstractNumId w:val="26"/>
  </w:num>
  <w:num w:numId="17">
    <w:abstractNumId w:val="33"/>
  </w:num>
  <w:num w:numId="18">
    <w:abstractNumId w:val="31"/>
  </w:num>
  <w:num w:numId="19">
    <w:abstractNumId w:val="27"/>
  </w:num>
  <w:num w:numId="20">
    <w:abstractNumId w:val="16"/>
  </w:num>
  <w:num w:numId="21">
    <w:abstractNumId w:val="15"/>
  </w:num>
  <w:num w:numId="22">
    <w:abstractNumId w:val="22"/>
  </w:num>
  <w:num w:numId="23">
    <w:abstractNumId w:val="13"/>
  </w:num>
  <w:num w:numId="24">
    <w:abstractNumId w:val="21"/>
  </w:num>
  <w:num w:numId="25">
    <w:abstractNumId w:val="4"/>
  </w:num>
  <w:num w:numId="26">
    <w:abstractNumId w:val="29"/>
  </w:num>
  <w:num w:numId="27">
    <w:abstractNumId w:val="35"/>
  </w:num>
  <w:num w:numId="28">
    <w:abstractNumId w:val="19"/>
  </w:num>
  <w:num w:numId="29">
    <w:abstractNumId w:val="6"/>
  </w:num>
  <w:num w:numId="30">
    <w:abstractNumId w:val="28"/>
  </w:num>
  <w:num w:numId="31">
    <w:abstractNumId w:val="1"/>
  </w:num>
  <w:num w:numId="32">
    <w:abstractNumId w:val="23"/>
  </w:num>
  <w:num w:numId="33">
    <w:abstractNumId w:val="9"/>
  </w:num>
  <w:num w:numId="34">
    <w:abstractNumId w:val="24"/>
  </w:num>
  <w:num w:numId="35">
    <w:abstractNumId w:val="11"/>
  </w:num>
  <w:num w:numId="3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Irrmc010L4i7+fHLcXYm8GgevQ0psfLw2NXoZ3l6Nao1KEYmi6xmisuIxvq6F/UvMMYJDPUfiM/qfccuAb1lOA==" w:salt="jHgjpLVjkE8ypifXd/Dpyw=="/>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5BA"/>
    <w:rsid w:val="00002C5B"/>
    <w:rsid w:val="000036C6"/>
    <w:rsid w:val="0000439F"/>
    <w:rsid w:val="00005F24"/>
    <w:rsid w:val="00010871"/>
    <w:rsid w:val="000123E2"/>
    <w:rsid w:val="0001395E"/>
    <w:rsid w:val="00014EE2"/>
    <w:rsid w:val="00015263"/>
    <w:rsid w:val="000162B5"/>
    <w:rsid w:val="0001655F"/>
    <w:rsid w:val="000166B1"/>
    <w:rsid w:val="00020277"/>
    <w:rsid w:val="000204C1"/>
    <w:rsid w:val="00025EA4"/>
    <w:rsid w:val="00026233"/>
    <w:rsid w:val="00026284"/>
    <w:rsid w:val="00026CDE"/>
    <w:rsid w:val="00026D7D"/>
    <w:rsid w:val="00031435"/>
    <w:rsid w:val="0003415D"/>
    <w:rsid w:val="00034CDB"/>
    <w:rsid w:val="0003531D"/>
    <w:rsid w:val="0003544F"/>
    <w:rsid w:val="00035C3E"/>
    <w:rsid w:val="00035EFC"/>
    <w:rsid w:val="00036E54"/>
    <w:rsid w:val="00040655"/>
    <w:rsid w:val="00042069"/>
    <w:rsid w:val="000444FC"/>
    <w:rsid w:val="00044AE1"/>
    <w:rsid w:val="00045C04"/>
    <w:rsid w:val="000460FA"/>
    <w:rsid w:val="00047E1E"/>
    <w:rsid w:val="00050705"/>
    <w:rsid w:val="000515FE"/>
    <w:rsid w:val="000519EC"/>
    <w:rsid w:val="00054540"/>
    <w:rsid w:val="00056CB1"/>
    <w:rsid w:val="0006189A"/>
    <w:rsid w:val="0006381A"/>
    <w:rsid w:val="00064B8F"/>
    <w:rsid w:val="00066041"/>
    <w:rsid w:val="0007143C"/>
    <w:rsid w:val="0007313F"/>
    <w:rsid w:val="00075DDC"/>
    <w:rsid w:val="000829C3"/>
    <w:rsid w:val="00083179"/>
    <w:rsid w:val="000849D3"/>
    <w:rsid w:val="00085423"/>
    <w:rsid w:val="00086E39"/>
    <w:rsid w:val="000870AE"/>
    <w:rsid w:val="000924CC"/>
    <w:rsid w:val="00094948"/>
    <w:rsid w:val="000A017C"/>
    <w:rsid w:val="000A0EFD"/>
    <w:rsid w:val="000A4850"/>
    <w:rsid w:val="000A78F7"/>
    <w:rsid w:val="000B0D77"/>
    <w:rsid w:val="000B1128"/>
    <w:rsid w:val="000B48B1"/>
    <w:rsid w:val="000B542D"/>
    <w:rsid w:val="000C0336"/>
    <w:rsid w:val="000C03A2"/>
    <w:rsid w:val="000C251E"/>
    <w:rsid w:val="000C2CB0"/>
    <w:rsid w:val="000C3D16"/>
    <w:rsid w:val="000C41BE"/>
    <w:rsid w:val="000C6ADD"/>
    <w:rsid w:val="000C79DB"/>
    <w:rsid w:val="000D0BB4"/>
    <w:rsid w:val="000D2924"/>
    <w:rsid w:val="000D2B92"/>
    <w:rsid w:val="000D633C"/>
    <w:rsid w:val="000E0269"/>
    <w:rsid w:val="000E2E3E"/>
    <w:rsid w:val="000E45EA"/>
    <w:rsid w:val="000E46A5"/>
    <w:rsid w:val="000E56C7"/>
    <w:rsid w:val="000E5939"/>
    <w:rsid w:val="000F0080"/>
    <w:rsid w:val="000F16EE"/>
    <w:rsid w:val="000F39CF"/>
    <w:rsid w:val="000F793C"/>
    <w:rsid w:val="00100D4E"/>
    <w:rsid w:val="0010175F"/>
    <w:rsid w:val="00105E89"/>
    <w:rsid w:val="001077F1"/>
    <w:rsid w:val="0010787F"/>
    <w:rsid w:val="001151AD"/>
    <w:rsid w:val="00117BAC"/>
    <w:rsid w:val="00120C38"/>
    <w:rsid w:val="001215A9"/>
    <w:rsid w:val="00122CF6"/>
    <w:rsid w:val="00123634"/>
    <w:rsid w:val="001267A6"/>
    <w:rsid w:val="001267E9"/>
    <w:rsid w:val="001273DA"/>
    <w:rsid w:val="00131670"/>
    <w:rsid w:val="00131EC4"/>
    <w:rsid w:val="00132EBA"/>
    <w:rsid w:val="001403F1"/>
    <w:rsid w:val="00142059"/>
    <w:rsid w:val="001422AA"/>
    <w:rsid w:val="001426D8"/>
    <w:rsid w:val="0014399E"/>
    <w:rsid w:val="00144C1B"/>
    <w:rsid w:val="001466E8"/>
    <w:rsid w:val="001471DF"/>
    <w:rsid w:val="00147E1B"/>
    <w:rsid w:val="00150A05"/>
    <w:rsid w:val="00150C64"/>
    <w:rsid w:val="00151B70"/>
    <w:rsid w:val="00152576"/>
    <w:rsid w:val="00152F6B"/>
    <w:rsid w:val="0015397D"/>
    <w:rsid w:val="00154528"/>
    <w:rsid w:val="00154ECF"/>
    <w:rsid w:val="001553CB"/>
    <w:rsid w:val="00157206"/>
    <w:rsid w:val="00162868"/>
    <w:rsid w:val="00167E5A"/>
    <w:rsid w:val="001718BA"/>
    <w:rsid w:val="00174C74"/>
    <w:rsid w:val="0017593B"/>
    <w:rsid w:val="0018124B"/>
    <w:rsid w:val="00181D0D"/>
    <w:rsid w:val="001829D4"/>
    <w:rsid w:val="001831D6"/>
    <w:rsid w:val="0018620F"/>
    <w:rsid w:val="0018654D"/>
    <w:rsid w:val="00187CB1"/>
    <w:rsid w:val="001915DB"/>
    <w:rsid w:val="001930A9"/>
    <w:rsid w:val="00193B4F"/>
    <w:rsid w:val="00194EED"/>
    <w:rsid w:val="001951D6"/>
    <w:rsid w:val="00195431"/>
    <w:rsid w:val="00196D69"/>
    <w:rsid w:val="001A6614"/>
    <w:rsid w:val="001B2859"/>
    <w:rsid w:val="001B2F18"/>
    <w:rsid w:val="001B3365"/>
    <w:rsid w:val="001B4174"/>
    <w:rsid w:val="001B4630"/>
    <w:rsid w:val="001B54F8"/>
    <w:rsid w:val="001B5542"/>
    <w:rsid w:val="001C1F50"/>
    <w:rsid w:val="001C2125"/>
    <w:rsid w:val="001C3758"/>
    <w:rsid w:val="001C55DC"/>
    <w:rsid w:val="001D03F8"/>
    <w:rsid w:val="001D1ABA"/>
    <w:rsid w:val="001D1B81"/>
    <w:rsid w:val="001D2577"/>
    <w:rsid w:val="001D27D1"/>
    <w:rsid w:val="001D395D"/>
    <w:rsid w:val="001D416A"/>
    <w:rsid w:val="001D5330"/>
    <w:rsid w:val="001D7F28"/>
    <w:rsid w:val="001E19B1"/>
    <w:rsid w:val="001E4814"/>
    <w:rsid w:val="001E544B"/>
    <w:rsid w:val="001E5A10"/>
    <w:rsid w:val="001E6BCD"/>
    <w:rsid w:val="001F125D"/>
    <w:rsid w:val="001F147E"/>
    <w:rsid w:val="001F25BA"/>
    <w:rsid w:val="001F3603"/>
    <w:rsid w:val="001F41AE"/>
    <w:rsid w:val="001F4F6E"/>
    <w:rsid w:val="001F5470"/>
    <w:rsid w:val="001F5DBF"/>
    <w:rsid w:val="001F768C"/>
    <w:rsid w:val="001F7F7F"/>
    <w:rsid w:val="002002C9"/>
    <w:rsid w:val="002019F2"/>
    <w:rsid w:val="0020214B"/>
    <w:rsid w:val="00203DF2"/>
    <w:rsid w:val="002061AD"/>
    <w:rsid w:val="002077FC"/>
    <w:rsid w:val="002078D8"/>
    <w:rsid w:val="00207DFF"/>
    <w:rsid w:val="00207FAF"/>
    <w:rsid w:val="00211524"/>
    <w:rsid w:val="00211A7C"/>
    <w:rsid w:val="00212347"/>
    <w:rsid w:val="00213079"/>
    <w:rsid w:val="0021399E"/>
    <w:rsid w:val="00217EED"/>
    <w:rsid w:val="002200E3"/>
    <w:rsid w:val="0022024B"/>
    <w:rsid w:val="002217A1"/>
    <w:rsid w:val="00221BAA"/>
    <w:rsid w:val="002248AA"/>
    <w:rsid w:val="00224984"/>
    <w:rsid w:val="00225C9A"/>
    <w:rsid w:val="00230221"/>
    <w:rsid w:val="00231F43"/>
    <w:rsid w:val="00232026"/>
    <w:rsid w:val="002326D1"/>
    <w:rsid w:val="00232FEC"/>
    <w:rsid w:val="00233FF7"/>
    <w:rsid w:val="00234EC5"/>
    <w:rsid w:val="0023553D"/>
    <w:rsid w:val="00236136"/>
    <w:rsid w:val="00236BD5"/>
    <w:rsid w:val="0023738E"/>
    <w:rsid w:val="0024379C"/>
    <w:rsid w:val="0024468F"/>
    <w:rsid w:val="00244F76"/>
    <w:rsid w:val="00245773"/>
    <w:rsid w:val="00245EEE"/>
    <w:rsid w:val="00246EE2"/>
    <w:rsid w:val="00247560"/>
    <w:rsid w:val="00250A22"/>
    <w:rsid w:val="00251AE6"/>
    <w:rsid w:val="00251D31"/>
    <w:rsid w:val="002524B7"/>
    <w:rsid w:val="00252BD6"/>
    <w:rsid w:val="00256A75"/>
    <w:rsid w:val="00261789"/>
    <w:rsid w:val="00262026"/>
    <w:rsid w:val="00264B95"/>
    <w:rsid w:val="00265875"/>
    <w:rsid w:val="00266953"/>
    <w:rsid w:val="00267F3B"/>
    <w:rsid w:val="00275928"/>
    <w:rsid w:val="00277113"/>
    <w:rsid w:val="0027711F"/>
    <w:rsid w:val="00277BC5"/>
    <w:rsid w:val="002800E9"/>
    <w:rsid w:val="00286A2C"/>
    <w:rsid w:val="00291D51"/>
    <w:rsid w:val="002930CE"/>
    <w:rsid w:val="002964F3"/>
    <w:rsid w:val="00297A6E"/>
    <w:rsid w:val="002A0D05"/>
    <w:rsid w:val="002A14A2"/>
    <w:rsid w:val="002A1D77"/>
    <w:rsid w:val="002A26D3"/>
    <w:rsid w:val="002B2858"/>
    <w:rsid w:val="002B2A0F"/>
    <w:rsid w:val="002B2CEE"/>
    <w:rsid w:val="002B5CAF"/>
    <w:rsid w:val="002B6015"/>
    <w:rsid w:val="002B66A7"/>
    <w:rsid w:val="002B6B81"/>
    <w:rsid w:val="002C16A4"/>
    <w:rsid w:val="002C2206"/>
    <w:rsid w:val="002C4091"/>
    <w:rsid w:val="002C47EA"/>
    <w:rsid w:val="002C770C"/>
    <w:rsid w:val="002C7C55"/>
    <w:rsid w:val="002D0CC1"/>
    <w:rsid w:val="002D2BC3"/>
    <w:rsid w:val="002D4926"/>
    <w:rsid w:val="002D59FB"/>
    <w:rsid w:val="002D6816"/>
    <w:rsid w:val="002E079B"/>
    <w:rsid w:val="002E089D"/>
    <w:rsid w:val="002E1306"/>
    <w:rsid w:val="002E37B2"/>
    <w:rsid w:val="002E42BE"/>
    <w:rsid w:val="002E5A73"/>
    <w:rsid w:val="002E6A39"/>
    <w:rsid w:val="002F0A3C"/>
    <w:rsid w:val="002F453A"/>
    <w:rsid w:val="002F76FE"/>
    <w:rsid w:val="002F7B84"/>
    <w:rsid w:val="00303FB3"/>
    <w:rsid w:val="003134D9"/>
    <w:rsid w:val="00321511"/>
    <w:rsid w:val="00321F87"/>
    <w:rsid w:val="00322D33"/>
    <w:rsid w:val="00324D32"/>
    <w:rsid w:val="00326E66"/>
    <w:rsid w:val="003274B1"/>
    <w:rsid w:val="00332438"/>
    <w:rsid w:val="00333873"/>
    <w:rsid w:val="0033411B"/>
    <w:rsid w:val="003344DF"/>
    <w:rsid w:val="00334AE6"/>
    <w:rsid w:val="00337344"/>
    <w:rsid w:val="003375C8"/>
    <w:rsid w:val="00337DAF"/>
    <w:rsid w:val="00346861"/>
    <w:rsid w:val="00346C59"/>
    <w:rsid w:val="00347D57"/>
    <w:rsid w:val="003506C7"/>
    <w:rsid w:val="00350FC0"/>
    <w:rsid w:val="00351FDA"/>
    <w:rsid w:val="00352E5A"/>
    <w:rsid w:val="0035313D"/>
    <w:rsid w:val="003533EC"/>
    <w:rsid w:val="003537A7"/>
    <w:rsid w:val="003544F4"/>
    <w:rsid w:val="00354EB2"/>
    <w:rsid w:val="00356A50"/>
    <w:rsid w:val="00356BD8"/>
    <w:rsid w:val="00357F16"/>
    <w:rsid w:val="00360C75"/>
    <w:rsid w:val="003636BA"/>
    <w:rsid w:val="00366F65"/>
    <w:rsid w:val="0037263D"/>
    <w:rsid w:val="00373CCB"/>
    <w:rsid w:val="00374B1B"/>
    <w:rsid w:val="00374CC9"/>
    <w:rsid w:val="003754C3"/>
    <w:rsid w:val="00375B20"/>
    <w:rsid w:val="003770FE"/>
    <w:rsid w:val="003775E6"/>
    <w:rsid w:val="00381CDA"/>
    <w:rsid w:val="00382FC0"/>
    <w:rsid w:val="0038494E"/>
    <w:rsid w:val="003871B8"/>
    <w:rsid w:val="003910CF"/>
    <w:rsid w:val="0039189E"/>
    <w:rsid w:val="003931C5"/>
    <w:rsid w:val="00393739"/>
    <w:rsid w:val="0039723D"/>
    <w:rsid w:val="003977B1"/>
    <w:rsid w:val="003A16C7"/>
    <w:rsid w:val="003A237B"/>
    <w:rsid w:val="003A2BB1"/>
    <w:rsid w:val="003A52FF"/>
    <w:rsid w:val="003A55F8"/>
    <w:rsid w:val="003A65D8"/>
    <w:rsid w:val="003A6EC6"/>
    <w:rsid w:val="003A6FEE"/>
    <w:rsid w:val="003B0AF5"/>
    <w:rsid w:val="003B5701"/>
    <w:rsid w:val="003B62B2"/>
    <w:rsid w:val="003C0C33"/>
    <w:rsid w:val="003C3929"/>
    <w:rsid w:val="003C6D38"/>
    <w:rsid w:val="003C752A"/>
    <w:rsid w:val="003D01B6"/>
    <w:rsid w:val="003D198E"/>
    <w:rsid w:val="003D2A1C"/>
    <w:rsid w:val="003D3EBF"/>
    <w:rsid w:val="003D5816"/>
    <w:rsid w:val="003D5C7A"/>
    <w:rsid w:val="003D6024"/>
    <w:rsid w:val="003D7B92"/>
    <w:rsid w:val="003D7C41"/>
    <w:rsid w:val="003E00FF"/>
    <w:rsid w:val="003E15B5"/>
    <w:rsid w:val="003E1CFC"/>
    <w:rsid w:val="003E35F4"/>
    <w:rsid w:val="003E69F1"/>
    <w:rsid w:val="003E6DE5"/>
    <w:rsid w:val="003E7F9C"/>
    <w:rsid w:val="003F021C"/>
    <w:rsid w:val="003F0CCC"/>
    <w:rsid w:val="003F19C4"/>
    <w:rsid w:val="003F3177"/>
    <w:rsid w:val="003F74BC"/>
    <w:rsid w:val="003F7C53"/>
    <w:rsid w:val="0040081E"/>
    <w:rsid w:val="004052BF"/>
    <w:rsid w:val="00412B1A"/>
    <w:rsid w:val="00412D4A"/>
    <w:rsid w:val="00414AC0"/>
    <w:rsid w:val="004175A7"/>
    <w:rsid w:val="0041789C"/>
    <w:rsid w:val="0041795C"/>
    <w:rsid w:val="00420E71"/>
    <w:rsid w:val="00421745"/>
    <w:rsid w:val="004259A7"/>
    <w:rsid w:val="00425E1D"/>
    <w:rsid w:val="0042640D"/>
    <w:rsid w:val="00426715"/>
    <w:rsid w:val="004275C3"/>
    <w:rsid w:val="004323A0"/>
    <w:rsid w:val="0043293A"/>
    <w:rsid w:val="00434F95"/>
    <w:rsid w:val="004351AA"/>
    <w:rsid w:val="00436328"/>
    <w:rsid w:val="00437A69"/>
    <w:rsid w:val="004411BF"/>
    <w:rsid w:val="0044171B"/>
    <w:rsid w:val="004431F9"/>
    <w:rsid w:val="0044379C"/>
    <w:rsid w:val="00445521"/>
    <w:rsid w:val="00451365"/>
    <w:rsid w:val="00451719"/>
    <w:rsid w:val="00454195"/>
    <w:rsid w:val="00454851"/>
    <w:rsid w:val="00454AE4"/>
    <w:rsid w:val="0045596F"/>
    <w:rsid w:val="004613D1"/>
    <w:rsid w:val="004621B5"/>
    <w:rsid w:val="00463CBB"/>
    <w:rsid w:val="0046485B"/>
    <w:rsid w:val="00464C16"/>
    <w:rsid w:val="004710EE"/>
    <w:rsid w:val="00475464"/>
    <w:rsid w:val="004761D8"/>
    <w:rsid w:val="004818D7"/>
    <w:rsid w:val="004822AE"/>
    <w:rsid w:val="00482847"/>
    <w:rsid w:val="004837FD"/>
    <w:rsid w:val="00485665"/>
    <w:rsid w:val="004878D1"/>
    <w:rsid w:val="00487F3A"/>
    <w:rsid w:val="00491CB4"/>
    <w:rsid w:val="004958E1"/>
    <w:rsid w:val="004A1215"/>
    <w:rsid w:val="004A17A8"/>
    <w:rsid w:val="004A3FF8"/>
    <w:rsid w:val="004A6D77"/>
    <w:rsid w:val="004A7A5C"/>
    <w:rsid w:val="004B006A"/>
    <w:rsid w:val="004B0A19"/>
    <w:rsid w:val="004B15B6"/>
    <w:rsid w:val="004B188A"/>
    <w:rsid w:val="004B2EAD"/>
    <w:rsid w:val="004B3177"/>
    <w:rsid w:val="004B4757"/>
    <w:rsid w:val="004B54ED"/>
    <w:rsid w:val="004B7087"/>
    <w:rsid w:val="004C0793"/>
    <w:rsid w:val="004C29E3"/>
    <w:rsid w:val="004C5F2D"/>
    <w:rsid w:val="004C6A8A"/>
    <w:rsid w:val="004D1966"/>
    <w:rsid w:val="004D308B"/>
    <w:rsid w:val="004D36C9"/>
    <w:rsid w:val="004D56D2"/>
    <w:rsid w:val="004D57B4"/>
    <w:rsid w:val="004D5D7B"/>
    <w:rsid w:val="004D64F2"/>
    <w:rsid w:val="004E0727"/>
    <w:rsid w:val="004E25B3"/>
    <w:rsid w:val="004E4C07"/>
    <w:rsid w:val="004E6430"/>
    <w:rsid w:val="004E7AD9"/>
    <w:rsid w:val="004E7BC0"/>
    <w:rsid w:val="004F0B6B"/>
    <w:rsid w:val="004F11BF"/>
    <w:rsid w:val="004F1ED1"/>
    <w:rsid w:val="004F51C9"/>
    <w:rsid w:val="005046D1"/>
    <w:rsid w:val="00506799"/>
    <w:rsid w:val="005076FA"/>
    <w:rsid w:val="00513C30"/>
    <w:rsid w:val="00513EA0"/>
    <w:rsid w:val="00515C23"/>
    <w:rsid w:val="00515ECD"/>
    <w:rsid w:val="0052066E"/>
    <w:rsid w:val="00520A05"/>
    <w:rsid w:val="00521693"/>
    <w:rsid w:val="005218BF"/>
    <w:rsid w:val="005249D3"/>
    <w:rsid w:val="0052592C"/>
    <w:rsid w:val="00526029"/>
    <w:rsid w:val="005269C4"/>
    <w:rsid w:val="00526AFA"/>
    <w:rsid w:val="00531E31"/>
    <w:rsid w:val="005340AC"/>
    <w:rsid w:val="00534224"/>
    <w:rsid w:val="00534AE7"/>
    <w:rsid w:val="00537B29"/>
    <w:rsid w:val="00543BC0"/>
    <w:rsid w:val="00544656"/>
    <w:rsid w:val="00544D21"/>
    <w:rsid w:val="005470A8"/>
    <w:rsid w:val="005513AD"/>
    <w:rsid w:val="00551B0A"/>
    <w:rsid w:val="00552142"/>
    <w:rsid w:val="00555C32"/>
    <w:rsid w:val="0055685D"/>
    <w:rsid w:val="00557838"/>
    <w:rsid w:val="005602FC"/>
    <w:rsid w:val="005608B5"/>
    <w:rsid w:val="00560AB3"/>
    <w:rsid w:val="00561BE9"/>
    <w:rsid w:val="00564B53"/>
    <w:rsid w:val="00566724"/>
    <w:rsid w:val="005730E9"/>
    <w:rsid w:val="0058026B"/>
    <w:rsid w:val="0058140B"/>
    <w:rsid w:val="005825A2"/>
    <w:rsid w:val="005850B3"/>
    <w:rsid w:val="00585533"/>
    <w:rsid w:val="0058710F"/>
    <w:rsid w:val="00590410"/>
    <w:rsid w:val="00592F9A"/>
    <w:rsid w:val="00593917"/>
    <w:rsid w:val="005958DF"/>
    <w:rsid w:val="00595F0A"/>
    <w:rsid w:val="005971D0"/>
    <w:rsid w:val="00597F98"/>
    <w:rsid w:val="005A2371"/>
    <w:rsid w:val="005A2CAE"/>
    <w:rsid w:val="005A3287"/>
    <w:rsid w:val="005A3B59"/>
    <w:rsid w:val="005A6E5B"/>
    <w:rsid w:val="005A7583"/>
    <w:rsid w:val="005B21FD"/>
    <w:rsid w:val="005B54F0"/>
    <w:rsid w:val="005B57A3"/>
    <w:rsid w:val="005B5FBF"/>
    <w:rsid w:val="005B71EB"/>
    <w:rsid w:val="005C5137"/>
    <w:rsid w:val="005C55EE"/>
    <w:rsid w:val="005C579A"/>
    <w:rsid w:val="005C6963"/>
    <w:rsid w:val="005C6DAC"/>
    <w:rsid w:val="005D0167"/>
    <w:rsid w:val="005D1411"/>
    <w:rsid w:val="005D3484"/>
    <w:rsid w:val="005D3AE7"/>
    <w:rsid w:val="005D447B"/>
    <w:rsid w:val="005E0586"/>
    <w:rsid w:val="005E183D"/>
    <w:rsid w:val="005E576F"/>
    <w:rsid w:val="005E651C"/>
    <w:rsid w:val="005E7363"/>
    <w:rsid w:val="005E73CB"/>
    <w:rsid w:val="005F4683"/>
    <w:rsid w:val="005F7870"/>
    <w:rsid w:val="006001C1"/>
    <w:rsid w:val="00600977"/>
    <w:rsid w:val="006016B2"/>
    <w:rsid w:val="00603519"/>
    <w:rsid w:val="00604D94"/>
    <w:rsid w:val="00605580"/>
    <w:rsid w:val="006065D6"/>
    <w:rsid w:val="00607210"/>
    <w:rsid w:val="0061023C"/>
    <w:rsid w:val="00611E1B"/>
    <w:rsid w:val="00612F43"/>
    <w:rsid w:val="006311E4"/>
    <w:rsid w:val="006317B6"/>
    <w:rsid w:val="006328B6"/>
    <w:rsid w:val="00633A28"/>
    <w:rsid w:val="0063553C"/>
    <w:rsid w:val="00636CBC"/>
    <w:rsid w:val="00636EDC"/>
    <w:rsid w:val="00642DFC"/>
    <w:rsid w:val="00642F11"/>
    <w:rsid w:val="00645662"/>
    <w:rsid w:val="00645A49"/>
    <w:rsid w:val="00645BBC"/>
    <w:rsid w:val="00645D5E"/>
    <w:rsid w:val="00647BB2"/>
    <w:rsid w:val="0065012D"/>
    <w:rsid w:val="00652E76"/>
    <w:rsid w:val="00657A10"/>
    <w:rsid w:val="00662546"/>
    <w:rsid w:val="00663140"/>
    <w:rsid w:val="00664889"/>
    <w:rsid w:val="00665B84"/>
    <w:rsid w:val="0067342B"/>
    <w:rsid w:val="00674F53"/>
    <w:rsid w:val="006804C2"/>
    <w:rsid w:val="00683FAD"/>
    <w:rsid w:val="00684BF4"/>
    <w:rsid w:val="0068568C"/>
    <w:rsid w:val="00687C16"/>
    <w:rsid w:val="00690694"/>
    <w:rsid w:val="0069562D"/>
    <w:rsid w:val="00696690"/>
    <w:rsid w:val="00696CA8"/>
    <w:rsid w:val="00697A45"/>
    <w:rsid w:val="006A4295"/>
    <w:rsid w:val="006A6D26"/>
    <w:rsid w:val="006B2C10"/>
    <w:rsid w:val="006B2E6B"/>
    <w:rsid w:val="006B3A7A"/>
    <w:rsid w:val="006B4EF3"/>
    <w:rsid w:val="006B616B"/>
    <w:rsid w:val="006B61B9"/>
    <w:rsid w:val="006C0E44"/>
    <w:rsid w:val="006C2606"/>
    <w:rsid w:val="006D10C8"/>
    <w:rsid w:val="006D2632"/>
    <w:rsid w:val="006D5757"/>
    <w:rsid w:val="006D65BF"/>
    <w:rsid w:val="006D7156"/>
    <w:rsid w:val="006E00D1"/>
    <w:rsid w:val="006E03EB"/>
    <w:rsid w:val="006E0B0E"/>
    <w:rsid w:val="006E1679"/>
    <w:rsid w:val="006E1F3E"/>
    <w:rsid w:val="006E25D7"/>
    <w:rsid w:val="006E6213"/>
    <w:rsid w:val="006E74B4"/>
    <w:rsid w:val="006F08CF"/>
    <w:rsid w:val="006F0971"/>
    <w:rsid w:val="006F336F"/>
    <w:rsid w:val="006F381C"/>
    <w:rsid w:val="006F4809"/>
    <w:rsid w:val="006F657C"/>
    <w:rsid w:val="006F6776"/>
    <w:rsid w:val="00700C7D"/>
    <w:rsid w:val="00701552"/>
    <w:rsid w:val="00703F0B"/>
    <w:rsid w:val="00704287"/>
    <w:rsid w:val="00706039"/>
    <w:rsid w:val="007118A2"/>
    <w:rsid w:val="0071322B"/>
    <w:rsid w:val="00714E82"/>
    <w:rsid w:val="00717BD8"/>
    <w:rsid w:val="00725FFE"/>
    <w:rsid w:val="0073131E"/>
    <w:rsid w:val="007320EE"/>
    <w:rsid w:val="00734357"/>
    <w:rsid w:val="00736835"/>
    <w:rsid w:val="00741365"/>
    <w:rsid w:val="00741C34"/>
    <w:rsid w:val="00743BE1"/>
    <w:rsid w:val="00744CA7"/>
    <w:rsid w:val="007456D1"/>
    <w:rsid w:val="00746A39"/>
    <w:rsid w:val="00746BC1"/>
    <w:rsid w:val="00751469"/>
    <w:rsid w:val="00751AF0"/>
    <w:rsid w:val="00754ED2"/>
    <w:rsid w:val="0075554E"/>
    <w:rsid w:val="00762A68"/>
    <w:rsid w:val="00762C93"/>
    <w:rsid w:val="007631DC"/>
    <w:rsid w:val="007633A1"/>
    <w:rsid w:val="00764E55"/>
    <w:rsid w:val="00766134"/>
    <w:rsid w:val="0076652D"/>
    <w:rsid w:val="00766567"/>
    <w:rsid w:val="007701F7"/>
    <w:rsid w:val="00770755"/>
    <w:rsid w:val="00770858"/>
    <w:rsid w:val="00771CB3"/>
    <w:rsid w:val="00774B80"/>
    <w:rsid w:val="007751CF"/>
    <w:rsid w:val="0077748E"/>
    <w:rsid w:val="00783763"/>
    <w:rsid w:val="00785D72"/>
    <w:rsid w:val="007901DB"/>
    <w:rsid w:val="00792E19"/>
    <w:rsid w:val="00796983"/>
    <w:rsid w:val="007969C5"/>
    <w:rsid w:val="007A06BA"/>
    <w:rsid w:val="007A0CEB"/>
    <w:rsid w:val="007A3B7E"/>
    <w:rsid w:val="007B0996"/>
    <w:rsid w:val="007B215D"/>
    <w:rsid w:val="007B26A3"/>
    <w:rsid w:val="007B2F17"/>
    <w:rsid w:val="007B3641"/>
    <w:rsid w:val="007B3D39"/>
    <w:rsid w:val="007B3F85"/>
    <w:rsid w:val="007C24DE"/>
    <w:rsid w:val="007C38B8"/>
    <w:rsid w:val="007C524F"/>
    <w:rsid w:val="007D0388"/>
    <w:rsid w:val="007D1A42"/>
    <w:rsid w:val="007D7A16"/>
    <w:rsid w:val="007D7BE3"/>
    <w:rsid w:val="007D7F6C"/>
    <w:rsid w:val="007E3F5E"/>
    <w:rsid w:val="007E493F"/>
    <w:rsid w:val="007E5571"/>
    <w:rsid w:val="007E5786"/>
    <w:rsid w:val="007F14B9"/>
    <w:rsid w:val="007F22F4"/>
    <w:rsid w:val="007F459E"/>
    <w:rsid w:val="007F6425"/>
    <w:rsid w:val="007F7180"/>
    <w:rsid w:val="00801837"/>
    <w:rsid w:val="00803F13"/>
    <w:rsid w:val="00805107"/>
    <w:rsid w:val="0081020D"/>
    <w:rsid w:val="00812045"/>
    <w:rsid w:val="00814E85"/>
    <w:rsid w:val="0081595A"/>
    <w:rsid w:val="008169C1"/>
    <w:rsid w:val="00821CE1"/>
    <w:rsid w:val="008235E8"/>
    <w:rsid w:val="0082381F"/>
    <w:rsid w:val="00824436"/>
    <w:rsid w:val="0082500D"/>
    <w:rsid w:val="008259D9"/>
    <w:rsid w:val="00826235"/>
    <w:rsid w:val="0082734D"/>
    <w:rsid w:val="00827F78"/>
    <w:rsid w:val="00831147"/>
    <w:rsid w:val="00832700"/>
    <w:rsid w:val="00834296"/>
    <w:rsid w:val="00834AA7"/>
    <w:rsid w:val="008378F4"/>
    <w:rsid w:val="00844495"/>
    <w:rsid w:val="00844806"/>
    <w:rsid w:val="00844AA3"/>
    <w:rsid w:val="00850CD0"/>
    <w:rsid w:val="00854C95"/>
    <w:rsid w:val="00856778"/>
    <w:rsid w:val="00862690"/>
    <w:rsid w:val="00863A17"/>
    <w:rsid w:val="00864C43"/>
    <w:rsid w:val="008655CD"/>
    <w:rsid w:val="00866FD2"/>
    <w:rsid w:val="00867CE1"/>
    <w:rsid w:val="008733E4"/>
    <w:rsid w:val="008754CC"/>
    <w:rsid w:val="008771F3"/>
    <w:rsid w:val="00877C13"/>
    <w:rsid w:val="0088034E"/>
    <w:rsid w:val="008813C1"/>
    <w:rsid w:val="008813C8"/>
    <w:rsid w:val="00884041"/>
    <w:rsid w:val="00886E3D"/>
    <w:rsid w:val="00890821"/>
    <w:rsid w:val="00890A01"/>
    <w:rsid w:val="00891AC9"/>
    <w:rsid w:val="00893B3E"/>
    <w:rsid w:val="00895635"/>
    <w:rsid w:val="00896A71"/>
    <w:rsid w:val="008A1CCA"/>
    <w:rsid w:val="008A1D73"/>
    <w:rsid w:val="008A1DD4"/>
    <w:rsid w:val="008A2BB7"/>
    <w:rsid w:val="008A2C55"/>
    <w:rsid w:val="008A3C64"/>
    <w:rsid w:val="008A6D37"/>
    <w:rsid w:val="008A712B"/>
    <w:rsid w:val="008B3887"/>
    <w:rsid w:val="008B4DF0"/>
    <w:rsid w:val="008B6175"/>
    <w:rsid w:val="008C265D"/>
    <w:rsid w:val="008C4690"/>
    <w:rsid w:val="008C6130"/>
    <w:rsid w:val="008C6895"/>
    <w:rsid w:val="008D2DCA"/>
    <w:rsid w:val="008D4771"/>
    <w:rsid w:val="008D54A8"/>
    <w:rsid w:val="008D5CAA"/>
    <w:rsid w:val="008D5DB7"/>
    <w:rsid w:val="008D6D75"/>
    <w:rsid w:val="008D7817"/>
    <w:rsid w:val="008D7B50"/>
    <w:rsid w:val="008D7C94"/>
    <w:rsid w:val="008E0B8C"/>
    <w:rsid w:val="008E254F"/>
    <w:rsid w:val="008E354A"/>
    <w:rsid w:val="008E6A07"/>
    <w:rsid w:val="008E7E16"/>
    <w:rsid w:val="008F0759"/>
    <w:rsid w:val="008F0B6F"/>
    <w:rsid w:val="008F22E6"/>
    <w:rsid w:val="008F23C4"/>
    <w:rsid w:val="008F4BAF"/>
    <w:rsid w:val="0090165B"/>
    <w:rsid w:val="0090334A"/>
    <w:rsid w:val="00903455"/>
    <w:rsid w:val="00906B45"/>
    <w:rsid w:val="00906D27"/>
    <w:rsid w:val="0091212E"/>
    <w:rsid w:val="009131DB"/>
    <w:rsid w:val="00920305"/>
    <w:rsid w:val="00921908"/>
    <w:rsid w:val="00922D23"/>
    <w:rsid w:val="00923F4F"/>
    <w:rsid w:val="0092727D"/>
    <w:rsid w:val="0093052B"/>
    <w:rsid w:val="00931D41"/>
    <w:rsid w:val="00931E8E"/>
    <w:rsid w:val="0093204B"/>
    <w:rsid w:val="00932271"/>
    <w:rsid w:val="00932BB9"/>
    <w:rsid w:val="00936F65"/>
    <w:rsid w:val="00937997"/>
    <w:rsid w:val="009418DE"/>
    <w:rsid w:val="00941ACA"/>
    <w:rsid w:val="009428D1"/>
    <w:rsid w:val="0094436E"/>
    <w:rsid w:val="00944AA1"/>
    <w:rsid w:val="009513AC"/>
    <w:rsid w:val="00951853"/>
    <w:rsid w:val="00952252"/>
    <w:rsid w:val="009536A6"/>
    <w:rsid w:val="009565C6"/>
    <w:rsid w:val="00956CA7"/>
    <w:rsid w:val="00961ADA"/>
    <w:rsid w:val="00963DAB"/>
    <w:rsid w:val="0097043D"/>
    <w:rsid w:val="00971499"/>
    <w:rsid w:val="009733B0"/>
    <w:rsid w:val="00974849"/>
    <w:rsid w:val="00974ADC"/>
    <w:rsid w:val="00974FC0"/>
    <w:rsid w:val="00975E23"/>
    <w:rsid w:val="0098111C"/>
    <w:rsid w:val="00983F27"/>
    <w:rsid w:val="0098439C"/>
    <w:rsid w:val="00985ADD"/>
    <w:rsid w:val="00986F9B"/>
    <w:rsid w:val="0099572A"/>
    <w:rsid w:val="00995B10"/>
    <w:rsid w:val="00995DBD"/>
    <w:rsid w:val="009967DC"/>
    <w:rsid w:val="009972F9"/>
    <w:rsid w:val="009A3933"/>
    <w:rsid w:val="009A5CD2"/>
    <w:rsid w:val="009A7106"/>
    <w:rsid w:val="009B50AD"/>
    <w:rsid w:val="009B6210"/>
    <w:rsid w:val="009B6219"/>
    <w:rsid w:val="009B6C30"/>
    <w:rsid w:val="009B7139"/>
    <w:rsid w:val="009B72FA"/>
    <w:rsid w:val="009B7969"/>
    <w:rsid w:val="009C1FE0"/>
    <w:rsid w:val="009C2657"/>
    <w:rsid w:val="009C2CB7"/>
    <w:rsid w:val="009C32A2"/>
    <w:rsid w:val="009C3AB4"/>
    <w:rsid w:val="009C5367"/>
    <w:rsid w:val="009C64FE"/>
    <w:rsid w:val="009C67E2"/>
    <w:rsid w:val="009D07A4"/>
    <w:rsid w:val="009D16B4"/>
    <w:rsid w:val="009D1790"/>
    <w:rsid w:val="009D26B7"/>
    <w:rsid w:val="009D38E5"/>
    <w:rsid w:val="009D6143"/>
    <w:rsid w:val="009E69FF"/>
    <w:rsid w:val="009F3881"/>
    <w:rsid w:val="009F51B3"/>
    <w:rsid w:val="009F5890"/>
    <w:rsid w:val="009F68A6"/>
    <w:rsid w:val="00A04AA5"/>
    <w:rsid w:val="00A0508D"/>
    <w:rsid w:val="00A064FE"/>
    <w:rsid w:val="00A06C2C"/>
    <w:rsid w:val="00A10C8E"/>
    <w:rsid w:val="00A138EA"/>
    <w:rsid w:val="00A1414D"/>
    <w:rsid w:val="00A15BB9"/>
    <w:rsid w:val="00A15E73"/>
    <w:rsid w:val="00A22022"/>
    <w:rsid w:val="00A24992"/>
    <w:rsid w:val="00A317D5"/>
    <w:rsid w:val="00A328B2"/>
    <w:rsid w:val="00A34437"/>
    <w:rsid w:val="00A346FE"/>
    <w:rsid w:val="00A362E7"/>
    <w:rsid w:val="00A36419"/>
    <w:rsid w:val="00A40417"/>
    <w:rsid w:val="00A413CA"/>
    <w:rsid w:val="00A4194E"/>
    <w:rsid w:val="00A43D15"/>
    <w:rsid w:val="00A44DAE"/>
    <w:rsid w:val="00A47937"/>
    <w:rsid w:val="00A51DF3"/>
    <w:rsid w:val="00A534E1"/>
    <w:rsid w:val="00A54963"/>
    <w:rsid w:val="00A54B12"/>
    <w:rsid w:val="00A55547"/>
    <w:rsid w:val="00A5590A"/>
    <w:rsid w:val="00A566F2"/>
    <w:rsid w:val="00A61F75"/>
    <w:rsid w:val="00A6266D"/>
    <w:rsid w:val="00A67465"/>
    <w:rsid w:val="00A7205B"/>
    <w:rsid w:val="00A72B13"/>
    <w:rsid w:val="00A730A2"/>
    <w:rsid w:val="00A73311"/>
    <w:rsid w:val="00A73A60"/>
    <w:rsid w:val="00A764A2"/>
    <w:rsid w:val="00A76EC8"/>
    <w:rsid w:val="00A8287D"/>
    <w:rsid w:val="00A83E80"/>
    <w:rsid w:val="00A86385"/>
    <w:rsid w:val="00A92700"/>
    <w:rsid w:val="00AA05EA"/>
    <w:rsid w:val="00AA0F1C"/>
    <w:rsid w:val="00AA2A0A"/>
    <w:rsid w:val="00AA406D"/>
    <w:rsid w:val="00AA5522"/>
    <w:rsid w:val="00AA563E"/>
    <w:rsid w:val="00AB0067"/>
    <w:rsid w:val="00AB09FE"/>
    <w:rsid w:val="00AB16B6"/>
    <w:rsid w:val="00AB16D9"/>
    <w:rsid w:val="00AB2C63"/>
    <w:rsid w:val="00AB5359"/>
    <w:rsid w:val="00AB5D7B"/>
    <w:rsid w:val="00AB6AE1"/>
    <w:rsid w:val="00AC113D"/>
    <w:rsid w:val="00AC296A"/>
    <w:rsid w:val="00AD002F"/>
    <w:rsid w:val="00AD0164"/>
    <w:rsid w:val="00AD0DF5"/>
    <w:rsid w:val="00AD0EA0"/>
    <w:rsid w:val="00AD0F4B"/>
    <w:rsid w:val="00AD1E98"/>
    <w:rsid w:val="00AD3B70"/>
    <w:rsid w:val="00AD540F"/>
    <w:rsid w:val="00AD5B0D"/>
    <w:rsid w:val="00AD7C9E"/>
    <w:rsid w:val="00AE0BA1"/>
    <w:rsid w:val="00AE1A0E"/>
    <w:rsid w:val="00AE6B15"/>
    <w:rsid w:val="00AF0C9C"/>
    <w:rsid w:val="00AF320E"/>
    <w:rsid w:val="00AF7018"/>
    <w:rsid w:val="00B025A4"/>
    <w:rsid w:val="00B025B0"/>
    <w:rsid w:val="00B123E5"/>
    <w:rsid w:val="00B12EBF"/>
    <w:rsid w:val="00B1324B"/>
    <w:rsid w:val="00B215B0"/>
    <w:rsid w:val="00B21CFA"/>
    <w:rsid w:val="00B22A2E"/>
    <w:rsid w:val="00B232D0"/>
    <w:rsid w:val="00B24A47"/>
    <w:rsid w:val="00B267A7"/>
    <w:rsid w:val="00B30042"/>
    <w:rsid w:val="00B31DA5"/>
    <w:rsid w:val="00B34492"/>
    <w:rsid w:val="00B42B6B"/>
    <w:rsid w:val="00B47FCF"/>
    <w:rsid w:val="00B52DA5"/>
    <w:rsid w:val="00B575A8"/>
    <w:rsid w:val="00B61EF2"/>
    <w:rsid w:val="00B646D4"/>
    <w:rsid w:val="00B65546"/>
    <w:rsid w:val="00B65A91"/>
    <w:rsid w:val="00B70700"/>
    <w:rsid w:val="00B72030"/>
    <w:rsid w:val="00B726E6"/>
    <w:rsid w:val="00B74158"/>
    <w:rsid w:val="00B742E4"/>
    <w:rsid w:val="00B75118"/>
    <w:rsid w:val="00B939E0"/>
    <w:rsid w:val="00BA1736"/>
    <w:rsid w:val="00BA28D3"/>
    <w:rsid w:val="00BA2AEE"/>
    <w:rsid w:val="00BA3FD0"/>
    <w:rsid w:val="00BA4596"/>
    <w:rsid w:val="00BA7111"/>
    <w:rsid w:val="00BB0FBD"/>
    <w:rsid w:val="00BB0FDE"/>
    <w:rsid w:val="00BB2F31"/>
    <w:rsid w:val="00BB6812"/>
    <w:rsid w:val="00BB70C7"/>
    <w:rsid w:val="00BC02B1"/>
    <w:rsid w:val="00BC0DBC"/>
    <w:rsid w:val="00BC0E71"/>
    <w:rsid w:val="00BC174F"/>
    <w:rsid w:val="00BC2D30"/>
    <w:rsid w:val="00BC3B87"/>
    <w:rsid w:val="00BC3E7B"/>
    <w:rsid w:val="00BC6988"/>
    <w:rsid w:val="00BD066A"/>
    <w:rsid w:val="00BD1354"/>
    <w:rsid w:val="00BD4624"/>
    <w:rsid w:val="00BE0433"/>
    <w:rsid w:val="00BE2880"/>
    <w:rsid w:val="00BE4DEE"/>
    <w:rsid w:val="00BE6085"/>
    <w:rsid w:val="00BE793A"/>
    <w:rsid w:val="00BF02B2"/>
    <w:rsid w:val="00BF0C9B"/>
    <w:rsid w:val="00BF29D7"/>
    <w:rsid w:val="00BF39BD"/>
    <w:rsid w:val="00BF3CC6"/>
    <w:rsid w:val="00BF46A0"/>
    <w:rsid w:val="00BF7021"/>
    <w:rsid w:val="00BF7C42"/>
    <w:rsid w:val="00C005CE"/>
    <w:rsid w:val="00C01419"/>
    <w:rsid w:val="00C01490"/>
    <w:rsid w:val="00C02BB5"/>
    <w:rsid w:val="00C11B2C"/>
    <w:rsid w:val="00C11B6E"/>
    <w:rsid w:val="00C15853"/>
    <w:rsid w:val="00C1670B"/>
    <w:rsid w:val="00C16CD4"/>
    <w:rsid w:val="00C217CD"/>
    <w:rsid w:val="00C227B9"/>
    <w:rsid w:val="00C22BF7"/>
    <w:rsid w:val="00C24FFC"/>
    <w:rsid w:val="00C25319"/>
    <w:rsid w:val="00C310EB"/>
    <w:rsid w:val="00C3520C"/>
    <w:rsid w:val="00C35233"/>
    <w:rsid w:val="00C363AF"/>
    <w:rsid w:val="00C367E7"/>
    <w:rsid w:val="00C36A95"/>
    <w:rsid w:val="00C41D3B"/>
    <w:rsid w:val="00C41F41"/>
    <w:rsid w:val="00C43906"/>
    <w:rsid w:val="00C47504"/>
    <w:rsid w:val="00C5500F"/>
    <w:rsid w:val="00C55A47"/>
    <w:rsid w:val="00C55F42"/>
    <w:rsid w:val="00C56765"/>
    <w:rsid w:val="00C57BAB"/>
    <w:rsid w:val="00C57E34"/>
    <w:rsid w:val="00C66854"/>
    <w:rsid w:val="00C72C60"/>
    <w:rsid w:val="00C73832"/>
    <w:rsid w:val="00C73F47"/>
    <w:rsid w:val="00C75395"/>
    <w:rsid w:val="00C807CC"/>
    <w:rsid w:val="00C82279"/>
    <w:rsid w:val="00C8429C"/>
    <w:rsid w:val="00C84AE4"/>
    <w:rsid w:val="00C85504"/>
    <w:rsid w:val="00C8613D"/>
    <w:rsid w:val="00C86CF0"/>
    <w:rsid w:val="00C8755B"/>
    <w:rsid w:val="00C87C0A"/>
    <w:rsid w:val="00C9030C"/>
    <w:rsid w:val="00C9526F"/>
    <w:rsid w:val="00C964A0"/>
    <w:rsid w:val="00C96F78"/>
    <w:rsid w:val="00CA179E"/>
    <w:rsid w:val="00CA1B9D"/>
    <w:rsid w:val="00CA382E"/>
    <w:rsid w:val="00CA6A13"/>
    <w:rsid w:val="00CA7A90"/>
    <w:rsid w:val="00CB0BD4"/>
    <w:rsid w:val="00CB66CD"/>
    <w:rsid w:val="00CC141F"/>
    <w:rsid w:val="00CC2F41"/>
    <w:rsid w:val="00CC30C0"/>
    <w:rsid w:val="00CC73FA"/>
    <w:rsid w:val="00CD120B"/>
    <w:rsid w:val="00CD202A"/>
    <w:rsid w:val="00CD23A5"/>
    <w:rsid w:val="00CD5816"/>
    <w:rsid w:val="00CD66AB"/>
    <w:rsid w:val="00CD6AE7"/>
    <w:rsid w:val="00CD76A8"/>
    <w:rsid w:val="00CE3B5C"/>
    <w:rsid w:val="00CE3F2A"/>
    <w:rsid w:val="00CE4AC5"/>
    <w:rsid w:val="00CF02B0"/>
    <w:rsid w:val="00CF3DA6"/>
    <w:rsid w:val="00CF7A50"/>
    <w:rsid w:val="00D01C86"/>
    <w:rsid w:val="00D01E80"/>
    <w:rsid w:val="00D02427"/>
    <w:rsid w:val="00D04B2C"/>
    <w:rsid w:val="00D05E50"/>
    <w:rsid w:val="00D06647"/>
    <w:rsid w:val="00D077F6"/>
    <w:rsid w:val="00D10189"/>
    <w:rsid w:val="00D10624"/>
    <w:rsid w:val="00D1155C"/>
    <w:rsid w:val="00D13B40"/>
    <w:rsid w:val="00D13EC8"/>
    <w:rsid w:val="00D159AD"/>
    <w:rsid w:val="00D164DE"/>
    <w:rsid w:val="00D16D0A"/>
    <w:rsid w:val="00D22A9E"/>
    <w:rsid w:val="00D259ED"/>
    <w:rsid w:val="00D311B4"/>
    <w:rsid w:val="00D31CAB"/>
    <w:rsid w:val="00D32C30"/>
    <w:rsid w:val="00D34EB3"/>
    <w:rsid w:val="00D43927"/>
    <w:rsid w:val="00D44B3F"/>
    <w:rsid w:val="00D44D46"/>
    <w:rsid w:val="00D51B24"/>
    <w:rsid w:val="00D5264F"/>
    <w:rsid w:val="00D56D91"/>
    <w:rsid w:val="00D56F7D"/>
    <w:rsid w:val="00D604C7"/>
    <w:rsid w:val="00D607F2"/>
    <w:rsid w:val="00D61934"/>
    <w:rsid w:val="00D63DA7"/>
    <w:rsid w:val="00D66E87"/>
    <w:rsid w:val="00D716DB"/>
    <w:rsid w:val="00D7186B"/>
    <w:rsid w:val="00D73E7C"/>
    <w:rsid w:val="00D7465A"/>
    <w:rsid w:val="00D816B0"/>
    <w:rsid w:val="00D8339A"/>
    <w:rsid w:val="00D84F59"/>
    <w:rsid w:val="00D85F8D"/>
    <w:rsid w:val="00D86391"/>
    <w:rsid w:val="00D86732"/>
    <w:rsid w:val="00D903DD"/>
    <w:rsid w:val="00D91A05"/>
    <w:rsid w:val="00D94351"/>
    <w:rsid w:val="00D9580A"/>
    <w:rsid w:val="00D97302"/>
    <w:rsid w:val="00D97648"/>
    <w:rsid w:val="00DA1E49"/>
    <w:rsid w:val="00DA49EF"/>
    <w:rsid w:val="00DA4B04"/>
    <w:rsid w:val="00DA641F"/>
    <w:rsid w:val="00DA6AC1"/>
    <w:rsid w:val="00DB0661"/>
    <w:rsid w:val="00DB090F"/>
    <w:rsid w:val="00DB0CC1"/>
    <w:rsid w:val="00DB0F2D"/>
    <w:rsid w:val="00DB1044"/>
    <w:rsid w:val="00DB1B1C"/>
    <w:rsid w:val="00DB3A99"/>
    <w:rsid w:val="00DC3C42"/>
    <w:rsid w:val="00DC57C2"/>
    <w:rsid w:val="00DC7297"/>
    <w:rsid w:val="00DC7DE8"/>
    <w:rsid w:val="00DD1B84"/>
    <w:rsid w:val="00DD4EAD"/>
    <w:rsid w:val="00DD51D0"/>
    <w:rsid w:val="00DD5303"/>
    <w:rsid w:val="00DD5F3A"/>
    <w:rsid w:val="00DD5FC6"/>
    <w:rsid w:val="00DD6AD0"/>
    <w:rsid w:val="00DE0C0E"/>
    <w:rsid w:val="00DE1BEF"/>
    <w:rsid w:val="00DE2523"/>
    <w:rsid w:val="00DE285D"/>
    <w:rsid w:val="00DE59AD"/>
    <w:rsid w:val="00DE5BAB"/>
    <w:rsid w:val="00DE6458"/>
    <w:rsid w:val="00DE6F51"/>
    <w:rsid w:val="00DF61A9"/>
    <w:rsid w:val="00DF68E6"/>
    <w:rsid w:val="00DF770A"/>
    <w:rsid w:val="00E006A9"/>
    <w:rsid w:val="00E00F67"/>
    <w:rsid w:val="00E04E80"/>
    <w:rsid w:val="00E06458"/>
    <w:rsid w:val="00E07B9E"/>
    <w:rsid w:val="00E12AF2"/>
    <w:rsid w:val="00E16165"/>
    <w:rsid w:val="00E2317E"/>
    <w:rsid w:val="00E24BC3"/>
    <w:rsid w:val="00E262EF"/>
    <w:rsid w:val="00E26313"/>
    <w:rsid w:val="00E26B0F"/>
    <w:rsid w:val="00E270C8"/>
    <w:rsid w:val="00E30C7A"/>
    <w:rsid w:val="00E31FB5"/>
    <w:rsid w:val="00E337A9"/>
    <w:rsid w:val="00E33948"/>
    <w:rsid w:val="00E35C54"/>
    <w:rsid w:val="00E35E31"/>
    <w:rsid w:val="00E36231"/>
    <w:rsid w:val="00E42265"/>
    <w:rsid w:val="00E5165C"/>
    <w:rsid w:val="00E535BE"/>
    <w:rsid w:val="00E54A91"/>
    <w:rsid w:val="00E55309"/>
    <w:rsid w:val="00E56D80"/>
    <w:rsid w:val="00E57677"/>
    <w:rsid w:val="00E60A27"/>
    <w:rsid w:val="00E61377"/>
    <w:rsid w:val="00E62948"/>
    <w:rsid w:val="00E62FD8"/>
    <w:rsid w:val="00E633BF"/>
    <w:rsid w:val="00E658E8"/>
    <w:rsid w:val="00E70D83"/>
    <w:rsid w:val="00E716A4"/>
    <w:rsid w:val="00E72FCB"/>
    <w:rsid w:val="00E73BA6"/>
    <w:rsid w:val="00E73ED4"/>
    <w:rsid w:val="00E754A9"/>
    <w:rsid w:val="00E770B8"/>
    <w:rsid w:val="00E81E8A"/>
    <w:rsid w:val="00E838FA"/>
    <w:rsid w:val="00E84013"/>
    <w:rsid w:val="00E8496D"/>
    <w:rsid w:val="00E85220"/>
    <w:rsid w:val="00E874CD"/>
    <w:rsid w:val="00E87A8D"/>
    <w:rsid w:val="00E87B0C"/>
    <w:rsid w:val="00E91E4E"/>
    <w:rsid w:val="00E91E6C"/>
    <w:rsid w:val="00E926C4"/>
    <w:rsid w:val="00E931E8"/>
    <w:rsid w:val="00E94928"/>
    <w:rsid w:val="00E94F7A"/>
    <w:rsid w:val="00E955E3"/>
    <w:rsid w:val="00E96173"/>
    <w:rsid w:val="00EA230D"/>
    <w:rsid w:val="00EA349A"/>
    <w:rsid w:val="00EB0A4A"/>
    <w:rsid w:val="00EB224C"/>
    <w:rsid w:val="00EB294D"/>
    <w:rsid w:val="00EB2BBA"/>
    <w:rsid w:val="00EB3F8C"/>
    <w:rsid w:val="00EB641A"/>
    <w:rsid w:val="00EB69F1"/>
    <w:rsid w:val="00EB6B77"/>
    <w:rsid w:val="00EC00CE"/>
    <w:rsid w:val="00EC0F1D"/>
    <w:rsid w:val="00ED07DC"/>
    <w:rsid w:val="00ED0DE6"/>
    <w:rsid w:val="00ED34DF"/>
    <w:rsid w:val="00ED372D"/>
    <w:rsid w:val="00ED3DC3"/>
    <w:rsid w:val="00ED4C4D"/>
    <w:rsid w:val="00EE292E"/>
    <w:rsid w:val="00EE3042"/>
    <w:rsid w:val="00EE4700"/>
    <w:rsid w:val="00EE5E9E"/>
    <w:rsid w:val="00EE6422"/>
    <w:rsid w:val="00EE7CB2"/>
    <w:rsid w:val="00EF05C4"/>
    <w:rsid w:val="00EF1394"/>
    <w:rsid w:val="00EF2238"/>
    <w:rsid w:val="00EF368A"/>
    <w:rsid w:val="00EF3E73"/>
    <w:rsid w:val="00EF6A6D"/>
    <w:rsid w:val="00F01A56"/>
    <w:rsid w:val="00F021FC"/>
    <w:rsid w:val="00F031AB"/>
    <w:rsid w:val="00F0375A"/>
    <w:rsid w:val="00F058AE"/>
    <w:rsid w:val="00F05B5D"/>
    <w:rsid w:val="00F073A6"/>
    <w:rsid w:val="00F07C2A"/>
    <w:rsid w:val="00F10886"/>
    <w:rsid w:val="00F11844"/>
    <w:rsid w:val="00F11C9B"/>
    <w:rsid w:val="00F130D7"/>
    <w:rsid w:val="00F13468"/>
    <w:rsid w:val="00F17BDB"/>
    <w:rsid w:val="00F20247"/>
    <w:rsid w:val="00F207BF"/>
    <w:rsid w:val="00F237BC"/>
    <w:rsid w:val="00F24C02"/>
    <w:rsid w:val="00F26DE3"/>
    <w:rsid w:val="00F27CB2"/>
    <w:rsid w:val="00F31861"/>
    <w:rsid w:val="00F33022"/>
    <w:rsid w:val="00F346E4"/>
    <w:rsid w:val="00F35D0A"/>
    <w:rsid w:val="00F4017A"/>
    <w:rsid w:val="00F40C98"/>
    <w:rsid w:val="00F41023"/>
    <w:rsid w:val="00F41AE2"/>
    <w:rsid w:val="00F426DC"/>
    <w:rsid w:val="00F42719"/>
    <w:rsid w:val="00F43185"/>
    <w:rsid w:val="00F4364D"/>
    <w:rsid w:val="00F50752"/>
    <w:rsid w:val="00F5386A"/>
    <w:rsid w:val="00F53ADD"/>
    <w:rsid w:val="00F579FF"/>
    <w:rsid w:val="00F62AA1"/>
    <w:rsid w:val="00F63C40"/>
    <w:rsid w:val="00F65E0E"/>
    <w:rsid w:val="00F66096"/>
    <w:rsid w:val="00F66BFF"/>
    <w:rsid w:val="00F71EB9"/>
    <w:rsid w:val="00F7217C"/>
    <w:rsid w:val="00F724C1"/>
    <w:rsid w:val="00F75B26"/>
    <w:rsid w:val="00F76005"/>
    <w:rsid w:val="00F764FE"/>
    <w:rsid w:val="00F76C3A"/>
    <w:rsid w:val="00F8234E"/>
    <w:rsid w:val="00F83563"/>
    <w:rsid w:val="00F85ACB"/>
    <w:rsid w:val="00F85B98"/>
    <w:rsid w:val="00F87BDE"/>
    <w:rsid w:val="00F91133"/>
    <w:rsid w:val="00F92A57"/>
    <w:rsid w:val="00F9604E"/>
    <w:rsid w:val="00F9606A"/>
    <w:rsid w:val="00F97977"/>
    <w:rsid w:val="00FA1EDF"/>
    <w:rsid w:val="00FA4290"/>
    <w:rsid w:val="00FB6472"/>
    <w:rsid w:val="00FB6808"/>
    <w:rsid w:val="00FB6F2C"/>
    <w:rsid w:val="00FC0BC3"/>
    <w:rsid w:val="00FC1734"/>
    <w:rsid w:val="00FC183F"/>
    <w:rsid w:val="00FC3803"/>
    <w:rsid w:val="00FC3EE4"/>
    <w:rsid w:val="00FC4202"/>
    <w:rsid w:val="00FC49BE"/>
    <w:rsid w:val="00FC5456"/>
    <w:rsid w:val="00FD1621"/>
    <w:rsid w:val="00FD1B36"/>
    <w:rsid w:val="00FD4986"/>
    <w:rsid w:val="00FD5C92"/>
    <w:rsid w:val="00FD6045"/>
    <w:rsid w:val="00FE1A94"/>
    <w:rsid w:val="00FE31B7"/>
    <w:rsid w:val="00FE3ED8"/>
    <w:rsid w:val="00FE459F"/>
    <w:rsid w:val="00FE5176"/>
    <w:rsid w:val="00FE52C6"/>
    <w:rsid w:val="00FE601B"/>
    <w:rsid w:val="00FE6411"/>
    <w:rsid w:val="00FE6985"/>
    <w:rsid w:val="00FE6CBC"/>
    <w:rsid w:val="00FE71E6"/>
    <w:rsid w:val="00FF0116"/>
    <w:rsid w:val="00FF0E61"/>
    <w:rsid w:val="00FF152B"/>
    <w:rsid w:val="00FF2D40"/>
    <w:rsid w:val="00FF64B6"/>
    <w:rsid w:val="01280A4F"/>
    <w:rsid w:val="017CCFBC"/>
    <w:rsid w:val="0226C2F4"/>
    <w:rsid w:val="0252905C"/>
    <w:rsid w:val="03420FC8"/>
    <w:rsid w:val="03651C17"/>
    <w:rsid w:val="067DD1D2"/>
    <w:rsid w:val="0756A03F"/>
    <w:rsid w:val="07A4C804"/>
    <w:rsid w:val="081A36CB"/>
    <w:rsid w:val="08CB3118"/>
    <w:rsid w:val="09409865"/>
    <w:rsid w:val="09B1514C"/>
    <w:rsid w:val="0A3C3849"/>
    <w:rsid w:val="0A9C42C7"/>
    <w:rsid w:val="0AC3B125"/>
    <w:rsid w:val="0AFD3C3E"/>
    <w:rsid w:val="0BEDD60B"/>
    <w:rsid w:val="0C45201A"/>
    <w:rsid w:val="0C6DA6BB"/>
    <w:rsid w:val="0C76A590"/>
    <w:rsid w:val="0E4149B6"/>
    <w:rsid w:val="0E4F101B"/>
    <w:rsid w:val="0E7CA313"/>
    <w:rsid w:val="0F540DE5"/>
    <w:rsid w:val="0F931B43"/>
    <w:rsid w:val="105351CE"/>
    <w:rsid w:val="11B967BD"/>
    <w:rsid w:val="1216DB09"/>
    <w:rsid w:val="15549C9C"/>
    <w:rsid w:val="166ACE81"/>
    <w:rsid w:val="1751E454"/>
    <w:rsid w:val="17865BD0"/>
    <w:rsid w:val="17D0601D"/>
    <w:rsid w:val="19FDCA5A"/>
    <w:rsid w:val="1A02128E"/>
    <w:rsid w:val="1A95225D"/>
    <w:rsid w:val="1B49F565"/>
    <w:rsid w:val="1B69D13C"/>
    <w:rsid w:val="1BE13017"/>
    <w:rsid w:val="1C7F21A7"/>
    <w:rsid w:val="1D29B57A"/>
    <w:rsid w:val="1E18F27B"/>
    <w:rsid w:val="21698FDF"/>
    <w:rsid w:val="221F2D4F"/>
    <w:rsid w:val="2231D63E"/>
    <w:rsid w:val="2231DE05"/>
    <w:rsid w:val="22591ADA"/>
    <w:rsid w:val="22822256"/>
    <w:rsid w:val="22A50235"/>
    <w:rsid w:val="22A70808"/>
    <w:rsid w:val="22F908EC"/>
    <w:rsid w:val="2344348E"/>
    <w:rsid w:val="2394D797"/>
    <w:rsid w:val="23A903E0"/>
    <w:rsid w:val="23FF580D"/>
    <w:rsid w:val="24116E9E"/>
    <w:rsid w:val="24DD7B15"/>
    <w:rsid w:val="24E004EF"/>
    <w:rsid w:val="25359D17"/>
    <w:rsid w:val="255EDE19"/>
    <w:rsid w:val="2590BB9C"/>
    <w:rsid w:val="25931998"/>
    <w:rsid w:val="26CA89CA"/>
    <w:rsid w:val="278CBBB4"/>
    <w:rsid w:val="2872D5FF"/>
    <w:rsid w:val="28FDBE73"/>
    <w:rsid w:val="2978BE7F"/>
    <w:rsid w:val="2A3308F0"/>
    <w:rsid w:val="2A5239B9"/>
    <w:rsid w:val="2B3B3D82"/>
    <w:rsid w:val="2B49D373"/>
    <w:rsid w:val="2C1EB5DD"/>
    <w:rsid w:val="2D4A8B53"/>
    <w:rsid w:val="2E3BC08E"/>
    <w:rsid w:val="2EBD2770"/>
    <w:rsid w:val="2F303F3E"/>
    <w:rsid w:val="2FF61D8A"/>
    <w:rsid w:val="3004BDF1"/>
    <w:rsid w:val="3179E557"/>
    <w:rsid w:val="33F1831C"/>
    <w:rsid w:val="34A256F2"/>
    <w:rsid w:val="354CBF26"/>
    <w:rsid w:val="35878850"/>
    <w:rsid w:val="35BBEE4B"/>
    <w:rsid w:val="35E15FA1"/>
    <w:rsid w:val="35E49C0C"/>
    <w:rsid w:val="3605982C"/>
    <w:rsid w:val="3726D81A"/>
    <w:rsid w:val="37BB5FCE"/>
    <w:rsid w:val="37C3C832"/>
    <w:rsid w:val="37EFC8DF"/>
    <w:rsid w:val="38857F3E"/>
    <w:rsid w:val="39AFA644"/>
    <w:rsid w:val="3A2565E0"/>
    <w:rsid w:val="3A329E31"/>
    <w:rsid w:val="3A44B49B"/>
    <w:rsid w:val="3A71350E"/>
    <w:rsid w:val="3AA51AD5"/>
    <w:rsid w:val="3AB82236"/>
    <w:rsid w:val="3B594ED2"/>
    <w:rsid w:val="3CF0BB80"/>
    <w:rsid w:val="3D2B42C8"/>
    <w:rsid w:val="3D4786C0"/>
    <w:rsid w:val="3D591F1E"/>
    <w:rsid w:val="3E517CB8"/>
    <w:rsid w:val="3F4A8DA9"/>
    <w:rsid w:val="3F77A595"/>
    <w:rsid w:val="3FC25368"/>
    <w:rsid w:val="3FDC74E7"/>
    <w:rsid w:val="40285C42"/>
    <w:rsid w:val="407D799D"/>
    <w:rsid w:val="41884417"/>
    <w:rsid w:val="421BD857"/>
    <w:rsid w:val="424F2D93"/>
    <w:rsid w:val="44AFE60A"/>
    <w:rsid w:val="44EC6590"/>
    <w:rsid w:val="45BDB0D3"/>
    <w:rsid w:val="466786AB"/>
    <w:rsid w:val="47DF6770"/>
    <w:rsid w:val="480B1112"/>
    <w:rsid w:val="4814BD34"/>
    <w:rsid w:val="48B2C77E"/>
    <w:rsid w:val="49182DEC"/>
    <w:rsid w:val="4930F1A2"/>
    <w:rsid w:val="4954C816"/>
    <w:rsid w:val="4B98FFF4"/>
    <w:rsid w:val="4CBF0193"/>
    <w:rsid w:val="4D34D055"/>
    <w:rsid w:val="4E941F4F"/>
    <w:rsid w:val="4EAE2560"/>
    <w:rsid w:val="4EC1B1B1"/>
    <w:rsid w:val="4F2F2F41"/>
    <w:rsid w:val="4F4B6CBE"/>
    <w:rsid w:val="4F662B6D"/>
    <w:rsid w:val="4F85699D"/>
    <w:rsid w:val="51E0B341"/>
    <w:rsid w:val="51EE1BC9"/>
    <w:rsid w:val="536D2B2C"/>
    <w:rsid w:val="53EA2CF0"/>
    <w:rsid w:val="541C9AC7"/>
    <w:rsid w:val="5465A8D6"/>
    <w:rsid w:val="54C97C00"/>
    <w:rsid w:val="54FC8F66"/>
    <w:rsid w:val="5656BC75"/>
    <w:rsid w:val="56C79992"/>
    <w:rsid w:val="56D13F30"/>
    <w:rsid w:val="57822D6D"/>
    <w:rsid w:val="5805B952"/>
    <w:rsid w:val="59105762"/>
    <w:rsid w:val="59568A84"/>
    <w:rsid w:val="5CD0B914"/>
    <w:rsid w:val="5D59B56B"/>
    <w:rsid w:val="5D7A27B7"/>
    <w:rsid w:val="5EA286C7"/>
    <w:rsid w:val="5EABFC51"/>
    <w:rsid w:val="5F8F0335"/>
    <w:rsid w:val="5FA580C0"/>
    <w:rsid w:val="601C2463"/>
    <w:rsid w:val="60B7F6F1"/>
    <w:rsid w:val="61AD1621"/>
    <w:rsid w:val="62325C25"/>
    <w:rsid w:val="628F4C81"/>
    <w:rsid w:val="6311FBF5"/>
    <w:rsid w:val="638CF43D"/>
    <w:rsid w:val="64514895"/>
    <w:rsid w:val="650722A0"/>
    <w:rsid w:val="652F05D8"/>
    <w:rsid w:val="685E5E4F"/>
    <w:rsid w:val="6922C36D"/>
    <w:rsid w:val="69F2F983"/>
    <w:rsid w:val="6A2D1A5B"/>
    <w:rsid w:val="6BE67A95"/>
    <w:rsid w:val="6C5D41EA"/>
    <w:rsid w:val="6CFAADFC"/>
    <w:rsid w:val="6D0294F1"/>
    <w:rsid w:val="6D87363C"/>
    <w:rsid w:val="6E087632"/>
    <w:rsid w:val="6E95FB9A"/>
    <w:rsid w:val="6F13971C"/>
    <w:rsid w:val="6F5090EB"/>
    <w:rsid w:val="6F58F2B2"/>
    <w:rsid w:val="7011AF12"/>
    <w:rsid w:val="70266B26"/>
    <w:rsid w:val="70320B6D"/>
    <w:rsid w:val="710CB7E4"/>
    <w:rsid w:val="717EE979"/>
    <w:rsid w:val="71D60614"/>
    <w:rsid w:val="722B3BBB"/>
    <w:rsid w:val="72E9201D"/>
    <w:rsid w:val="73FA37A3"/>
    <w:rsid w:val="741FE0C6"/>
    <w:rsid w:val="742C63D5"/>
    <w:rsid w:val="7496DAFA"/>
    <w:rsid w:val="765F1E63"/>
    <w:rsid w:val="77EA824B"/>
    <w:rsid w:val="787A5268"/>
    <w:rsid w:val="79AC9B29"/>
    <w:rsid w:val="7AE288F3"/>
    <w:rsid w:val="7B1DA2A6"/>
    <w:rsid w:val="7B28F6D3"/>
    <w:rsid w:val="7C0C3D69"/>
    <w:rsid w:val="7D1D313A"/>
    <w:rsid w:val="7DBEA3B0"/>
    <w:rsid w:val="7E19D828"/>
    <w:rsid w:val="7FC64F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856A4C"/>
  <w15:chartTrackingRefBased/>
  <w15:docId w15:val="{6176725C-5893-4D8C-A107-ECBEF5B7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lsdException w:name="toc 8"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9"/>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5"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60AB3"/>
    <w:pPr>
      <w:spacing w:after="0" w:line="240" w:lineRule="auto"/>
    </w:pPr>
    <w:rPr>
      <w:sz w:val="20"/>
    </w:rPr>
  </w:style>
  <w:style w:type="paragraph" w:styleId="Heading1">
    <w:name w:val="heading 1"/>
    <w:basedOn w:val="Normal"/>
    <w:next w:val="BodyText"/>
    <w:link w:val="Heading1Char"/>
    <w:uiPriority w:val="1"/>
    <w:qFormat/>
    <w:rsid w:val="00BF02B2"/>
    <w:pPr>
      <w:keepNext/>
      <w:keepLines/>
      <w:spacing w:before="240" w:after="120"/>
      <w:outlineLvl w:val="0"/>
    </w:pPr>
    <w:rPr>
      <w:rFonts w:asciiTheme="majorHAnsi" w:eastAsia="Arial" w:hAnsiTheme="majorHAnsi" w:cstheme="majorBidi"/>
      <w:color w:val="192E58" w:themeColor="accent1"/>
      <w:sz w:val="32"/>
      <w:szCs w:val="32"/>
      <w:lang w:val="en-US"/>
    </w:rPr>
  </w:style>
  <w:style w:type="paragraph" w:styleId="Heading2">
    <w:name w:val="heading 2"/>
    <w:basedOn w:val="Normal"/>
    <w:next w:val="BodyText"/>
    <w:link w:val="Heading2Char"/>
    <w:uiPriority w:val="1"/>
    <w:qFormat/>
    <w:rsid w:val="00BF02B2"/>
    <w:pPr>
      <w:keepNext/>
      <w:keepLines/>
      <w:spacing w:before="240" w:after="120"/>
      <w:outlineLvl w:val="1"/>
    </w:pPr>
    <w:rPr>
      <w:rFonts w:asciiTheme="majorHAnsi" w:eastAsiaTheme="majorEastAsia" w:hAnsiTheme="majorHAnsi" w:cstheme="majorBidi"/>
      <w:color w:val="192E58" w:themeColor="accent1"/>
      <w:sz w:val="24"/>
      <w:szCs w:val="26"/>
    </w:rPr>
  </w:style>
  <w:style w:type="paragraph" w:styleId="Heading3">
    <w:name w:val="heading 3"/>
    <w:basedOn w:val="Normal"/>
    <w:next w:val="BodyText"/>
    <w:link w:val="Heading3Char"/>
    <w:uiPriority w:val="1"/>
    <w:qFormat/>
    <w:rsid w:val="00BF02B2"/>
    <w:pPr>
      <w:keepNext/>
      <w:keepLines/>
      <w:spacing w:before="240" w:after="120"/>
      <w:outlineLvl w:val="2"/>
    </w:pPr>
    <w:rPr>
      <w:rFonts w:asciiTheme="majorHAnsi" w:eastAsiaTheme="majorEastAsia" w:hAnsiTheme="majorHAnsi" w:cstheme="majorBidi"/>
      <w:b/>
      <w:color w:val="192E58" w:themeColor="accent1"/>
      <w:szCs w:val="24"/>
    </w:rPr>
  </w:style>
  <w:style w:type="paragraph" w:styleId="Heading4">
    <w:name w:val="heading 4"/>
    <w:basedOn w:val="Normal"/>
    <w:next w:val="BodyText"/>
    <w:link w:val="Heading4Char"/>
    <w:uiPriority w:val="1"/>
    <w:qFormat/>
    <w:rsid w:val="00BF02B2"/>
    <w:pPr>
      <w:keepNext/>
      <w:keepLines/>
      <w:spacing w:before="240" w:after="120"/>
      <w:outlineLvl w:val="3"/>
    </w:pPr>
    <w:rPr>
      <w:rFonts w:asciiTheme="majorHAnsi" w:eastAsiaTheme="majorEastAsia" w:hAnsiTheme="majorHAnsi" w:cstheme="majorBidi"/>
      <w:i/>
      <w:iCs/>
      <w:color w:val="192E58" w:themeColor="accent1"/>
    </w:rPr>
  </w:style>
  <w:style w:type="paragraph" w:styleId="Heading5">
    <w:name w:val="heading 5"/>
    <w:basedOn w:val="Normal"/>
    <w:next w:val="BodyText"/>
    <w:link w:val="Heading5Char"/>
    <w:uiPriority w:val="1"/>
    <w:rsid w:val="005E7363"/>
    <w:pPr>
      <w:keepNext/>
      <w:keepLines/>
      <w:spacing w:before="240" w:after="120"/>
      <w:outlineLvl w:val="4"/>
    </w:pPr>
    <w:rPr>
      <w:rFonts w:asciiTheme="majorHAnsi" w:eastAsiaTheme="majorEastAsia" w:hAnsiTheme="majorHAnsi"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BodyText"/>
    <w:uiPriority w:val="2"/>
    <w:qFormat/>
    <w:rsid w:val="00DA6AC1"/>
    <w:pPr>
      <w:numPr>
        <w:numId w:val="5"/>
      </w:numPr>
      <w:spacing w:before="60" w:after="60"/>
    </w:pPr>
  </w:style>
  <w:style w:type="paragraph" w:customStyle="1" w:styleId="ListParagraph2">
    <w:name w:val="List Paragraph 2"/>
    <w:basedOn w:val="ListParagraph"/>
    <w:uiPriority w:val="19"/>
    <w:rsid w:val="005E7363"/>
    <w:pPr>
      <w:numPr>
        <w:ilvl w:val="1"/>
      </w:numPr>
    </w:pPr>
  </w:style>
  <w:style w:type="paragraph" w:customStyle="1" w:styleId="ListParagraph3">
    <w:name w:val="List Paragraph 3"/>
    <w:basedOn w:val="ListParagraph"/>
    <w:uiPriority w:val="19"/>
    <w:rsid w:val="005E7363"/>
    <w:pPr>
      <w:numPr>
        <w:ilvl w:val="2"/>
      </w:numPr>
    </w:pPr>
  </w:style>
  <w:style w:type="paragraph" w:customStyle="1" w:styleId="ListParagraph4">
    <w:name w:val="List Paragraph 4"/>
    <w:basedOn w:val="ListParagraph"/>
    <w:uiPriority w:val="19"/>
    <w:rsid w:val="005E7363"/>
    <w:pPr>
      <w:numPr>
        <w:ilvl w:val="3"/>
      </w:numPr>
    </w:pPr>
  </w:style>
  <w:style w:type="paragraph" w:customStyle="1" w:styleId="ListParagraph5">
    <w:name w:val="List Paragraph 5"/>
    <w:basedOn w:val="ListParagraph"/>
    <w:uiPriority w:val="19"/>
    <w:rsid w:val="005E7363"/>
    <w:pPr>
      <w:numPr>
        <w:ilvl w:val="4"/>
      </w:numPr>
    </w:pPr>
  </w:style>
  <w:style w:type="character" w:customStyle="1" w:styleId="Heading1Char">
    <w:name w:val="Heading 1 Char"/>
    <w:basedOn w:val="DefaultParagraphFont"/>
    <w:link w:val="Heading1"/>
    <w:uiPriority w:val="1"/>
    <w:rsid w:val="00BF02B2"/>
    <w:rPr>
      <w:rFonts w:asciiTheme="majorHAnsi" w:eastAsia="Arial" w:hAnsiTheme="majorHAnsi" w:cstheme="majorBidi"/>
      <w:color w:val="192E58" w:themeColor="accent1"/>
      <w:sz w:val="32"/>
      <w:szCs w:val="32"/>
      <w:lang w:val="en-US"/>
    </w:rPr>
  </w:style>
  <w:style w:type="paragraph" w:customStyle="1" w:styleId="NbrHeading1">
    <w:name w:val="Nbr Heading 1"/>
    <w:basedOn w:val="Heading1"/>
    <w:next w:val="BodyText"/>
    <w:uiPriority w:val="1"/>
    <w:semiHidden/>
    <w:qFormat/>
    <w:rsid w:val="00834296"/>
    <w:pPr>
      <w:numPr>
        <w:numId w:val="6"/>
      </w:numPr>
    </w:pPr>
  </w:style>
  <w:style w:type="character" w:customStyle="1" w:styleId="Heading2Char">
    <w:name w:val="Heading 2 Char"/>
    <w:basedOn w:val="DefaultParagraphFont"/>
    <w:link w:val="Heading2"/>
    <w:uiPriority w:val="1"/>
    <w:rsid w:val="00BF02B2"/>
    <w:rPr>
      <w:rFonts w:asciiTheme="majorHAnsi" w:eastAsiaTheme="majorEastAsia" w:hAnsiTheme="majorHAnsi" w:cstheme="majorBidi"/>
      <w:color w:val="192E58" w:themeColor="accent1"/>
      <w:sz w:val="24"/>
      <w:szCs w:val="26"/>
    </w:rPr>
  </w:style>
  <w:style w:type="paragraph" w:customStyle="1" w:styleId="NbrHeading2">
    <w:name w:val="Nbr Heading 2"/>
    <w:basedOn w:val="Heading2"/>
    <w:next w:val="BodyText"/>
    <w:uiPriority w:val="1"/>
    <w:semiHidden/>
    <w:qFormat/>
    <w:rsid w:val="00834296"/>
    <w:pPr>
      <w:numPr>
        <w:ilvl w:val="1"/>
        <w:numId w:val="6"/>
      </w:numPr>
    </w:pPr>
  </w:style>
  <w:style w:type="character" w:customStyle="1" w:styleId="Heading3Char">
    <w:name w:val="Heading 3 Char"/>
    <w:basedOn w:val="DefaultParagraphFont"/>
    <w:link w:val="Heading3"/>
    <w:uiPriority w:val="1"/>
    <w:rsid w:val="00BF02B2"/>
    <w:rPr>
      <w:rFonts w:asciiTheme="majorHAnsi" w:eastAsiaTheme="majorEastAsia" w:hAnsiTheme="majorHAnsi" w:cstheme="majorBidi"/>
      <w:b/>
      <w:color w:val="192E58" w:themeColor="accent1"/>
      <w:sz w:val="20"/>
      <w:szCs w:val="24"/>
    </w:rPr>
  </w:style>
  <w:style w:type="paragraph" w:customStyle="1" w:styleId="NbrHeading3">
    <w:name w:val="Nbr Heading 3"/>
    <w:basedOn w:val="Heading3"/>
    <w:next w:val="BodyText"/>
    <w:uiPriority w:val="1"/>
    <w:semiHidden/>
    <w:qFormat/>
    <w:rsid w:val="00834296"/>
    <w:pPr>
      <w:numPr>
        <w:ilvl w:val="2"/>
        <w:numId w:val="6"/>
      </w:numPr>
    </w:pPr>
  </w:style>
  <w:style w:type="character" w:customStyle="1" w:styleId="Heading4Char">
    <w:name w:val="Heading 4 Char"/>
    <w:basedOn w:val="DefaultParagraphFont"/>
    <w:link w:val="Heading4"/>
    <w:uiPriority w:val="1"/>
    <w:rsid w:val="00BF02B2"/>
    <w:rPr>
      <w:rFonts w:asciiTheme="majorHAnsi" w:eastAsiaTheme="majorEastAsia" w:hAnsiTheme="majorHAnsi" w:cstheme="majorBidi"/>
      <w:i/>
      <w:iCs/>
      <w:color w:val="192E58" w:themeColor="accent1"/>
      <w:sz w:val="20"/>
    </w:rPr>
  </w:style>
  <w:style w:type="paragraph" w:customStyle="1" w:styleId="NbrHeading4">
    <w:name w:val="Nbr Heading 4"/>
    <w:basedOn w:val="Heading4"/>
    <w:next w:val="BodyText"/>
    <w:uiPriority w:val="1"/>
    <w:semiHidden/>
    <w:qFormat/>
    <w:rsid w:val="00834296"/>
    <w:pPr>
      <w:numPr>
        <w:ilvl w:val="3"/>
        <w:numId w:val="6"/>
      </w:numPr>
    </w:pPr>
  </w:style>
  <w:style w:type="character" w:customStyle="1" w:styleId="Heading5Char">
    <w:name w:val="Heading 5 Char"/>
    <w:basedOn w:val="DefaultParagraphFont"/>
    <w:link w:val="Heading5"/>
    <w:uiPriority w:val="1"/>
    <w:rsid w:val="005E7363"/>
    <w:rPr>
      <w:rFonts w:asciiTheme="majorHAnsi" w:eastAsiaTheme="majorEastAsia" w:hAnsiTheme="majorHAnsi" w:cstheme="majorBidi"/>
      <w:i/>
    </w:rPr>
  </w:style>
  <w:style w:type="paragraph" w:customStyle="1" w:styleId="NbrHeading5">
    <w:name w:val="Nbr Heading 5"/>
    <w:basedOn w:val="Heading5"/>
    <w:next w:val="BodyText"/>
    <w:uiPriority w:val="1"/>
    <w:semiHidden/>
    <w:qFormat/>
    <w:rsid w:val="00834296"/>
    <w:pPr>
      <w:numPr>
        <w:ilvl w:val="4"/>
        <w:numId w:val="6"/>
      </w:numPr>
    </w:pPr>
  </w:style>
  <w:style w:type="paragraph" w:styleId="Caption">
    <w:name w:val="caption"/>
    <w:basedOn w:val="Normal"/>
    <w:next w:val="FigureStyle"/>
    <w:uiPriority w:val="6"/>
    <w:qFormat/>
    <w:rsid w:val="000E0269"/>
    <w:pPr>
      <w:tabs>
        <w:tab w:val="left" w:pos="1134"/>
      </w:tabs>
      <w:spacing w:before="120" w:after="240"/>
      <w:ind w:left="1134" w:hanging="1134"/>
      <w:jc w:val="center"/>
    </w:pPr>
    <w:rPr>
      <w:iCs/>
      <w:color w:val="473192" w:themeColor="text2"/>
      <w:sz w:val="16"/>
      <w:szCs w:val="18"/>
    </w:rPr>
  </w:style>
  <w:style w:type="paragraph" w:customStyle="1" w:styleId="TableCaption">
    <w:name w:val="Table Caption"/>
    <w:basedOn w:val="BodyText"/>
    <w:next w:val="BodyText"/>
    <w:uiPriority w:val="6"/>
    <w:qFormat/>
    <w:rsid w:val="000E0269"/>
    <w:pPr>
      <w:keepNext/>
      <w:tabs>
        <w:tab w:val="left" w:pos="1134"/>
      </w:tabs>
      <w:spacing w:before="240" w:line="240" w:lineRule="auto"/>
      <w:ind w:left="1134" w:hanging="1134"/>
    </w:pPr>
    <w:rPr>
      <w:color w:val="473192" w:themeColor="text2"/>
      <w:sz w:val="16"/>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834296"/>
    <w:pPr>
      <w:spacing w:before="120" w:after="120" w:line="264" w:lineRule="auto"/>
    </w:pPr>
  </w:style>
  <w:style w:type="character" w:customStyle="1" w:styleId="BodyTextChar">
    <w:name w:val="Body Text Char"/>
    <w:basedOn w:val="DefaultParagraphFont"/>
    <w:link w:val="BodyText"/>
    <w:rsid w:val="00834296"/>
  </w:style>
  <w:style w:type="paragraph" w:customStyle="1" w:styleId="FigureStyle">
    <w:name w:val="Figure Style"/>
    <w:basedOn w:val="Normal"/>
    <w:next w:val="BodyText"/>
    <w:uiPriority w:val="6"/>
    <w:qFormat/>
    <w:rsid w:val="002524B7"/>
    <w:pPr>
      <w:keepNext/>
      <w:spacing w:before="240" w:after="120"/>
      <w:jc w:val="center"/>
    </w:pPr>
  </w:style>
  <w:style w:type="paragraph" w:styleId="ListBullet0">
    <w:name w:val="List Bullet"/>
    <w:basedOn w:val="BodyText"/>
    <w:uiPriority w:val="2"/>
    <w:qFormat/>
    <w:rsid w:val="00DA6AC1"/>
    <w:pPr>
      <w:numPr>
        <w:numId w:val="11"/>
      </w:numPr>
      <w:spacing w:before="60" w:after="60"/>
    </w:pPr>
  </w:style>
  <w:style w:type="numbering" w:customStyle="1" w:styleId="ListBullet">
    <w:name w:val="List_Bullet"/>
    <w:uiPriority w:val="99"/>
    <w:rsid w:val="001E544B"/>
    <w:pPr>
      <w:numPr>
        <w:numId w:val="1"/>
      </w:numPr>
    </w:pPr>
  </w:style>
  <w:style w:type="paragraph" w:customStyle="1" w:styleId="ListBullet6">
    <w:name w:val="List Bullet 6"/>
    <w:basedOn w:val="ListBullet0"/>
    <w:uiPriority w:val="19"/>
    <w:rsid w:val="006C0E44"/>
    <w:pPr>
      <w:numPr>
        <w:ilvl w:val="5"/>
      </w:numPr>
    </w:pPr>
  </w:style>
  <w:style w:type="paragraph" w:styleId="ListBullet2">
    <w:name w:val="List Bullet 2"/>
    <w:basedOn w:val="ListBullet0"/>
    <w:uiPriority w:val="19"/>
    <w:rsid w:val="006C0E44"/>
    <w:pPr>
      <w:numPr>
        <w:ilvl w:val="1"/>
      </w:numPr>
    </w:pPr>
  </w:style>
  <w:style w:type="paragraph" w:styleId="ListBullet3">
    <w:name w:val="List Bullet 3"/>
    <w:basedOn w:val="ListBullet0"/>
    <w:uiPriority w:val="19"/>
    <w:rsid w:val="006C0E44"/>
    <w:pPr>
      <w:numPr>
        <w:ilvl w:val="2"/>
      </w:numPr>
      <w:tabs>
        <w:tab w:val="clear" w:pos="1275"/>
        <w:tab w:val="num" w:pos="360"/>
      </w:tabs>
      <w:ind w:left="425"/>
    </w:pPr>
  </w:style>
  <w:style w:type="paragraph" w:styleId="ListBullet4">
    <w:name w:val="List Bullet 4"/>
    <w:basedOn w:val="ListBullet0"/>
    <w:uiPriority w:val="19"/>
    <w:rsid w:val="006C0E44"/>
    <w:pPr>
      <w:numPr>
        <w:ilvl w:val="3"/>
      </w:numPr>
    </w:pPr>
  </w:style>
  <w:style w:type="paragraph" w:styleId="ListBullet5">
    <w:name w:val="List Bullet 5"/>
    <w:basedOn w:val="ListBullet0"/>
    <w:uiPriority w:val="19"/>
    <w:rsid w:val="006C0E44"/>
    <w:pPr>
      <w:numPr>
        <w:ilvl w:val="4"/>
      </w:numPr>
      <w:tabs>
        <w:tab w:val="clear" w:pos="2125"/>
        <w:tab w:val="num" w:pos="360"/>
      </w:tabs>
      <w:ind w:left="425"/>
    </w:pPr>
  </w:style>
  <w:style w:type="paragraph" w:styleId="ListNumber0">
    <w:name w:val="List Number"/>
    <w:basedOn w:val="BodyText"/>
    <w:uiPriority w:val="2"/>
    <w:qFormat/>
    <w:rsid w:val="00DA6AC1"/>
    <w:pPr>
      <w:numPr>
        <w:numId w:val="13"/>
      </w:numPr>
      <w:spacing w:before="60" w:after="60"/>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
    <w:uiPriority w:val="19"/>
    <w:rsid w:val="005E7363"/>
    <w:pPr>
      <w:numPr>
        <w:ilvl w:val="5"/>
      </w:numPr>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2"/>
      </w:numPr>
    </w:pPr>
  </w:style>
  <w:style w:type="numbering" w:customStyle="1" w:styleId="ListParagraph0">
    <w:name w:val="List Paragraph0"/>
    <w:uiPriority w:val="99"/>
    <w:rsid w:val="005E7363"/>
    <w:pPr>
      <w:numPr>
        <w:numId w:val="3"/>
      </w:numPr>
    </w:pPr>
  </w:style>
  <w:style w:type="paragraph" w:customStyle="1" w:styleId="ListAlpha0">
    <w:name w:val="List Alpha"/>
    <w:basedOn w:val="BodyText"/>
    <w:uiPriority w:val="2"/>
    <w:qFormat/>
    <w:rsid w:val="00DA6AC1"/>
    <w:pPr>
      <w:numPr>
        <w:numId w:val="12"/>
      </w:numPr>
      <w:spacing w:before="60" w:after="60"/>
    </w:pPr>
  </w:style>
  <w:style w:type="paragraph" w:customStyle="1" w:styleId="ListAlpha2">
    <w:name w:val="List Alpha 2"/>
    <w:basedOn w:val="ListAlpha0"/>
    <w:uiPriority w:val="19"/>
    <w:rsid w:val="007C38B8"/>
    <w:pPr>
      <w:numPr>
        <w:ilvl w:val="1"/>
      </w:numPr>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4"/>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rsid w:val="00D16D0A"/>
    <w:pPr>
      <w:spacing w:before="240" w:after="240"/>
    </w:pPr>
    <w:rPr>
      <w:rFonts w:asciiTheme="majorHAnsi" w:eastAsiaTheme="majorEastAsia" w:hAnsiTheme="majorHAnsi" w:cstheme="majorBidi"/>
      <w:b/>
      <w:color w:val="192E58" w:themeColor="accent1"/>
      <w:kern w:val="28"/>
      <w:sz w:val="64"/>
      <w:szCs w:val="56"/>
    </w:rPr>
  </w:style>
  <w:style w:type="character" w:customStyle="1" w:styleId="TitleChar">
    <w:name w:val="Title Char"/>
    <w:basedOn w:val="DefaultParagraphFont"/>
    <w:link w:val="Title"/>
    <w:uiPriority w:val="10"/>
    <w:rsid w:val="00D16D0A"/>
    <w:rPr>
      <w:rFonts w:asciiTheme="majorHAnsi" w:eastAsiaTheme="majorEastAsia" w:hAnsiTheme="majorHAnsi" w:cstheme="majorBidi"/>
      <w:b/>
      <w:color w:val="192E58" w:themeColor="accent1"/>
      <w:kern w:val="28"/>
      <w:sz w:val="64"/>
      <w:szCs w:val="56"/>
    </w:rPr>
  </w:style>
  <w:style w:type="paragraph" w:styleId="Subtitle">
    <w:name w:val="Subtitle"/>
    <w:basedOn w:val="Normal"/>
    <w:next w:val="BodyText"/>
    <w:link w:val="SubtitleChar"/>
    <w:uiPriority w:val="11"/>
    <w:rsid w:val="00D16D0A"/>
    <w:pPr>
      <w:numPr>
        <w:ilvl w:val="1"/>
      </w:numPr>
      <w:spacing w:before="240" w:after="240"/>
    </w:pPr>
    <w:rPr>
      <w:rFonts w:eastAsiaTheme="minorEastAsia"/>
      <w:color w:val="192E58" w:themeColor="accent1"/>
      <w:sz w:val="36"/>
    </w:rPr>
  </w:style>
  <w:style w:type="character" w:customStyle="1" w:styleId="SubtitleChar">
    <w:name w:val="Subtitle Char"/>
    <w:basedOn w:val="DefaultParagraphFont"/>
    <w:link w:val="Subtitle"/>
    <w:uiPriority w:val="11"/>
    <w:rsid w:val="00D16D0A"/>
    <w:rPr>
      <w:rFonts w:eastAsiaTheme="minorEastAsia"/>
      <w:color w:val="192E58" w:themeColor="accent1"/>
      <w:sz w:val="36"/>
    </w:rPr>
  </w:style>
  <w:style w:type="paragraph" w:styleId="TOCHeading">
    <w:name w:val="TOC Heading"/>
    <w:basedOn w:val="Heading1"/>
    <w:next w:val="Normal"/>
    <w:uiPriority w:val="39"/>
    <w:semiHidden/>
    <w:rsid w:val="00B742E4"/>
    <w:pPr>
      <w:spacing w:before="480"/>
      <w:outlineLvl w:val="9"/>
    </w:pPr>
  </w:style>
  <w:style w:type="paragraph" w:styleId="TOC4">
    <w:name w:val="toc 4"/>
    <w:basedOn w:val="TOC1"/>
    <w:next w:val="Normal"/>
    <w:uiPriority w:val="39"/>
    <w:semiHidden/>
    <w:rsid w:val="00B742E4"/>
    <w:pPr>
      <w:tabs>
        <w:tab w:val="left" w:pos="851"/>
      </w:tabs>
      <w:spacing w:after="100"/>
    </w:pPr>
  </w:style>
  <w:style w:type="paragraph" w:styleId="TOC5">
    <w:name w:val="toc 5"/>
    <w:basedOn w:val="TOC2"/>
    <w:next w:val="Normal"/>
    <w:uiPriority w:val="39"/>
    <w:semiHidden/>
    <w:rsid w:val="00B742E4"/>
    <w:pPr>
      <w:tabs>
        <w:tab w:val="left" w:pos="851"/>
      </w:tabs>
      <w:spacing w:after="100"/>
    </w:pPr>
  </w:style>
  <w:style w:type="paragraph" w:styleId="TOC1">
    <w:name w:val="toc 1"/>
    <w:basedOn w:val="Normal"/>
    <w:next w:val="Normal"/>
    <w:uiPriority w:val="39"/>
    <w:semiHidden/>
    <w:rsid w:val="00B742E4"/>
    <w:pPr>
      <w:tabs>
        <w:tab w:val="right" w:leader="dot" w:pos="9639"/>
      </w:tabs>
      <w:spacing w:before="120" w:after="60"/>
    </w:pPr>
    <w:rPr>
      <w:b/>
    </w:rPr>
  </w:style>
  <w:style w:type="paragraph" w:styleId="TOC6">
    <w:name w:val="toc 6"/>
    <w:basedOn w:val="TOC3"/>
    <w:next w:val="Normal"/>
    <w:uiPriority w:val="39"/>
    <w:semiHidden/>
    <w:rsid w:val="00FC0BC3"/>
    <w:pPr>
      <w:tabs>
        <w:tab w:val="left" w:pos="851"/>
      </w:tabs>
      <w:spacing w:after="100"/>
    </w:pPr>
  </w:style>
  <w:style w:type="paragraph" w:styleId="Quote">
    <w:name w:val="Quote"/>
    <w:basedOn w:val="BodyText"/>
    <w:next w:val="Normal"/>
    <w:link w:val="QuoteChar"/>
    <w:uiPriority w:val="8"/>
    <w:rsid w:val="00AD0164"/>
    <w:pPr>
      <w:pBdr>
        <w:top w:val="single" w:sz="8" w:space="6" w:color="F15A22" w:themeColor="accent2"/>
        <w:bottom w:val="single" w:sz="8" w:space="6" w:color="F15A22" w:themeColor="accent2"/>
      </w:pBdr>
      <w:spacing w:before="240" w:after="240"/>
    </w:pPr>
    <w:rPr>
      <w:iCs/>
      <w:color w:val="F15A22" w:themeColor="accent2"/>
    </w:rPr>
  </w:style>
  <w:style w:type="paragraph" w:styleId="TOC2">
    <w:name w:val="toc 2"/>
    <w:basedOn w:val="Normal"/>
    <w:next w:val="Normal"/>
    <w:uiPriority w:val="39"/>
    <w:semiHidden/>
    <w:rsid w:val="00B742E4"/>
    <w:pPr>
      <w:tabs>
        <w:tab w:val="right" w:leader="dot" w:pos="9639"/>
      </w:tabs>
      <w:spacing w:before="60" w:after="60"/>
    </w:pPr>
  </w:style>
  <w:style w:type="paragraph" w:styleId="TOC3">
    <w:name w:val="toc 3"/>
    <w:basedOn w:val="Normal"/>
    <w:next w:val="Normal"/>
    <w:uiPriority w:val="39"/>
    <w:semiHidden/>
    <w:rsid w:val="00B742E4"/>
    <w:pPr>
      <w:tabs>
        <w:tab w:val="right" w:leader="dot" w:pos="9639"/>
      </w:tabs>
      <w:spacing w:before="20" w:after="20"/>
    </w:pPr>
  </w:style>
  <w:style w:type="character" w:customStyle="1" w:styleId="QuoteChar">
    <w:name w:val="Quote Char"/>
    <w:basedOn w:val="DefaultParagraphFont"/>
    <w:link w:val="Quote"/>
    <w:uiPriority w:val="8"/>
    <w:rsid w:val="00AD0164"/>
    <w:rPr>
      <w:iCs/>
      <w:color w:val="F15A22" w:themeColor="accent2"/>
      <w:sz w:val="20"/>
    </w:rPr>
  </w:style>
  <w:style w:type="paragraph" w:styleId="Footer">
    <w:name w:val="footer"/>
    <w:basedOn w:val="Normal"/>
    <w:link w:val="FooterChar"/>
    <w:uiPriority w:val="99"/>
    <w:rsid w:val="00FB6F2C"/>
    <w:pPr>
      <w:tabs>
        <w:tab w:val="center" w:pos="4513"/>
        <w:tab w:val="right" w:pos="9026"/>
      </w:tabs>
      <w:jc w:val="center"/>
    </w:pPr>
    <w:rPr>
      <w:b/>
      <w:color w:val="192E58" w:themeColor="accent1"/>
      <w:sz w:val="18"/>
    </w:rPr>
  </w:style>
  <w:style w:type="character" w:customStyle="1" w:styleId="FooterChar">
    <w:name w:val="Footer Char"/>
    <w:basedOn w:val="DefaultParagraphFont"/>
    <w:link w:val="Footer"/>
    <w:uiPriority w:val="99"/>
    <w:rsid w:val="00FB6F2C"/>
    <w:rPr>
      <w:b/>
      <w:color w:val="192E58" w:themeColor="accent1"/>
      <w:sz w:val="18"/>
    </w:rPr>
  </w:style>
  <w:style w:type="paragraph" w:styleId="Header">
    <w:name w:val="header"/>
    <w:basedOn w:val="Normal"/>
    <w:link w:val="HeaderChar"/>
    <w:uiPriority w:val="99"/>
    <w:rsid w:val="001403F1"/>
    <w:pPr>
      <w:tabs>
        <w:tab w:val="center" w:pos="4513"/>
        <w:tab w:val="right" w:pos="9026"/>
      </w:tabs>
    </w:pPr>
    <w:rPr>
      <w:color w:val="192E58" w:themeColor="accent1"/>
      <w:sz w:val="16"/>
    </w:rPr>
  </w:style>
  <w:style w:type="character" w:customStyle="1" w:styleId="HeaderChar">
    <w:name w:val="Header Char"/>
    <w:basedOn w:val="DefaultParagraphFont"/>
    <w:link w:val="Header"/>
    <w:uiPriority w:val="99"/>
    <w:rsid w:val="001403F1"/>
    <w:rPr>
      <w:color w:val="192E58" w:themeColor="accent1"/>
      <w:sz w:val="16"/>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LinedTable">
    <w:name w:val="Lined Table"/>
    <w:basedOn w:val="TableNormal"/>
    <w:uiPriority w:val="99"/>
    <w:rsid w:val="0082734D"/>
    <w:pPr>
      <w:spacing w:after="0" w:line="240" w:lineRule="auto"/>
    </w:pPr>
    <w:tblPr>
      <w:tblStyleRowBandSize w:val="1"/>
      <w:tblStyleColBandSize w:val="1"/>
      <w:tblBorders>
        <w:top w:val="single" w:sz="12" w:space="0" w:color="192E58" w:themeColor="accent1"/>
        <w:bottom w:val="single" w:sz="12" w:space="0" w:color="192E58" w:themeColor="accent1"/>
        <w:insideH w:val="single" w:sz="4" w:space="0" w:color="192E58" w:themeColor="accent1"/>
      </w:tblBorders>
      <w:tblCellMar>
        <w:left w:w="0" w:type="dxa"/>
        <w:right w:w="0" w:type="dxa"/>
      </w:tblCellMar>
    </w:tblPr>
    <w:tblStylePr w:type="firstRow">
      <w:rPr>
        <w:color w:val="192E58" w:themeColor="accent1"/>
      </w:rPr>
      <w:tblPr/>
      <w:tcPr>
        <w:tcBorders>
          <w:top w:val="single" w:sz="12" w:space="0" w:color="192E58" w:themeColor="accent1"/>
          <w:left w:val="nil"/>
          <w:bottom w:val="single" w:sz="12" w:space="0" w:color="192E58" w:themeColor="accent1"/>
          <w:right w:val="nil"/>
          <w:insideH w:val="nil"/>
          <w:insideV w:val="nil"/>
          <w:tl2br w:val="nil"/>
          <w:tr2bl w:val="nil"/>
        </w:tcBorders>
      </w:tcPr>
    </w:tblStylePr>
    <w:tblStylePr w:type="lastRow">
      <w:tblPr/>
      <w:tcPr>
        <w:shd w:val="clear" w:color="auto" w:fill="F2F2F2" w:themeFill="background1" w:themeFillShade="F2"/>
      </w:tcPr>
    </w:tblStylePr>
    <w:tblStylePr w:type="firstCol">
      <w:rPr>
        <w:color w:val="192E58" w:themeColor="accent1"/>
      </w:r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Text">
    <w:name w:val="Table Text"/>
    <w:basedOn w:val="Normal"/>
    <w:uiPriority w:val="3"/>
    <w:qFormat/>
    <w:rsid w:val="00B025B0"/>
    <w:pPr>
      <w:spacing w:before="60" w:after="60"/>
      <w:ind w:left="113" w:right="113"/>
    </w:pPr>
  </w:style>
  <w:style w:type="paragraph" w:customStyle="1" w:styleId="TableHeading">
    <w:name w:val="Table Heading"/>
    <w:basedOn w:val="TableText"/>
    <w:uiPriority w:val="3"/>
    <w:qFormat/>
    <w:rsid w:val="00560AB3"/>
    <w:rPr>
      <w:b/>
      <w:color w:val="192E58" w:themeColor="accent1"/>
    </w:rPr>
  </w:style>
  <w:style w:type="paragraph" w:customStyle="1" w:styleId="TableBullet">
    <w:name w:val="Table Bullet"/>
    <w:basedOn w:val="TableText"/>
    <w:uiPriority w:val="4"/>
    <w:qFormat/>
    <w:rsid w:val="00B025B0"/>
    <w:pPr>
      <w:numPr>
        <w:numId w:val="14"/>
      </w:numPr>
    </w:pPr>
  </w:style>
  <w:style w:type="paragraph" w:customStyle="1" w:styleId="TableBullet2">
    <w:name w:val="Table Bullet 2"/>
    <w:basedOn w:val="TableBullet"/>
    <w:uiPriority w:val="19"/>
    <w:rsid w:val="00B025B0"/>
    <w:pPr>
      <w:numPr>
        <w:ilvl w:val="1"/>
      </w:numPr>
    </w:pPr>
  </w:style>
  <w:style w:type="paragraph" w:customStyle="1" w:styleId="TableNumber">
    <w:name w:val="Table Number"/>
    <w:basedOn w:val="TableText"/>
    <w:uiPriority w:val="4"/>
    <w:qFormat/>
    <w:rsid w:val="00B025B0"/>
    <w:pPr>
      <w:numPr>
        <w:numId w:val="15"/>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semiHidden/>
    <w:rsid w:val="00E87A8D"/>
    <w:pPr>
      <w:spacing w:before="240" w:after="240" w:line="264" w:lineRule="auto"/>
    </w:pPr>
    <w:rPr>
      <w:b/>
      <w:sz w:val="24"/>
    </w:rPr>
  </w:style>
  <w:style w:type="paragraph" w:customStyle="1" w:styleId="AppendixH1">
    <w:name w:val="Appendix H1"/>
    <w:basedOn w:val="Heading1"/>
    <w:next w:val="BodyText"/>
    <w:uiPriority w:val="14"/>
    <w:semiHidden/>
    <w:qFormat/>
    <w:rsid w:val="00862690"/>
    <w:pPr>
      <w:pageBreakBefore/>
      <w:numPr>
        <w:numId w:val="9"/>
      </w:numPr>
    </w:pPr>
  </w:style>
  <w:style w:type="paragraph" w:customStyle="1" w:styleId="AppendixH2">
    <w:name w:val="Appendix H2"/>
    <w:basedOn w:val="Heading2"/>
    <w:next w:val="BodyText"/>
    <w:uiPriority w:val="14"/>
    <w:semiHidden/>
    <w:qFormat/>
    <w:rsid w:val="00E87A8D"/>
    <w:pPr>
      <w:numPr>
        <w:ilvl w:val="1"/>
        <w:numId w:val="9"/>
      </w:numPr>
    </w:pPr>
  </w:style>
  <w:style w:type="paragraph" w:customStyle="1" w:styleId="AppendixH3">
    <w:name w:val="Appendix H3"/>
    <w:basedOn w:val="Heading3"/>
    <w:next w:val="BodyText"/>
    <w:uiPriority w:val="14"/>
    <w:semiHidden/>
    <w:qFormat/>
    <w:rsid w:val="00E87A8D"/>
    <w:pPr>
      <w:numPr>
        <w:ilvl w:val="2"/>
        <w:numId w:val="9"/>
      </w:numPr>
    </w:pPr>
  </w:style>
  <w:style w:type="numbering" w:customStyle="1" w:styleId="ListAppendix">
    <w:name w:val="List_Appendix"/>
    <w:uiPriority w:val="99"/>
    <w:rsid w:val="00E87A8D"/>
    <w:pPr>
      <w:numPr>
        <w:numId w:val="9"/>
      </w:numPr>
    </w:pPr>
  </w:style>
  <w:style w:type="paragraph" w:styleId="TOC8">
    <w:name w:val="toc 8"/>
    <w:basedOn w:val="TOC2"/>
    <w:next w:val="Normal"/>
    <w:uiPriority w:val="39"/>
    <w:semiHidden/>
    <w:rsid w:val="00B742E4"/>
    <w:pPr>
      <w:tabs>
        <w:tab w:val="left" w:pos="1701"/>
      </w:tabs>
    </w:pPr>
  </w:style>
  <w:style w:type="paragraph" w:styleId="TableofFigures">
    <w:name w:val="table of figures"/>
    <w:basedOn w:val="Normal"/>
    <w:next w:val="Normal"/>
    <w:uiPriority w:val="99"/>
    <w:unhideWhenUsed/>
    <w:rsid w:val="00B742E4"/>
    <w:pPr>
      <w:tabs>
        <w:tab w:val="left" w:pos="1134"/>
        <w:tab w:val="right" w:leader="dot" w:pos="9628"/>
      </w:tabs>
      <w:spacing w:before="60" w:after="60"/>
      <w:ind w:left="1134" w:hanging="1134"/>
    </w:pPr>
  </w:style>
  <w:style w:type="character" w:styleId="Hyperlink">
    <w:name w:val="Hyperlink"/>
    <w:basedOn w:val="DefaultParagraphFont"/>
    <w:uiPriority w:val="15"/>
    <w:rsid w:val="00B742E4"/>
    <w:rPr>
      <w:color w:val="192E58" w:themeColor="hyperlink"/>
      <w:u w:val="single"/>
    </w:rPr>
  </w:style>
  <w:style w:type="numbering" w:customStyle="1" w:styleId="ListNumberedHeadings">
    <w:name w:val="List_NumberedHeadings"/>
    <w:uiPriority w:val="99"/>
    <w:rsid w:val="006C0E44"/>
    <w:pPr>
      <w:numPr>
        <w:numId w:val="10"/>
      </w:numPr>
    </w:pPr>
  </w:style>
  <w:style w:type="character" w:customStyle="1" w:styleId="UnresolvedMention1">
    <w:name w:val="Unresolved Mention1"/>
    <w:basedOn w:val="DefaultParagraphFont"/>
    <w:uiPriority w:val="99"/>
    <w:semiHidden/>
    <w:unhideWhenUsed/>
    <w:rsid w:val="00AF320E"/>
    <w:rPr>
      <w:color w:val="808080"/>
      <w:shd w:val="clear" w:color="auto" w:fill="E6E6E6"/>
    </w:rPr>
  </w:style>
  <w:style w:type="paragraph" w:styleId="Date">
    <w:name w:val="Date"/>
    <w:basedOn w:val="Normal"/>
    <w:next w:val="Normal"/>
    <w:link w:val="DateChar"/>
    <w:uiPriority w:val="9"/>
    <w:semiHidden/>
    <w:rsid w:val="00DA6AC1"/>
    <w:pPr>
      <w:spacing w:after="240"/>
    </w:pPr>
    <w:rPr>
      <w:i/>
      <w:sz w:val="19"/>
      <w:szCs w:val="19"/>
    </w:rPr>
  </w:style>
  <w:style w:type="character" w:customStyle="1" w:styleId="DateChar">
    <w:name w:val="Date Char"/>
    <w:basedOn w:val="DefaultParagraphFont"/>
    <w:link w:val="Date"/>
    <w:uiPriority w:val="9"/>
    <w:semiHidden/>
    <w:rsid w:val="00611E1B"/>
    <w:rPr>
      <w:i/>
      <w:sz w:val="19"/>
      <w:szCs w:val="19"/>
    </w:rPr>
  </w:style>
  <w:style w:type="character" w:styleId="FollowedHyperlink">
    <w:name w:val="FollowedHyperlink"/>
    <w:basedOn w:val="DefaultParagraphFont"/>
    <w:uiPriority w:val="15"/>
    <w:rsid w:val="00AA0F1C"/>
    <w:rPr>
      <w:color w:val="192E58" w:themeColor="followedHyperlink"/>
      <w:u w:val="single"/>
    </w:rPr>
  </w:style>
  <w:style w:type="paragraph" w:customStyle="1" w:styleId="IntroParagraph">
    <w:name w:val="Intro Paragraph"/>
    <w:basedOn w:val="Normal"/>
    <w:uiPriority w:val="2"/>
    <w:qFormat/>
    <w:rsid w:val="002930CE"/>
    <w:pPr>
      <w:spacing w:before="240" w:after="240" w:line="264" w:lineRule="auto"/>
    </w:pPr>
    <w:rPr>
      <w:color w:val="192E58" w:themeColor="accent1"/>
      <w:sz w:val="22"/>
    </w:rPr>
  </w:style>
  <w:style w:type="paragraph" w:customStyle="1" w:styleId="DividerTitle">
    <w:name w:val="Divider Title"/>
    <w:basedOn w:val="Normal"/>
    <w:next w:val="BodyText"/>
    <w:uiPriority w:val="9"/>
    <w:rsid w:val="008771F3"/>
    <w:rPr>
      <w:color w:val="FFFFFF" w:themeColor="background1"/>
      <w:sz w:val="80"/>
      <w:lang w:val="en-US"/>
    </w:rPr>
  </w:style>
  <w:style w:type="paragraph" w:customStyle="1" w:styleId="NoteText">
    <w:name w:val="Note Text"/>
    <w:basedOn w:val="Normal"/>
    <w:uiPriority w:val="5"/>
    <w:qFormat/>
    <w:rsid w:val="000E0269"/>
    <w:rPr>
      <w:b/>
      <w:color w:val="473192" w:themeColor="text2"/>
    </w:rPr>
  </w:style>
  <w:style w:type="table" w:customStyle="1" w:styleId="GridTable">
    <w:name w:val="Grid Table"/>
    <w:basedOn w:val="TableNormal"/>
    <w:uiPriority w:val="99"/>
    <w:rsid w:val="00513C30"/>
    <w:pPr>
      <w:spacing w:after="0" w:line="240" w:lineRule="auto"/>
    </w:pPr>
    <w:tblPr>
      <w:tblStyleRowBandSize w:val="1"/>
      <w:tblStyleColBandSize w:val="1"/>
      <w:tblBorders>
        <w:top w:val="single" w:sz="4" w:space="0" w:color="192E58" w:themeColor="accent1"/>
        <w:left w:val="single" w:sz="4" w:space="0" w:color="192E58" w:themeColor="accent1"/>
        <w:bottom w:val="single" w:sz="4" w:space="0" w:color="192E58" w:themeColor="accent1"/>
        <w:right w:val="single" w:sz="4" w:space="0" w:color="192E58" w:themeColor="accent1"/>
        <w:insideH w:val="single" w:sz="4" w:space="0" w:color="192E58" w:themeColor="accent1"/>
        <w:insideV w:val="single" w:sz="4" w:space="0" w:color="192E58" w:themeColor="accent1"/>
      </w:tblBorders>
      <w:tblCellMar>
        <w:left w:w="0" w:type="dxa"/>
        <w:right w:w="0" w:type="dxa"/>
      </w:tblCellMar>
    </w:tblPr>
    <w:tblStylePr w:type="firstRow">
      <w:rPr>
        <w:color w:val="FFFFFF" w:themeColor="background1"/>
      </w:rPr>
      <w:tblPr/>
      <w:tcPr>
        <w:tcBorders>
          <w:insideV w:val="single" w:sz="4" w:space="0" w:color="FFFFFF" w:themeColor="background1"/>
        </w:tcBorders>
        <w:shd w:val="clear" w:color="auto" w:fill="192E58" w:themeFill="accent1"/>
      </w:tcPr>
    </w:tblStylePr>
    <w:tblStylePr w:type="lastRow">
      <w:tblPr/>
      <w:tcPr>
        <w:shd w:val="clear" w:color="auto" w:fill="F2F2F2" w:themeFill="background1" w:themeFillShade="F2"/>
      </w:tcPr>
    </w:tblStylePr>
    <w:tblStylePr w:type="firstCol">
      <w:rPr>
        <w:color w:val="FFFFFF" w:themeColor="background1"/>
      </w:rPr>
      <w:tblPr/>
      <w:tcPr>
        <w:tcBorders>
          <w:insideH w:val="single" w:sz="4" w:space="0" w:color="FFFFFF" w:themeColor="background1"/>
        </w:tcBorders>
        <w:shd w:val="clear" w:color="auto" w:fill="192E58" w:themeFill="accent1"/>
      </w:tcPr>
    </w:tblStylePr>
    <w:tblStylePr w:type="lastCol">
      <w:tblPr/>
      <w:tcPr>
        <w:shd w:val="clear" w:color="auto" w:fill="F2F2F2" w:themeFill="background1" w:themeFillShade="F2"/>
      </w:tcPr>
    </w:tblStylePr>
    <w:tblStylePr w:type="band2Vert">
      <w:tblPr/>
      <w:tcPr>
        <w:shd w:val="clear" w:color="auto" w:fill="F2F2F2" w:themeFill="background1" w:themeFillShade="F2"/>
      </w:tcPr>
    </w:tblStylePr>
    <w:tblStylePr w:type="band2Horz">
      <w:tblPr/>
      <w:tcPr>
        <w:shd w:val="clear" w:color="auto" w:fill="F2F2F2" w:themeFill="background1" w:themeFillShade="F2"/>
      </w:tcPr>
    </w:tblStylePr>
  </w:style>
  <w:style w:type="paragraph" w:customStyle="1" w:styleId="TableHeadingWhite">
    <w:name w:val="Table Heading White"/>
    <w:basedOn w:val="TableHeading"/>
    <w:uiPriority w:val="3"/>
    <w:qFormat/>
    <w:rsid w:val="00560AB3"/>
    <w:rPr>
      <w:color w:val="FFFFFF" w:themeColor="background1"/>
    </w:rPr>
  </w:style>
  <w:style w:type="paragraph" w:styleId="FootnoteText">
    <w:name w:val="footnote text"/>
    <w:basedOn w:val="Normal"/>
    <w:link w:val="FootnoteTextChar"/>
    <w:uiPriority w:val="99"/>
    <w:semiHidden/>
    <w:unhideWhenUsed/>
    <w:rsid w:val="001F25BA"/>
    <w:rPr>
      <w:szCs w:val="20"/>
    </w:rPr>
  </w:style>
  <w:style w:type="character" w:customStyle="1" w:styleId="FootnoteTextChar">
    <w:name w:val="Footnote Text Char"/>
    <w:basedOn w:val="DefaultParagraphFont"/>
    <w:link w:val="FootnoteText"/>
    <w:uiPriority w:val="99"/>
    <w:semiHidden/>
    <w:rsid w:val="001F25BA"/>
    <w:rPr>
      <w:sz w:val="20"/>
      <w:szCs w:val="20"/>
    </w:rPr>
  </w:style>
  <w:style w:type="character" w:styleId="FootnoteReference">
    <w:name w:val="footnote reference"/>
    <w:basedOn w:val="DefaultParagraphFont"/>
    <w:uiPriority w:val="99"/>
    <w:semiHidden/>
    <w:unhideWhenUsed/>
    <w:rsid w:val="001F25BA"/>
    <w:rPr>
      <w:vertAlign w:val="superscript"/>
    </w:rPr>
  </w:style>
  <w:style w:type="character" w:styleId="UnresolvedMention">
    <w:name w:val="Unresolved Mention"/>
    <w:basedOn w:val="DefaultParagraphFont"/>
    <w:uiPriority w:val="99"/>
    <w:semiHidden/>
    <w:unhideWhenUsed/>
    <w:rsid w:val="000C0336"/>
    <w:rPr>
      <w:color w:val="605E5C"/>
      <w:shd w:val="clear" w:color="auto" w:fill="E1DFDD"/>
    </w:rPr>
  </w:style>
  <w:style w:type="paragraph" w:customStyle="1" w:styleId="Default">
    <w:name w:val="Default"/>
    <w:rsid w:val="002B601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167E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7E5A"/>
    <w:rPr>
      <w:rFonts w:ascii="Segoe UI" w:hAnsi="Segoe UI" w:cs="Segoe UI"/>
      <w:sz w:val="18"/>
      <w:szCs w:val="18"/>
    </w:rPr>
  </w:style>
  <w:style w:type="character" w:styleId="CommentReference">
    <w:name w:val="annotation reference"/>
    <w:basedOn w:val="DefaultParagraphFont"/>
    <w:uiPriority w:val="99"/>
    <w:semiHidden/>
    <w:unhideWhenUsed/>
    <w:rsid w:val="008733E4"/>
    <w:rPr>
      <w:sz w:val="16"/>
      <w:szCs w:val="16"/>
    </w:rPr>
  </w:style>
  <w:style w:type="paragraph" w:styleId="CommentText">
    <w:name w:val="annotation text"/>
    <w:basedOn w:val="Normal"/>
    <w:link w:val="CommentTextChar"/>
    <w:uiPriority w:val="99"/>
    <w:unhideWhenUsed/>
    <w:rsid w:val="008733E4"/>
    <w:rPr>
      <w:szCs w:val="20"/>
    </w:rPr>
  </w:style>
  <w:style w:type="character" w:customStyle="1" w:styleId="CommentTextChar">
    <w:name w:val="Comment Text Char"/>
    <w:basedOn w:val="DefaultParagraphFont"/>
    <w:link w:val="CommentText"/>
    <w:uiPriority w:val="99"/>
    <w:rsid w:val="008733E4"/>
    <w:rPr>
      <w:sz w:val="20"/>
      <w:szCs w:val="20"/>
    </w:rPr>
  </w:style>
  <w:style w:type="paragraph" w:styleId="CommentSubject">
    <w:name w:val="annotation subject"/>
    <w:basedOn w:val="CommentText"/>
    <w:next w:val="CommentText"/>
    <w:link w:val="CommentSubjectChar"/>
    <w:uiPriority w:val="99"/>
    <w:semiHidden/>
    <w:unhideWhenUsed/>
    <w:rsid w:val="008733E4"/>
    <w:rPr>
      <w:b/>
      <w:bCs/>
    </w:rPr>
  </w:style>
  <w:style w:type="character" w:customStyle="1" w:styleId="CommentSubjectChar">
    <w:name w:val="Comment Subject Char"/>
    <w:basedOn w:val="CommentTextChar"/>
    <w:link w:val="CommentSubject"/>
    <w:uiPriority w:val="99"/>
    <w:semiHidden/>
    <w:rsid w:val="008733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528686">
      <w:bodyDiv w:val="1"/>
      <w:marLeft w:val="0"/>
      <w:marRight w:val="0"/>
      <w:marTop w:val="0"/>
      <w:marBottom w:val="0"/>
      <w:divBdr>
        <w:top w:val="none" w:sz="0" w:space="0" w:color="auto"/>
        <w:left w:val="none" w:sz="0" w:space="0" w:color="auto"/>
        <w:bottom w:val="none" w:sz="0" w:space="0" w:color="auto"/>
        <w:right w:val="none" w:sz="0" w:space="0" w:color="auto"/>
      </w:divBdr>
    </w:div>
    <w:div w:id="924805050">
      <w:bodyDiv w:val="1"/>
      <w:marLeft w:val="0"/>
      <w:marRight w:val="0"/>
      <w:marTop w:val="0"/>
      <w:marBottom w:val="0"/>
      <w:divBdr>
        <w:top w:val="none" w:sz="0" w:space="0" w:color="auto"/>
        <w:left w:val="none" w:sz="0" w:space="0" w:color="auto"/>
        <w:bottom w:val="none" w:sz="0" w:space="0" w:color="auto"/>
        <w:right w:val="none" w:sz="0" w:space="0" w:color="auto"/>
      </w:divBdr>
    </w:div>
    <w:div w:id="1850826471">
      <w:bodyDiv w:val="1"/>
      <w:marLeft w:val="0"/>
      <w:marRight w:val="0"/>
      <w:marTop w:val="0"/>
      <w:marBottom w:val="0"/>
      <w:divBdr>
        <w:top w:val="none" w:sz="0" w:space="0" w:color="auto"/>
        <w:left w:val="none" w:sz="0" w:space="0" w:color="auto"/>
        <w:bottom w:val="none" w:sz="0" w:space="0" w:color="auto"/>
        <w:right w:val="none" w:sz="0" w:space="0" w:color="auto"/>
      </w:divBdr>
    </w:div>
    <w:div w:id="1889757757">
      <w:bodyDiv w:val="1"/>
      <w:marLeft w:val="0"/>
      <w:marRight w:val="0"/>
      <w:marTop w:val="0"/>
      <w:marBottom w:val="0"/>
      <w:divBdr>
        <w:top w:val="none" w:sz="0" w:space="0" w:color="auto"/>
        <w:left w:val="none" w:sz="0" w:space="0" w:color="auto"/>
        <w:bottom w:val="none" w:sz="0" w:space="0" w:color="auto"/>
        <w:right w:val="none" w:sz="0" w:space="0" w:color="auto"/>
      </w:divBdr>
      <w:divsChild>
        <w:div w:id="1650089125">
          <w:marLeft w:val="0"/>
          <w:marRight w:val="0"/>
          <w:marTop w:val="0"/>
          <w:marBottom w:val="0"/>
          <w:divBdr>
            <w:top w:val="none" w:sz="0" w:space="0" w:color="auto"/>
            <w:left w:val="none" w:sz="0" w:space="0" w:color="auto"/>
            <w:bottom w:val="none" w:sz="0" w:space="0" w:color="auto"/>
            <w:right w:val="none" w:sz="0" w:space="0" w:color="auto"/>
          </w:divBdr>
          <w:divsChild>
            <w:div w:id="1237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hell.com.au/business-customers/shell-energy-australia.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ermpower.com.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lhawker@ermpower.com.a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ladewig@ermpower.com.a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emc.gov.au/sites/default/files/documents/epr0073_-_erm_power_submission_cogati_interim_report_19oct2020.pdf" TargetMode="External"/><Relationship Id="rId7" Type="http://schemas.openxmlformats.org/officeDocument/2006/relationships/hyperlink" Target="http://www.transgrid.com.au/%20news-views/lets-connect/consultations/current-consultations/Documents/Renewable%20Hub_Knowledge%20Report_TransGrid.pdf" TargetMode="External"/><Relationship Id="rId2" Type="http://schemas.openxmlformats.org/officeDocument/2006/relationships/hyperlink" Target="http://www.aemc.gov.au/sites/default/files/2019-11/AEMO%20-%20Proposed%20access%20model.pdf" TargetMode="External"/><Relationship Id="rId1" Type="http://schemas.openxmlformats.org/officeDocument/2006/relationships/hyperlink" Target="http://www.aemc.gov.au/sites/default/files/2019-11/ERM%20Power%20-%20Proposed%20access%20model.pdf" TargetMode="External"/><Relationship Id="rId6" Type="http://schemas.openxmlformats.org/officeDocument/2006/relationships/hyperlink" Target="https://www.aemc.gov.au/sites/default/files/documents/rule_change_submission_-_erc0294_-_erm_power_-_20210128.pdf" TargetMode="External"/><Relationship Id="rId5" Type="http://schemas.openxmlformats.org/officeDocument/2006/relationships/hyperlink" Target="https://www.aemc.gov.au/sites/default/files/documents/rule_change_submission_-_erc0294_-_erm_power_-_20210128.pdf" TargetMode="External"/><Relationship Id="rId4" Type="http://schemas.openxmlformats.org/officeDocument/2006/relationships/hyperlink" Target="http://www.powerlink.com.au/sites/default/files/2020-10/Generation%20Capacity%20Guide%20-%20August%2020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awker\Downloads\ERMCorporate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EAFF7446B940FBB455C4F49F5C13EC"/>
        <w:category>
          <w:name w:val="General"/>
          <w:gallery w:val="placeholder"/>
        </w:category>
        <w:types>
          <w:type w:val="bbPlcHdr"/>
        </w:types>
        <w:behaviors>
          <w:behavior w:val="content"/>
        </w:behaviors>
        <w:guid w:val="{0C8B0400-24E4-4523-B454-9A8460AC6865}"/>
      </w:docPartPr>
      <w:docPartBody>
        <w:p w:rsidR="00350BA7" w:rsidRDefault="00983F27" w:rsidP="00983F27">
          <w:pPr>
            <w:pStyle w:val="22EAFF7446B940FBB455C4F49F5C13EC"/>
          </w:pPr>
          <w:r w:rsidRPr="004613D1">
            <w:rPr>
              <w:sz w:val="20"/>
              <w:highlight w:val="yellow"/>
            </w:rPr>
            <w:t>[Choose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w:altName w:val="Arial"/>
    <w:charset w:val="00"/>
    <w:family w:val="auto"/>
    <w:pitch w:val="variable"/>
    <w:sig w:usb0="80000027" w:usb1="00000000" w:usb2="00000000" w:usb3="00000000" w:csb0="00000001" w:csb1="00000000"/>
  </w:font>
  <w:font w:name="Gotham Light">
    <w:panose1 w:val="00000000000000000000"/>
    <w:charset w:val="00"/>
    <w:family w:val="modern"/>
    <w:notTrueType/>
    <w:pitch w:val="variable"/>
    <w:sig w:usb0="A00002FF" w:usb1="40000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689"/>
    <w:rsid w:val="00350BA7"/>
    <w:rsid w:val="00511576"/>
    <w:rsid w:val="0068351D"/>
    <w:rsid w:val="00716ACA"/>
    <w:rsid w:val="00776FE5"/>
    <w:rsid w:val="00983F27"/>
    <w:rsid w:val="00E93D84"/>
    <w:rsid w:val="00F4022F"/>
    <w:rsid w:val="00F726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EAFF7446B940FBB455C4F49F5C13EC">
    <w:name w:val="22EAFF7446B940FBB455C4F49F5C13EC"/>
    <w:rsid w:val="00983F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ERM Power">
      <a:dk1>
        <a:sysClr val="windowText" lastClr="000000"/>
      </a:dk1>
      <a:lt1>
        <a:sysClr val="window" lastClr="FFFFFF"/>
      </a:lt1>
      <a:dk2>
        <a:srgbClr val="473192"/>
      </a:dk2>
      <a:lt2>
        <a:srgbClr val="F1F3F4"/>
      </a:lt2>
      <a:accent1>
        <a:srgbClr val="192E58"/>
      </a:accent1>
      <a:accent2>
        <a:srgbClr val="F15A22"/>
      </a:accent2>
      <a:accent3>
        <a:srgbClr val="00B3DD"/>
      </a:accent3>
      <a:accent4>
        <a:srgbClr val="D61D59"/>
      </a:accent4>
      <a:accent5>
        <a:srgbClr val="9ACA3C"/>
      </a:accent5>
      <a:accent6>
        <a:srgbClr val="FFD200"/>
      </a:accent6>
      <a:hlink>
        <a:srgbClr val="192E58"/>
      </a:hlink>
      <a:folHlink>
        <a:srgbClr val="192E58"/>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2021-02-12T00:00:00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B02AE3-6EC9-4841-86D8-ECB736E8C967}">
  <ds:schemaRefs>
    <ds:schemaRef ds:uri="1de244db-b6f3-4d1c-9a60-564528fdbdf0"/>
    <ds:schemaRef ds:uri="http://purl.org/dc/elements/1.1/"/>
    <ds:schemaRef ds:uri="http://purl.org/dc/dcmitype/"/>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infopath/2007/PartnerControls"/>
    <ds:schemaRef ds:uri="293c9e75-b20e-4906-90da-ca51772f4013"/>
    <ds:schemaRef ds:uri="http://schemas.microsoft.com/office/2006/metadata/properties"/>
  </ds:schemaRefs>
</ds:datastoreItem>
</file>

<file path=customXml/itemProps3.xml><?xml version="1.0" encoding="utf-8"?>
<ds:datastoreItem xmlns:ds="http://schemas.openxmlformats.org/officeDocument/2006/customXml" ds:itemID="{E6AB2BB4-8A01-4F4D-9649-C341EDB4AD85}"/>
</file>

<file path=customXml/itemProps4.xml><?xml version="1.0" encoding="utf-8"?>
<ds:datastoreItem xmlns:ds="http://schemas.openxmlformats.org/officeDocument/2006/customXml" ds:itemID="{66372686-AA19-4378-AF21-F58EA740653C}">
  <ds:schemaRefs>
    <ds:schemaRef ds:uri="http://schemas.openxmlformats.org/officeDocument/2006/bibliography"/>
  </ds:schemaRefs>
</ds:datastoreItem>
</file>

<file path=customXml/itemProps5.xml><?xml version="1.0" encoding="utf-8"?>
<ds:datastoreItem xmlns:ds="http://schemas.openxmlformats.org/officeDocument/2006/customXml" ds:itemID="{2180E972-BC49-4357-B43A-BF761ACAA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ERMCorporateLetterhead.dotx</Template>
  <TotalTime>2</TotalTime>
  <Pages>7</Pages>
  <Words>3347</Words>
  <Characters>19084</Characters>
  <Application>Microsoft Office Word</Application>
  <DocSecurity>8</DocSecurity>
  <Lines>159</Lines>
  <Paragraphs>44</Paragraphs>
  <ScaleCrop>false</ScaleCrop>
  <Company/>
  <LinksUpToDate>false</LinksUpToDate>
  <CharactersWithSpaces>22387</CharactersWithSpaces>
  <SharedDoc>false</SharedDoc>
  <HLinks>
    <vt:vector size="66" baseType="variant">
      <vt:variant>
        <vt:i4>7208984</vt:i4>
      </vt:variant>
      <vt:variant>
        <vt:i4>9</vt:i4>
      </vt:variant>
      <vt:variant>
        <vt:i4>0</vt:i4>
      </vt:variant>
      <vt:variant>
        <vt:i4>5</vt:i4>
      </vt:variant>
      <vt:variant>
        <vt:lpwstr>mailto:lhawker@ermpower.com.au</vt:lpwstr>
      </vt:variant>
      <vt:variant>
        <vt:lpwstr/>
      </vt:variant>
      <vt:variant>
        <vt:i4>4849727</vt:i4>
      </vt:variant>
      <vt:variant>
        <vt:i4>6</vt:i4>
      </vt:variant>
      <vt:variant>
        <vt:i4>0</vt:i4>
      </vt:variant>
      <vt:variant>
        <vt:i4>5</vt:i4>
      </vt:variant>
      <vt:variant>
        <vt:lpwstr>mailto:mladewig@ermpower.com.au</vt:lpwstr>
      </vt:variant>
      <vt:variant>
        <vt:lpwstr/>
      </vt:variant>
      <vt:variant>
        <vt:i4>6422650</vt:i4>
      </vt:variant>
      <vt:variant>
        <vt:i4>3</vt:i4>
      </vt:variant>
      <vt:variant>
        <vt:i4>0</vt:i4>
      </vt:variant>
      <vt:variant>
        <vt:i4>5</vt:i4>
      </vt:variant>
      <vt:variant>
        <vt:lpwstr>https://www.shell.com.au/business-customers/shell-energy-australia.html</vt:lpwstr>
      </vt:variant>
      <vt:variant>
        <vt:lpwstr/>
      </vt:variant>
      <vt:variant>
        <vt:i4>3342392</vt:i4>
      </vt:variant>
      <vt:variant>
        <vt:i4>0</vt:i4>
      </vt:variant>
      <vt:variant>
        <vt:i4>0</vt:i4>
      </vt:variant>
      <vt:variant>
        <vt:i4>5</vt:i4>
      </vt:variant>
      <vt:variant>
        <vt:lpwstr>http://www.ermpower.com.au/</vt:lpwstr>
      </vt:variant>
      <vt:variant>
        <vt:lpwstr/>
      </vt:variant>
      <vt:variant>
        <vt:i4>1769556</vt:i4>
      </vt:variant>
      <vt:variant>
        <vt:i4>18</vt:i4>
      </vt:variant>
      <vt:variant>
        <vt:i4>0</vt:i4>
      </vt:variant>
      <vt:variant>
        <vt:i4>5</vt:i4>
      </vt:variant>
      <vt:variant>
        <vt:lpwstr>http://www.transgrid.com.au/ news-views/lets-connect/consultations/current-consultations/Documents/Renewable Hub_Knowledge Report_TransGrid.pdf</vt:lpwstr>
      </vt:variant>
      <vt:variant>
        <vt:lpwstr/>
      </vt:variant>
      <vt:variant>
        <vt:i4>2883661</vt:i4>
      </vt:variant>
      <vt:variant>
        <vt:i4>15</vt:i4>
      </vt:variant>
      <vt:variant>
        <vt:i4>0</vt:i4>
      </vt:variant>
      <vt:variant>
        <vt:i4>5</vt:i4>
      </vt:variant>
      <vt:variant>
        <vt:lpwstr>https://www.aemc.gov.au/sites/default/files/documents/rule_change_submission_-_erc0294_-_erm_power_-_20210128.pdf</vt:lpwstr>
      </vt:variant>
      <vt:variant>
        <vt:lpwstr/>
      </vt:variant>
      <vt:variant>
        <vt:i4>2883661</vt:i4>
      </vt:variant>
      <vt:variant>
        <vt:i4>12</vt:i4>
      </vt:variant>
      <vt:variant>
        <vt:i4>0</vt:i4>
      </vt:variant>
      <vt:variant>
        <vt:i4>5</vt:i4>
      </vt:variant>
      <vt:variant>
        <vt:lpwstr>https://www.aemc.gov.au/sites/default/files/documents/rule_change_submission_-_erc0294_-_erm_power_-_20210128.pdf</vt:lpwstr>
      </vt:variant>
      <vt:variant>
        <vt:lpwstr/>
      </vt:variant>
      <vt:variant>
        <vt:i4>2621538</vt:i4>
      </vt:variant>
      <vt:variant>
        <vt:i4>9</vt:i4>
      </vt:variant>
      <vt:variant>
        <vt:i4>0</vt:i4>
      </vt:variant>
      <vt:variant>
        <vt:i4>5</vt:i4>
      </vt:variant>
      <vt:variant>
        <vt:lpwstr>http://www.powerlink.com.au/sites/default/files/2020-10/Generation Capacity Guide - August 2020.pdf</vt:lpwstr>
      </vt:variant>
      <vt:variant>
        <vt:lpwstr/>
      </vt:variant>
      <vt:variant>
        <vt:i4>6357055</vt:i4>
      </vt:variant>
      <vt:variant>
        <vt:i4>6</vt:i4>
      </vt:variant>
      <vt:variant>
        <vt:i4>0</vt:i4>
      </vt:variant>
      <vt:variant>
        <vt:i4>5</vt:i4>
      </vt:variant>
      <vt:variant>
        <vt:lpwstr>http://www.aemc.gov.au/sites/default/files/documents/epr0073_-_erm_power_submission_cogati_interim_report_19oct2020.pdf</vt:lpwstr>
      </vt:variant>
      <vt:variant>
        <vt:lpwstr/>
      </vt:variant>
      <vt:variant>
        <vt:i4>2359339</vt:i4>
      </vt:variant>
      <vt:variant>
        <vt:i4>3</vt:i4>
      </vt:variant>
      <vt:variant>
        <vt:i4>0</vt:i4>
      </vt:variant>
      <vt:variant>
        <vt:i4>5</vt:i4>
      </vt:variant>
      <vt:variant>
        <vt:lpwstr>http://www.aemc.gov.au/sites/default/files/2019-11/AEMO - Proposed access model.pdf</vt:lpwstr>
      </vt:variant>
      <vt:variant>
        <vt:lpwstr/>
      </vt:variant>
      <vt:variant>
        <vt:i4>5177349</vt:i4>
      </vt:variant>
      <vt:variant>
        <vt:i4>0</vt:i4>
      </vt:variant>
      <vt:variant>
        <vt:i4>0</vt:i4>
      </vt:variant>
      <vt:variant>
        <vt:i4>5</vt:i4>
      </vt:variant>
      <vt:variant>
        <vt:lpwstr>http://www.aemc.gov.au/sites/default/files/2019-11/ERM Power - Proposed access model.pdf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Libby Hawker</dc:creator>
  <cp:keywords/>
  <dc:description/>
  <cp:lastModifiedBy>Matthew Ladewig</cp:lastModifiedBy>
  <cp:revision>2</cp:revision>
  <dcterms:created xsi:type="dcterms:W3CDTF">2021-02-12T10:21:00Z</dcterms:created>
  <dcterms:modified xsi:type="dcterms:W3CDTF">2021-02-12T10:21:00Z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