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563" w:rsidRDefault="00892563" w:rsidP="00B837AD">
      <w:pPr>
        <w:pStyle w:val="text"/>
        <w:rPr>
          <w:rFonts w:eastAsia="ArialMT"/>
          <w:b/>
          <w:caps/>
          <w:color w:val="4BACC6"/>
          <w:sz w:val="22"/>
          <w:szCs w:val="20"/>
        </w:rPr>
      </w:pPr>
      <w:r>
        <w:rPr>
          <w:rFonts w:eastAsia="ArialMT"/>
          <w:b/>
          <w:caps/>
          <w:color w:val="4BACC6"/>
          <w:sz w:val="22"/>
        </w:rPr>
        <w:t>ENERGY AND RESOURCES MINISTERS MET IN CANBERRA TODAY FOR THE FOURTH COAG ENERGY COUNCIL MEETING.</w:t>
      </w:r>
    </w:p>
    <w:p w:rsidR="00892563" w:rsidRDefault="00892563" w:rsidP="00892563">
      <w:pPr>
        <w:suppressAutoHyphens/>
        <w:spacing w:after="170"/>
        <w:rPr>
          <w:rFonts w:ascii="ArialMT" w:eastAsia="ArialMT" w:hAnsi="ArialMT" w:cs="ArialMT"/>
          <w:i/>
          <w:color w:val="000000"/>
          <w:sz w:val="18"/>
        </w:rPr>
      </w:pPr>
      <w:r>
        <w:rPr>
          <w:rFonts w:ascii="ArialMT" w:eastAsia="ArialMT" w:hAnsi="ArialMT" w:cs="ArialMT"/>
          <w:i/>
          <w:color w:val="000000"/>
          <w:sz w:val="18"/>
        </w:rPr>
        <w:t>Today’s meeting progressed key initiatives to improve the adaptability and resilience of Australia’s energy markets to respond to environmental and technological change.</w:t>
      </w:r>
    </w:p>
    <w:p w:rsidR="00892563" w:rsidRDefault="00892563" w:rsidP="00892563">
      <w:pPr>
        <w:suppressAutoHyphens/>
        <w:spacing w:after="170"/>
        <w:rPr>
          <w:rFonts w:ascii="ArialMT" w:eastAsia="ArialMT" w:hAnsi="ArialMT" w:cs="ArialMT"/>
          <w:i/>
          <w:color w:val="000000"/>
          <w:sz w:val="18"/>
        </w:rPr>
      </w:pPr>
      <w:r>
        <w:rPr>
          <w:rFonts w:ascii="ArialMT" w:eastAsia="ArialMT" w:hAnsi="ArialMT" w:cs="ArialMT"/>
          <w:i/>
          <w:color w:val="000000"/>
          <w:sz w:val="18"/>
        </w:rPr>
        <w:t>Ministers agreed to a national, cooperative effort to better integrate energy and climate policy, with a clear focus on ensuring that consumers and industry have access to low-cost, reliable energy as Australia moves towards a lower-emissions economy.</w:t>
      </w:r>
    </w:p>
    <w:p w:rsidR="00892563" w:rsidRPr="00FA6A1E" w:rsidRDefault="00892563" w:rsidP="00892563">
      <w:pPr>
        <w:suppressAutoHyphens/>
        <w:spacing w:after="170"/>
        <w:rPr>
          <w:rFonts w:ascii="ArialMT" w:eastAsia="ArialMT" w:hAnsi="ArialMT" w:cs="ArialMT"/>
          <w:i/>
          <w:color w:val="000000"/>
          <w:sz w:val="18"/>
        </w:rPr>
      </w:pPr>
      <w:r w:rsidRPr="00FA6A1E">
        <w:rPr>
          <w:rFonts w:ascii="ArialMT" w:eastAsia="ArialMT" w:hAnsi="ArialMT" w:cs="ArialMT"/>
          <w:i/>
          <w:color w:val="000000"/>
          <w:sz w:val="18"/>
        </w:rPr>
        <w:t>Ministers also agreed that, fundamental to solving our energy challenges, is increasing the amount of supply, the number of suppliers, and removing obstacles towards this end.</w:t>
      </w:r>
    </w:p>
    <w:p w:rsidR="00892563" w:rsidRDefault="00892563" w:rsidP="00892563">
      <w:pPr>
        <w:suppressAutoHyphens/>
        <w:spacing w:after="170"/>
        <w:rPr>
          <w:rFonts w:ascii="ArialMT" w:eastAsia="ArialMT" w:hAnsi="ArialMT" w:cs="ArialMT"/>
          <w:i/>
          <w:color w:val="000000"/>
          <w:sz w:val="18"/>
        </w:rPr>
      </w:pPr>
      <w:r>
        <w:rPr>
          <w:rFonts w:ascii="ArialMT" w:eastAsia="ArialMT" w:hAnsi="ArialMT" w:cs="ArialMT"/>
          <w:i/>
          <w:color w:val="000000"/>
          <w:sz w:val="18"/>
        </w:rPr>
        <w:t>The Energy Council also agreed to modernise regulatory frameworks and consumer protections so consumers can engage with increasingly dynamic and decentralised energy markets driven by the need to accommodate emerging technologies.</w:t>
      </w:r>
    </w:p>
    <w:p w:rsidR="00892563" w:rsidRDefault="00892563" w:rsidP="00892563">
      <w:pPr>
        <w:suppressAutoHyphens/>
        <w:spacing w:after="170"/>
        <w:rPr>
          <w:rFonts w:ascii="ArialMT" w:eastAsia="ArialMT" w:hAnsi="ArialMT" w:cs="ArialMT"/>
          <w:i/>
          <w:color w:val="000000"/>
          <w:sz w:val="18"/>
        </w:rPr>
      </w:pPr>
      <w:r>
        <w:rPr>
          <w:rFonts w:ascii="ArialMT" w:eastAsia="ArialMT" w:hAnsi="ArialMT" w:cs="ArialMT"/>
          <w:i/>
          <w:color w:val="000000"/>
          <w:sz w:val="18"/>
        </w:rPr>
        <w:t xml:space="preserve">The Energy Council has released a </w:t>
      </w:r>
      <w:hyperlink r:id="rId9" w:history="1">
        <w:r w:rsidRPr="003F738A">
          <w:rPr>
            <w:rStyle w:val="Hyperlink"/>
            <w:rFonts w:ascii="ArialMT" w:eastAsia="ArialMT" w:hAnsi="ArialMT" w:cs="ArialMT"/>
            <w:i/>
            <w:sz w:val="18"/>
          </w:rPr>
          <w:t>Gas Supply Strategy</w:t>
        </w:r>
      </w:hyperlink>
      <w:r>
        <w:rPr>
          <w:rFonts w:ascii="ArialMT" w:eastAsia="ArialMT" w:hAnsi="ArialMT" w:cs="ArialMT"/>
          <w:i/>
          <w:color w:val="000000"/>
          <w:sz w:val="18"/>
        </w:rPr>
        <w:t>, which signals a stronger level of cooperation on onshore gas social, scientific and regulatory issues and promoting industry best practice.</w:t>
      </w:r>
    </w:p>
    <w:p w:rsidR="00FF37B6" w:rsidRDefault="00892563" w:rsidP="00892563">
      <w:pPr>
        <w:pStyle w:val="text"/>
        <w:rPr>
          <w:i/>
          <w:sz w:val="18"/>
          <w:szCs w:val="18"/>
        </w:rPr>
      </w:pPr>
      <w:r>
        <w:rPr>
          <w:rFonts w:eastAsia="ArialMT"/>
          <w:i/>
          <w:sz w:val="18"/>
        </w:rPr>
        <w:t>The challenges and opportunities arising from the change sweeping energy markets require agile and strategic leadership. The Energy Council met with a range of industry and consumer representatives at the start of the meeting to discuss key issues, and thanked those stakeholders who contrib</w:t>
      </w:r>
      <w:r w:rsidR="008D3530">
        <w:rPr>
          <w:rFonts w:eastAsia="ArialMT"/>
          <w:i/>
          <w:sz w:val="18"/>
        </w:rPr>
        <w:t>uted to the recently completed R</w:t>
      </w:r>
      <w:r>
        <w:rPr>
          <w:rFonts w:eastAsia="ArialMT"/>
          <w:i/>
          <w:sz w:val="18"/>
        </w:rPr>
        <w:t>eview of Governance Arrangements for Australian Energy Markets.</w:t>
      </w:r>
      <w:r w:rsidR="00610AA6">
        <w:rPr>
          <w:i/>
          <w:sz w:val="18"/>
          <w:szCs w:val="18"/>
        </w:rPr>
        <w:t xml:space="preserve"> </w:t>
      </w:r>
    </w:p>
    <w:p w:rsidR="00B837AD" w:rsidRPr="00202411" w:rsidRDefault="00B837AD" w:rsidP="00B837AD">
      <w:pPr>
        <w:spacing w:after="170" w:line="210" w:lineRule="atLeast"/>
        <w:rPr>
          <w:rFonts w:ascii="ArialMT" w:hAnsi="ArialMT"/>
          <w:b/>
          <w:i/>
          <w:iCs/>
          <w:sz w:val="18"/>
          <w:szCs w:val="18"/>
        </w:rPr>
      </w:pPr>
      <w:r w:rsidRPr="00202411">
        <w:rPr>
          <w:rFonts w:ascii="ArialMT" w:hAnsi="ArialMT"/>
          <w:b/>
          <w:i/>
          <w:iCs/>
          <w:sz w:val="18"/>
          <w:szCs w:val="18"/>
        </w:rPr>
        <w:t>Gas</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Australian gas markets are changing at a rate unprecedented anywhere in the world. While Australia’s gas resources offer significant economic opportunity, they are </w:t>
      </w:r>
      <w:proofErr w:type="spellStart"/>
      <w:r>
        <w:rPr>
          <w:rFonts w:ascii="ArialMT" w:eastAsia="ArialMT" w:hAnsi="ArialMT" w:cs="ArialMT"/>
          <w:sz w:val="18"/>
        </w:rPr>
        <w:t>characterised</w:t>
      </w:r>
      <w:proofErr w:type="spellEnd"/>
      <w:r>
        <w:rPr>
          <w:rFonts w:ascii="ArialMT" w:eastAsia="ArialMT" w:hAnsi="ArialMT" w:cs="ArialMT"/>
          <w:sz w:val="18"/>
        </w:rPr>
        <w:t xml:space="preserve"> by uncertainty around price and availability. The opportunities offered - and challenges presented - in developing Australia's gas resources are shared by all governments and the Council considers t</w:t>
      </w:r>
      <w:r w:rsidR="008D3530">
        <w:rPr>
          <w:rFonts w:ascii="ArialMT" w:eastAsia="ArialMT" w:hAnsi="ArialMT" w:cs="ArialMT"/>
          <w:sz w:val="18"/>
        </w:rPr>
        <w:t>hat pursuing long-</w:t>
      </w:r>
      <w:r>
        <w:rPr>
          <w:rFonts w:ascii="ArialMT" w:eastAsia="ArialMT" w:hAnsi="ArialMT" w:cs="ArialMT"/>
          <w:sz w:val="18"/>
        </w:rPr>
        <w:t>term reforms to improve markets will support investment and build more resilient gas markets.</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The Council has released a </w:t>
      </w:r>
      <w:hyperlink r:id="rId10" w:history="1">
        <w:r w:rsidRPr="008D3530">
          <w:rPr>
            <w:rStyle w:val="Hyperlink"/>
            <w:rFonts w:ascii="ArialMT" w:eastAsia="ArialMT" w:hAnsi="ArialMT" w:cs="ArialMT"/>
            <w:i/>
            <w:sz w:val="18"/>
          </w:rPr>
          <w:t>Gas Supply Strategy</w:t>
        </w:r>
      </w:hyperlink>
      <w:r>
        <w:rPr>
          <w:rFonts w:ascii="ArialMT" w:eastAsia="ArialMT" w:hAnsi="ArialMT" w:cs="ArialMT"/>
          <w:sz w:val="18"/>
        </w:rPr>
        <w:t xml:space="preserve"> which includes four key streams:</w:t>
      </w:r>
    </w:p>
    <w:p w:rsidR="00892563" w:rsidRDefault="00892563" w:rsidP="00892563">
      <w:pPr>
        <w:numPr>
          <w:ilvl w:val="0"/>
          <w:numId w:val="11"/>
        </w:numPr>
        <w:spacing w:after="170"/>
        <w:rPr>
          <w:rFonts w:ascii="ArialMT" w:eastAsia="ArialMT" w:hAnsi="ArialMT" w:cs="ArialMT"/>
          <w:sz w:val="18"/>
        </w:rPr>
      </w:pPr>
      <w:r>
        <w:rPr>
          <w:rFonts w:ascii="ArialMT" w:eastAsia="ArialMT" w:hAnsi="ArialMT" w:cs="ArialMT"/>
          <w:sz w:val="18"/>
        </w:rPr>
        <w:t>Increased sharing of geoscience and other information about potential resources to improve certainty around gas supply data;</w:t>
      </w:r>
    </w:p>
    <w:p w:rsidR="00892563" w:rsidRDefault="00892563" w:rsidP="00892563">
      <w:pPr>
        <w:numPr>
          <w:ilvl w:val="0"/>
          <w:numId w:val="11"/>
        </w:numPr>
        <w:spacing w:after="170"/>
        <w:rPr>
          <w:rFonts w:ascii="ArialMT" w:eastAsia="ArialMT" w:hAnsi="ArialMT" w:cs="ArialMT"/>
          <w:sz w:val="18"/>
        </w:rPr>
      </w:pPr>
      <w:r>
        <w:rPr>
          <w:rFonts w:ascii="ArialMT" w:eastAsia="ArialMT" w:hAnsi="ArialMT" w:cs="ArialMT"/>
          <w:sz w:val="18"/>
        </w:rPr>
        <w:t xml:space="preserve">Strengthening scientific </w:t>
      </w:r>
      <w:proofErr w:type="spellStart"/>
      <w:r>
        <w:rPr>
          <w:rFonts w:ascii="ArialMT" w:eastAsia="ArialMT" w:hAnsi="ArialMT" w:cs="ArialMT"/>
          <w:sz w:val="18"/>
        </w:rPr>
        <w:t>rigour</w:t>
      </w:r>
      <w:proofErr w:type="spellEnd"/>
      <w:r>
        <w:rPr>
          <w:rFonts w:ascii="ArialMT" w:eastAsia="ArialMT" w:hAnsi="ArialMT" w:cs="ArialMT"/>
          <w:sz w:val="18"/>
        </w:rPr>
        <w:t xml:space="preserve"> and the sharing of information to improve baseline and monitoring data of unconventional gas resources across the community;</w:t>
      </w:r>
    </w:p>
    <w:p w:rsidR="00892563" w:rsidRDefault="00892563" w:rsidP="00892563">
      <w:pPr>
        <w:numPr>
          <w:ilvl w:val="0"/>
          <w:numId w:val="11"/>
        </w:numPr>
        <w:spacing w:after="170"/>
        <w:rPr>
          <w:rFonts w:ascii="ArialMT" w:eastAsia="ArialMT" w:hAnsi="ArialMT" w:cs="ArialMT"/>
          <w:sz w:val="18"/>
        </w:rPr>
      </w:pPr>
      <w:proofErr w:type="spellStart"/>
      <w:r>
        <w:rPr>
          <w:rFonts w:ascii="ArialMT" w:eastAsia="ArialMT" w:hAnsi="ArialMT" w:cs="ArialMT"/>
          <w:sz w:val="18"/>
        </w:rPr>
        <w:t>Harmonising</w:t>
      </w:r>
      <w:proofErr w:type="spellEnd"/>
      <w:r>
        <w:rPr>
          <w:rFonts w:ascii="ArialMT" w:eastAsia="ArialMT" w:hAnsi="ArialMT" w:cs="ArialMT"/>
          <w:sz w:val="18"/>
        </w:rPr>
        <w:t xml:space="preserve"> regulatory frameworks to manage risk and address issues; and</w:t>
      </w:r>
    </w:p>
    <w:p w:rsidR="00FB0371" w:rsidRPr="00892563" w:rsidRDefault="00892563" w:rsidP="00892563">
      <w:pPr>
        <w:numPr>
          <w:ilvl w:val="0"/>
          <w:numId w:val="11"/>
        </w:numPr>
        <w:spacing w:after="170"/>
        <w:rPr>
          <w:rFonts w:ascii="ArialMT" w:eastAsia="ArialMT" w:hAnsi="ArialMT" w:cs="ArialMT"/>
          <w:sz w:val="18"/>
        </w:rPr>
      </w:pPr>
      <w:r>
        <w:rPr>
          <w:rFonts w:ascii="ArialMT" w:eastAsia="ArialMT" w:hAnsi="ArialMT" w:cs="ArialMT"/>
          <w:sz w:val="18"/>
        </w:rPr>
        <w:t>Improving collaboration to promote industry best practice.</w:t>
      </w:r>
    </w:p>
    <w:p w:rsidR="0099770B" w:rsidRPr="00202411" w:rsidRDefault="0099770B" w:rsidP="00351FAE">
      <w:pPr>
        <w:pStyle w:val="bulletscyan"/>
        <w:rPr>
          <w:sz w:val="18"/>
          <w:szCs w:val="18"/>
        </w:rPr>
        <w:sectPr w:rsidR="0099770B" w:rsidRPr="00202411" w:rsidSect="0099770B">
          <w:headerReference w:type="default" r:id="rId11"/>
          <w:footerReference w:type="default" r:id="rId12"/>
          <w:headerReference w:type="first" r:id="rId13"/>
          <w:pgSz w:w="11900" w:h="16840"/>
          <w:pgMar w:top="4706" w:right="737" w:bottom="794" w:left="3969" w:header="680" w:footer="510" w:gutter="0"/>
          <w:cols w:space="708"/>
          <w:titlePg/>
        </w:sectPr>
      </w:pPr>
    </w:p>
    <w:p w:rsidR="00892563" w:rsidRDefault="00892563" w:rsidP="00892563">
      <w:pPr>
        <w:spacing w:after="170"/>
        <w:rPr>
          <w:rFonts w:ascii="ArialMT" w:eastAsia="ArialMT" w:hAnsi="ArialMT" w:cs="ArialMT"/>
          <w:sz w:val="18"/>
        </w:rPr>
      </w:pPr>
      <w:r>
        <w:rPr>
          <w:rFonts w:ascii="ArialMT" w:eastAsia="ArialMT" w:hAnsi="ArialMT" w:cs="ArialMT"/>
          <w:sz w:val="18"/>
        </w:rPr>
        <w:lastRenderedPageBreak/>
        <w:t>The Strategy will be complemented by a range of other measures. The Australian Petroleum Production and Exploration Association has agreed to develop an “Unconventional Gas Activities Report” that will be provided to the Council on an annual basis, beginning at the next meeting. The report will, for the first time, bring together a nationally consistent set of information on the industry’s activities across all jurisdictions.</w:t>
      </w:r>
    </w:p>
    <w:p w:rsidR="00ED147F" w:rsidRPr="00ED147F" w:rsidRDefault="00892563" w:rsidP="00ED147F">
      <w:pPr>
        <w:spacing w:after="170" w:line="210" w:lineRule="atLeast"/>
        <w:rPr>
          <w:rFonts w:ascii="ArialMT" w:hAnsi="ArialMT"/>
          <w:iCs/>
          <w:sz w:val="18"/>
          <w:szCs w:val="18"/>
        </w:rPr>
      </w:pPr>
      <w:r>
        <w:rPr>
          <w:rFonts w:ascii="ArialMT" w:eastAsia="ArialMT" w:hAnsi="ArialMT" w:cs="ArialMT"/>
          <w:sz w:val="18"/>
        </w:rPr>
        <w:t xml:space="preserve">In addition to this, officials will continue to produce an annual report on onshore gas reserves, resources and production to support better understanding of gas supply </w:t>
      </w:r>
      <w:r>
        <w:rPr>
          <w:rFonts w:ascii="ArialMT" w:eastAsia="ArialMT" w:hAnsi="ArialMT" w:cs="ArialMT"/>
          <w:sz w:val="18"/>
        </w:rPr>
        <w:lastRenderedPageBreak/>
        <w:t xml:space="preserve">adequacy. Continued implementation of the Council’s Multiple Land Use Framework and </w:t>
      </w:r>
      <w:hyperlink r:id="rId14" w:history="1">
        <w:proofErr w:type="spellStart"/>
        <w:r w:rsidRPr="003F738A">
          <w:rPr>
            <w:rStyle w:val="Hyperlink"/>
            <w:rFonts w:ascii="ArialMT" w:eastAsia="ArialMT" w:hAnsi="ArialMT" w:cs="ArialMT"/>
            <w:sz w:val="18"/>
          </w:rPr>
          <w:t>Harmonised</w:t>
        </w:r>
        <w:proofErr w:type="spellEnd"/>
        <w:r w:rsidRPr="003F738A">
          <w:rPr>
            <w:rStyle w:val="Hyperlink"/>
            <w:rFonts w:ascii="ArialMT" w:eastAsia="ArialMT" w:hAnsi="ArialMT" w:cs="ArialMT"/>
            <w:sz w:val="18"/>
          </w:rPr>
          <w:t xml:space="preserve"> Framework for Natural Gas from Coal Seams</w:t>
        </w:r>
      </w:hyperlink>
      <w:r>
        <w:rPr>
          <w:rFonts w:ascii="ArialMT" w:eastAsia="ArialMT" w:hAnsi="ArialMT" w:cs="ArialMT"/>
          <w:sz w:val="18"/>
        </w:rPr>
        <w:t xml:space="preserve"> will also continue to be important.</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The Council also agreed to the Australian Energy Market Operator's (AEMO) advice to address some of the effects on liquidity of infrastructure constraints by instituting improvements to the </w:t>
      </w:r>
      <w:proofErr w:type="spellStart"/>
      <w:r>
        <w:rPr>
          <w:rFonts w:ascii="ArialMT" w:eastAsia="ArialMT" w:hAnsi="ArialMT" w:cs="ArialMT"/>
          <w:sz w:val="18"/>
        </w:rPr>
        <w:t>Wallumbilla</w:t>
      </w:r>
      <w:proofErr w:type="spellEnd"/>
      <w:r>
        <w:rPr>
          <w:rFonts w:ascii="ArialMT" w:eastAsia="ArialMT" w:hAnsi="ArialMT" w:cs="ArialMT"/>
          <w:sz w:val="18"/>
        </w:rPr>
        <w:t xml:space="preserve"> Gas Supply Hub. This will see the replacement of the current three trading locations with a single voluntary trading market and the introduction of supporting ‘Optional Hub Services’. Ministers also noted AEMO’s advice that the Moomba Hub is on track to commence in July 2016.</w:t>
      </w:r>
    </w:p>
    <w:p w:rsidR="006658A6" w:rsidRPr="00892563" w:rsidRDefault="00892563" w:rsidP="00892563">
      <w:pPr>
        <w:spacing w:after="170"/>
        <w:rPr>
          <w:rFonts w:ascii="ArialMT" w:eastAsia="ArialMT" w:hAnsi="ArialMT" w:cs="ArialMT"/>
          <w:sz w:val="18"/>
        </w:rPr>
      </w:pPr>
      <w:r>
        <w:rPr>
          <w:rFonts w:ascii="ArialMT" w:eastAsia="ArialMT" w:hAnsi="ArialMT" w:cs="ArialMT"/>
          <w:sz w:val="18"/>
        </w:rPr>
        <w:t xml:space="preserve">Ministers noted a range of upcoming advice on the challenges in the gas market, including the Australian Competition and Consumer Commission's </w:t>
      </w:r>
      <w:r>
        <w:rPr>
          <w:rFonts w:ascii="ArialMT" w:eastAsia="ArialMT" w:hAnsi="ArialMT" w:cs="ArialMT"/>
          <w:i/>
          <w:sz w:val="18"/>
        </w:rPr>
        <w:t>East Coast Gas Inquiry</w:t>
      </w:r>
      <w:r>
        <w:rPr>
          <w:rFonts w:ascii="ArialMT" w:eastAsia="ArialMT" w:hAnsi="ArialMT" w:cs="ArialMT"/>
          <w:sz w:val="18"/>
        </w:rPr>
        <w:t xml:space="preserve">, and the Australian Energy Market Commission's (AEMC) </w:t>
      </w:r>
      <w:r>
        <w:rPr>
          <w:rFonts w:ascii="ArialMT" w:eastAsia="ArialMT" w:hAnsi="ArialMT" w:cs="ArialMT"/>
          <w:i/>
          <w:sz w:val="18"/>
        </w:rPr>
        <w:t xml:space="preserve">East Coast Wholesale Gas Market and Pipeline Frameworks Review </w:t>
      </w:r>
      <w:r>
        <w:rPr>
          <w:rFonts w:ascii="ArialMT" w:eastAsia="ArialMT" w:hAnsi="ArialMT" w:cs="ArialMT"/>
          <w:sz w:val="18"/>
        </w:rPr>
        <w:t>and will put a priority on considering recommendations from this work at the next Council meeting.</w:t>
      </w:r>
    </w:p>
    <w:p w:rsidR="00B837AD" w:rsidRPr="00202411" w:rsidRDefault="00B837AD" w:rsidP="00B837AD">
      <w:pPr>
        <w:spacing w:after="170" w:line="210" w:lineRule="atLeast"/>
        <w:rPr>
          <w:rFonts w:ascii="ArialMT" w:hAnsi="ArialMT"/>
          <w:b/>
          <w:i/>
          <w:sz w:val="18"/>
          <w:szCs w:val="18"/>
        </w:rPr>
      </w:pPr>
      <w:r w:rsidRPr="00202411">
        <w:rPr>
          <w:rFonts w:ascii="ArialMT" w:hAnsi="ArialMT"/>
          <w:b/>
          <w:i/>
          <w:sz w:val="18"/>
          <w:szCs w:val="18"/>
        </w:rPr>
        <w:t>Carbon policy, the energy market and consumers</w:t>
      </w:r>
    </w:p>
    <w:p w:rsidR="00892563" w:rsidRDefault="00892563" w:rsidP="00892563">
      <w:pPr>
        <w:spacing w:after="170"/>
        <w:rPr>
          <w:rFonts w:ascii="ArialMT" w:eastAsia="ArialMT" w:hAnsi="ArialMT" w:cs="ArialMT"/>
          <w:sz w:val="18"/>
        </w:rPr>
      </w:pPr>
      <w:r>
        <w:rPr>
          <w:rFonts w:ascii="ArialMT" w:eastAsia="ArialMT" w:hAnsi="ArialMT" w:cs="ArialMT"/>
          <w:sz w:val="18"/>
        </w:rPr>
        <w:t>The successful integration of carbon and energy policies will be critical to meeting Australia's emissions reduction target of 26 to 28 per</w:t>
      </w:r>
      <w:r w:rsidR="003F738A">
        <w:rPr>
          <w:rFonts w:ascii="ArialMT" w:eastAsia="ArialMT" w:hAnsi="ArialMT" w:cs="ArialMT"/>
          <w:sz w:val="18"/>
        </w:rPr>
        <w:t xml:space="preserve"> </w:t>
      </w:r>
      <w:r>
        <w:rPr>
          <w:rFonts w:ascii="ArialMT" w:eastAsia="ArialMT" w:hAnsi="ArialMT" w:cs="ArialMT"/>
          <w:sz w:val="18"/>
        </w:rPr>
        <w:t>cent below 2005 levels by 2030. Ministers will develop a national approach to connect environmental outcomes and energy policy in the interests of consumers.</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The Council has asked officials to prepare advice that will allow it to better understand the potential impact of carbon policies on the energy sector to facilitate better integration. </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The Council agrees that improving our national energy productivity will deliver greater value from the energy that Australians use. As a first step, the Council today adopted the </w:t>
      </w:r>
      <w:hyperlink r:id="rId15" w:history="1">
        <w:r w:rsidRPr="00AB3607">
          <w:rPr>
            <w:rStyle w:val="Hyperlink"/>
            <w:rFonts w:ascii="ArialMT" w:eastAsia="ArialMT" w:hAnsi="ArialMT" w:cs="ArialMT"/>
            <w:sz w:val="18"/>
          </w:rPr>
          <w:t>National Energy Productivity Plan</w:t>
        </w:r>
      </w:hyperlink>
      <w:r>
        <w:rPr>
          <w:rFonts w:ascii="ArialMT" w:eastAsia="ArialMT" w:hAnsi="ArialMT" w:cs="ArialMT"/>
          <w:sz w:val="18"/>
        </w:rPr>
        <w:t xml:space="preserve"> to increase the economic benefit from each unit of energy consumed.</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The Plan identifies a wide range of new and existing measures, across both energy efficiency and market </w:t>
      </w:r>
      <w:proofErr w:type="gramStart"/>
      <w:r>
        <w:rPr>
          <w:rFonts w:ascii="ArialMT" w:eastAsia="ArialMT" w:hAnsi="ArialMT" w:cs="ArialMT"/>
          <w:sz w:val="18"/>
        </w:rPr>
        <w:t>reform, that are designed to help meet Australia’s emissions reduction targets, while at the same time helping energy consumers to manage and reduce energy costs,</w:t>
      </w:r>
      <w:proofErr w:type="gramEnd"/>
      <w:r>
        <w:rPr>
          <w:rFonts w:ascii="ArialMT" w:eastAsia="ArialMT" w:hAnsi="ArialMT" w:cs="ArialMT"/>
          <w:sz w:val="18"/>
        </w:rPr>
        <w:t xml:space="preserve"> growing the economy and jobs, and boosting competitiveness.</w:t>
      </w:r>
    </w:p>
    <w:p w:rsidR="00892563" w:rsidRDefault="00892563" w:rsidP="00892563">
      <w:pPr>
        <w:rPr>
          <w:rFonts w:ascii="ArialMT" w:eastAsia="ArialMT" w:hAnsi="ArialMT" w:cs="ArialMT"/>
          <w:sz w:val="18"/>
        </w:rPr>
      </w:pPr>
      <w:r>
        <w:rPr>
          <w:rFonts w:ascii="ArialMT" w:eastAsia="ArialMT" w:hAnsi="ArialMT" w:cs="ArialMT"/>
          <w:sz w:val="18"/>
        </w:rPr>
        <w:t>The Plan aims to improve energy productivity by 40 per cent by 2030, by driving: more productive consumer choices, through measures which make consumer energy choices easier, help business compete and provide more efficient incentives; and more productive energy services, through measures which support innovation, competitive modern markets and consumer protections.</w:t>
      </w:r>
    </w:p>
    <w:p w:rsidR="00892563" w:rsidRDefault="00892563" w:rsidP="00892563">
      <w:pPr>
        <w:rPr>
          <w:rFonts w:ascii="ArialMT" w:eastAsia="ArialMT" w:hAnsi="ArialMT" w:cs="ArialMT"/>
          <w:sz w:val="18"/>
        </w:rPr>
      </w:pPr>
    </w:p>
    <w:p w:rsidR="00892563" w:rsidRDefault="00892563" w:rsidP="00892563">
      <w:pPr>
        <w:spacing w:after="170"/>
        <w:rPr>
          <w:rFonts w:ascii="ArialMT" w:eastAsia="ArialMT" w:hAnsi="ArialMT" w:cs="ArialMT"/>
          <w:sz w:val="18"/>
        </w:rPr>
      </w:pPr>
      <w:r>
        <w:rPr>
          <w:rFonts w:ascii="ArialMT" w:eastAsia="ArialMT" w:hAnsi="ArialMT" w:cs="ArialMT"/>
          <w:sz w:val="18"/>
        </w:rPr>
        <w:t>Some measures will be delivered collaboratively by the Council and others by individual jurisdictions, including a range of new commitments from the Commonwealth, such as improvements in vehicle efficiency and a new Energy Use Data Model. The Council will consult closely with stakeholders on the development of new measures under the Plan.</w:t>
      </w:r>
    </w:p>
    <w:p w:rsidR="00B837AD" w:rsidRPr="00202411" w:rsidRDefault="00B837AD" w:rsidP="00B837AD">
      <w:pPr>
        <w:pStyle w:val="text"/>
        <w:rPr>
          <w:b/>
          <w:i/>
          <w:sz w:val="18"/>
          <w:szCs w:val="18"/>
        </w:rPr>
      </w:pPr>
      <w:r w:rsidRPr="00202411">
        <w:rPr>
          <w:b/>
          <w:i/>
          <w:sz w:val="18"/>
          <w:szCs w:val="18"/>
        </w:rPr>
        <w:t>Embracing emerging technologies</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With increasingly complex energy services and emerging technologies, it is critical that markets and the laws and rules that govern them remain effective and that energy consumers have the tools necessary to capture the benefits of new technologies and manage their energy costs. It is also important that regulatory frameworks continue to ensure competitive and technological neutrality so that there is a level playing field and consistent treatment of new technologies that feed into the grid. </w:t>
      </w:r>
    </w:p>
    <w:p w:rsidR="00892563" w:rsidRDefault="00892563" w:rsidP="00892563">
      <w:pPr>
        <w:spacing w:after="170"/>
        <w:rPr>
          <w:rFonts w:ascii="ArialMT" w:eastAsia="ArialMT" w:hAnsi="ArialMT" w:cs="ArialMT"/>
          <w:sz w:val="18"/>
        </w:rPr>
      </w:pPr>
      <w:r>
        <w:rPr>
          <w:rFonts w:ascii="ArialMT" w:eastAsia="ArialMT" w:hAnsi="ArialMT" w:cs="ArialMT"/>
          <w:sz w:val="18"/>
        </w:rPr>
        <w:t xml:space="preserve">The Council has already pursued significant work in this field but agrees there is more to do to ensure consumers benefit and are adequately protected and that the system remains stable. The Council agreed further work is required to successfully transition energy markets to a future where energy provision may be more decentralised and dynamic, and to address specific risks and opportunities identified by officials in the stress testing exercise completed in mid-2015. </w:t>
      </w:r>
    </w:p>
    <w:p w:rsidR="00892563" w:rsidRDefault="00892563" w:rsidP="00892563">
      <w:pPr>
        <w:spacing w:after="170"/>
        <w:rPr>
          <w:rFonts w:ascii="ArialMT" w:eastAsia="ArialMT" w:hAnsi="ArialMT" w:cs="ArialMT"/>
          <w:sz w:val="18"/>
        </w:rPr>
      </w:pPr>
      <w:r>
        <w:rPr>
          <w:rFonts w:ascii="ArialMT" w:eastAsia="ArialMT" w:hAnsi="ArialMT" w:cs="ArialMT"/>
          <w:sz w:val="18"/>
        </w:rPr>
        <w:t>The Council agreed a strategic program of work to ensure regulatory frameworks are ready to cope with the effects of emerging technologies such as batteries and enable consumers to benefit from innovative services while mitigating risks. Officials will work with industry and other authorities to fast-track battery safety standards as a priority in 2016. Jurisdictions are progressing work in a collaborative effort to be on the front foot of these technology developments.</w:t>
      </w:r>
    </w:p>
    <w:p w:rsidR="007A546E" w:rsidRDefault="007A546E" w:rsidP="00892563">
      <w:pPr>
        <w:spacing w:after="170"/>
        <w:rPr>
          <w:rFonts w:ascii="ArialMT" w:eastAsia="ArialMT" w:hAnsi="ArialMT" w:cs="ArialMT"/>
          <w:sz w:val="18"/>
        </w:rPr>
      </w:pPr>
    </w:p>
    <w:p w:rsidR="00892563" w:rsidRDefault="00892563" w:rsidP="00892563">
      <w:pPr>
        <w:spacing w:after="170"/>
        <w:rPr>
          <w:rFonts w:ascii="ArialMT" w:eastAsia="ArialMT" w:hAnsi="ArialMT" w:cs="ArialMT"/>
          <w:sz w:val="18"/>
        </w:rPr>
      </w:pPr>
      <w:r>
        <w:rPr>
          <w:rFonts w:ascii="ArialMT" w:eastAsia="ArialMT" w:hAnsi="ArialMT" w:cs="ArialMT"/>
          <w:sz w:val="18"/>
        </w:rPr>
        <w:t>A forward work program, including stakeholder consultation and contacts in lead jurisdictions, will be available in 2016 that will examine:</w:t>
      </w:r>
    </w:p>
    <w:p w:rsidR="00892563" w:rsidRDefault="00892563" w:rsidP="00892563">
      <w:pPr>
        <w:numPr>
          <w:ilvl w:val="0"/>
          <w:numId w:val="16"/>
        </w:numPr>
        <w:spacing w:after="170"/>
        <w:ind w:left="720" w:hanging="360"/>
        <w:rPr>
          <w:rFonts w:ascii="ArialMT" w:eastAsia="ArialMT" w:hAnsi="ArialMT" w:cs="ArialMT"/>
          <w:sz w:val="18"/>
        </w:rPr>
      </w:pPr>
      <w:r>
        <w:rPr>
          <w:rFonts w:ascii="ArialMT" w:eastAsia="ArialMT" w:hAnsi="ArialMT" w:cs="ArialMT"/>
          <w:sz w:val="18"/>
        </w:rPr>
        <w:lastRenderedPageBreak/>
        <w:t>Those services that require economic regulation and those that should be opened to competition;</w:t>
      </w:r>
    </w:p>
    <w:p w:rsidR="00892563" w:rsidRDefault="00892563" w:rsidP="00892563">
      <w:pPr>
        <w:numPr>
          <w:ilvl w:val="0"/>
          <w:numId w:val="16"/>
        </w:numPr>
        <w:spacing w:after="170"/>
        <w:ind w:left="720" w:hanging="360"/>
        <w:rPr>
          <w:rFonts w:ascii="ArialMT" w:eastAsia="ArialMT" w:hAnsi="ArialMT" w:cs="ArialMT"/>
          <w:sz w:val="18"/>
        </w:rPr>
      </w:pPr>
      <w:r>
        <w:rPr>
          <w:rFonts w:ascii="ArialMT" w:eastAsia="ArialMT" w:hAnsi="ArialMT" w:cs="ArialMT"/>
          <w:sz w:val="18"/>
        </w:rPr>
        <w:t xml:space="preserve">The regulation of standalone and non-interconnected systems under the national energy frameworks, where appropriate; </w:t>
      </w:r>
    </w:p>
    <w:p w:rsidR="00892563" w:rsidRDefault="00892563" w:rsidP="00892563">
      <w:pPr>
        <w:numPr>
          <w:ilvl w:val="0"/>
          <w:numId w:val="16"/>
        </w:numPr>
        <w:spacing w:after="170"/>
        <w:ind w:left="720" w:hanging="360"/>
        <w:rPr>
          <w:rFonts w:ascii="ArialMT" w:eastAsia="ArialMT" w:hAnsi="ArialMT" w:cs="ArialMT"/>
          <w:sz w:val="18"/>
        </w:rPr>
      </w:pPr>
      <w:r>
        <w:rPr>
          <w:rFonts w:ascii="ArialMT" w:eastAsia="ArialMT" w:hAnsi="ArialMT" w:cs="ArialMT"/>
          <w:sz w:val="18"/>
        </w:rPr>
        <w:t xml:space="preserve">The appropriateness of existing consumer protections; </w:t>
      </w:r>
    </w:p>
    <w:p w:rsidR="00892563" w:rsidRDefault="00892563" w:rsidP="00892563">
      <w:pPr>
        <w:numPr>
          <w:ilvl w:val="0"/>
          <w:numId w:val="16"/>
        </w:numPr>
        <w:spacing w:after="170"/>
        <w:ind w:left="720" w:hanging="360"/>
        <w:rPr>
          <w:rFonts w:ascii="ArialMT" w:eastAsia="ArialMT" w:hAnsi="ArialMT" w:cs="ArialMT"/>
          <w:sz w:val="18"/>
        </w:rPr>
      </w:pPr>
      <w:r>
        <w:rPr>
          <w:rFonts w:ascii="ArialMT" w:eastAsia="ArialMT" w:hAnsi="ArialMT" w:cs="ArialMT"/>
          <w:sz w:val="18"/>
        </w:rPr>
        <w:t>The flexibility of the regulatory framework for networks to accommodate decentralised supply options;</w:t>
      </w:r>
    </w:p>
    <w:p w:rsidR="00892563" w:rsidRDefault="00892563" w:rsidP="00892563">
      <w:pPr>
        <w:numPr>
          <w:ilvl w:val="0"/>
          <w:numId w:val="16"/>
        </w:numPr>
        <w:spacing w:after="170"/>
        <w:ind w:left="720" w:hanging="360"/>
        <w:rPr>
          <w:rFonts w:ascii="ArialMT" w:eastAsia="ArialMT" w:hAnsi="ArialMT" w:cs="ArialMT"/>
          <w:sz w:val="18"/>
        </w:rPr>
      </w:pPr>
      <w:r>
        <w:rPr>
          <w:rFonts w:ascii="ArialMT" w:eastAsia="ArialMT" w:hAnsi="ArialMT" w:cs="ArialMT"/>
          <w:sz w:val="18"/>
        </w:rPr>
        <w:t>The effectiveness of the existing rules framework in driving efficient network investment and operational decisions, including demand side response solutions; and</w:t>
      </w:r>
    </w:p>
    <w:p w:rsidR="00892563" w:rsidRDefault="00892563" w:rsidP="00892563">
      <w:pPr>
        <w:numPr>
          <w:ilvl w:val="0"/>
          <w:numId w:val="16"/>
        </w:numPr>
        <w:spacing w:after="170"/>
        <w:ind w:left="720" w:hanging="360"/>
        <w:rPr>
          <w:rFonts w:ascii="ArialMT" w:eastAsia="ArialMT" w:hAnsi="ArialMT" w:cs="ArialMT"/>
          <w:sz w:val="18"/>
        </w:rPr>
      </w:pPr>
      <w:r>
        <w:rPr>
          <w:rFonts w:ascii="ArialMT" w:eastAsia="ArialMT" w:hAnsi="ArialMT" w:cs="ArialMT"/>
          <w:sz w:val="18"/>
        </w:rPr>
        <w:t>The adequacy of existing arrangements for securing power system security.</w:t>
      </w:r>
    </w:p>
    <w:p w:rsidR="00892563" w:rsidRDefault="00892563" w:rsidP="00892563">
      <w:pPr>
        <w:spacing w:after="170"/>
        <w:rPr>
          <w:rFonts w:ascii="ArialMT" w:eastAsia="ArialMT" w:hAnsi="ArialMT" w:cs="ArialMT"/>
          <w:sz w:val="18"/>
        </w:rPr>
      </w:pPr>
      <w:r>
        <w:rPr>
          <w:rFonts w:ascii="ArialMT" w:eastAsia="ArialMT" w:hAnsi="ArialMT" w:cs="ArialMT"/>
          <w:sz w:val="18"/>
        </w:rPr>
        <w:t>Officials will report back to the Council at its next meeting.</w:t>
      </w:r>
    </w:p>
    <w:p w:rsidR="00F35C91" w:rsidRDefault="00892563" w:rsidP="00892563">
      <w:pPr>
        <w:spacing w:after="170" w:line="210" w:lineRule="atLeast"/>
        <w:rPr>
          <w:rFonts w:ascii="ArialMT" w:hAnsi="ArialMT"/>
          <w:sz w:val="18"/>
          <w:szCs w:val="18"/>
        </w:rPr>
      </w:pPr>
      <w:r>
        <w:rPr>
          <w:rFonts w:ascii="ArialMT" w:eastAsia="ArialMT" w:hAnsi="ArialMT" w:cs="ArialMT"/>
          <w:sz w:val="18"/>
        </w:rPr>
        <w:t xml:space="preserve">The Council agreed that ring-fencing guidelines, which separate the competitive and regulated parts of network businesses, should facilitate the use of new technologies, like batteries. The Council also agreed that they should support greater participation by all providers, including network businesses, and that further refinement is required to protect the long-term interests of consumers. The Council noted that the Australian Energy Regulator (AER) would conduct a review of ring-fencing arrangements in 2016. The Council agreed that officials and market bodies would collaborate to ensure that revised ring fencing guidelines support competitive </w:t>
      </w:r>
      <w:proofErr w:type="gramStart"/>
      <w:r>
        <w:rPr>
          <w:rFonts w:ascii="ArialMT" w:eastAsia="ArialMT" w:hAnsi="ArialMT" w:cs="ArialMT"/>
          <w:sz w:val="18"/>
        </w:rPr>
        <w:t>markets,</w:t>
      </w:r>
      <w:proofErr w:type="gramEnd"/>
      <w:r>
        <w:rPr>
          <w:rFonts w:ascii="ArialMT" w:eastAsia="ArialMT" w:hAnsi="ArialMT" w:cs="ArialMT"/>
          <w:sz w:val="18"/>
        </w:rPr>
        <w:t xml:space="preserve"> provide market clarity and a level playing field for all energy service providers, while accelerating innovation and efficient investment in network and customer services.</w:t>
      </w:r>
    </w:p>
    <w:p w:rsidR="002D620C" w:rsidRPr="00202411" w:rsidRDefault="002D620C" w:rsidP="002D620C">
      <w:pPr>
        <w:pStyle w:val="text"/>
        <w:spacing w:after="120"/>
        <w:rPr>
          <w:b/>
          <w:i/>
          <w:sz w:val="18"/>
          <w:szCs w:val="18"/>
        </w:rPr>
      </w:pPr>
      <w:r w:rsidRPr="00202411">
        <w:rPr>
          <w:b/>
          <w:i/>
          <w:sz w:val="18"/>
          <w:szCs w:val="18"/>
        </w:rPr>
        <w:t>Review of Governance Arrangements for Australian Energy Markets</w:t>
      </w:r>
    </w:p>
    <w:p w:rsidR="00892563" w:rsidRDefault="00892563" w:rsidP="00892563">
      <w:pPr>
        <w:suppressAutoHyphens/>
        <w:spacing w:after="165"/>
        <w:rPr>
          <w:rFonts w:ascii="ArialMT" w:eastAsia="ArialMT" w:hAnsi="ArialMT" w:cs="ArialMT"/>
          <w:color w:val="000000"/>
          <w:sz w:val="18"/>
        </w:rPr>
      </w:pPr>
      <w:r>
        <w:rPr>
          <w:rFonts w:ascii="ArialMT" w:eastAsia="ArialMT" w:hAnsi="ArialMT" w:cs="ArialMT"/>
          <w:color w:val="000000"/>
          <w:sz w:val="18"/>
        </w:rPr>
        <w:t xml:space="preserve">The Council noted that the </w:t>
      </w:r>
      <w:r>
        <w:rPr>
          <w:rFonts w:ascii="ArialMT" w:eastAsia="ArialMT" w:hAnsi="ArialMT" w:cs="ArialMT"/>
          <w:i/>
          <w:color w:val="000000"/>
          <w:sz w:val="18"/>
        </w:rPr>
        <w:t>Review of Governance Arrangements for Australian Energy Markets</w:t>
      </w:r>
      <w:r>
        <w:rPr>
          <w:rFonts w:ascii="ArialMT" w:eastAsia="ArialMT" w:hAnsi="ArialMT" w:cs="ArialMT"/>
          <w:color w:val="000000"/>
          <w:sz w:val="18"/>
        </w:rPr>
        <w:t xml:space="preserve"> had come at a time of significant change in Australian energy markets: policy makers, market participants and consumers face different challenges compared to when the existing energy market institutions and governance arrangements were first established. </w:t>
      </w:r>
    </w:p>
    <w:p w:rsidR="00892563" w:rsidRDefault="00892563" w:rsidP="00892563">
      <w:pPr>
        <w:suppressAutoHyphens/>
        <w:spacing w:after="165"/>
        <w:rPr>
          <w:rFonts w:ascii="ArialMT" w:eastAsia="ArialMT" w:hAnsi="ArialMT" w:cs="ArialMT"/>
          <w:color w:val="000000"/>
          <w:sz w:val="18"/>
        </w:rPr>
      </w:pPr>
      <w:r>
        <w:rPr>
          <w:rFonts w:ascii="ArialMT" w:eastAsia="ArialMT" w:hAnsi="ArialMT" w:cs="ArialMT"/>
          <w:color w:val="000000"/>
          <w:sz w:val="18"/>
        </w:rPr>
        <w:t>The Review concluded that the current governance arrangements for Australian energy markets are fundamentally sound but that there are opportunities to improve transparency, timeliness, resources, and clarity of function to increase confidence in decision making, energy policy and markets. The Council is committed to working collaboratively with stakeholders and energy market institutions to meet the ongoing challenges of the future energy market and has agreed to implement 48 recommendations of the final report.</w:t>
      </w:r>
    </w:p>
    <w:p w:rsidR="00892563" w:rsidRDefault="00892563" w:rsidP="00892563">
      <w:pPr>
        <w:suppressAutoHyphens/>
        <w:spacing w:after="165"/>
        <w:rPr>
          <w:rFonts w:ascii="ArialMT" w:eastAsia="ArialMT" w:hAnsi="ArialMT" w:cs="ArialMT"/>
          <w:color w:val="000000"/>
          <w:sz w:val="18"/>
        </w:rPr>
      </w:pPr>
      <w:r>
        <w:rPr>
          <w:rFonts w:ascii="ArialMT" w:eastAsia="ArialMT" w:hAnsi="ArialMT" w:cs="ArialMT"/>
          <w:color w:val="000000"/>
          <w:sz w:val="18"/>
        </w:rPr>
        <w:t xml:space="preserve">The Council has now released its </w:t>
      </w:r>
      <w:hyperlink r:id="rId16" w:history="1">
        <w:r w:rsidRPr="00AB3607">
          <w:rPr>
            <w:rStyle w:val="Hyperlink"/>
            <w:rFonts w:ascii="ArialMT" w:eastAsia="ArialMT" w:hAnsi="ArialMT" w:cs="ArialMT"/>
            <w:sz w:val="18"/>
          </w:rPr>
          <w:t>response</w:t>
        </w:r>
      </w:hyperlink>
      <w:r>
        <w:rPr>
          <w:rFonts w:ascii="ArialMT" w:eastAsia="ArialMT" w:hAnsi="ArialMT" w:cs="ArialMT"/>
          <w:color w:val="000000"/>
          <w:sz w:val="18"/>
        </w:rPr>
        <w:t xml:space="preserve"> to the recommendations of the Review and is committed to significant reform, including changes to:</w:t>
      </w:r>
    </w:p>
    <w:p w:rsidR="00892563" w:rsidRDefault="00892563" w:rsidP="00892563">
      <w:pPr>
        <w:numPr>
          <w:ilvl w:val="0"/>
          <w:numId w:val="17"/>
        </w:numPr>
        <w:suppressAutoHyphens/>
        <w:spacing w:after="165"/>
        <w:ind w:left="771" w:hanging="357"/>
        <w:rPr>
          <w:rFonts w:ascii="ArialMT" w:eastAsia="ArialMT" w:hAnsi="ArialMT" w:cs="ArialMT"/>
          <w:color w:val="000000"/>
          <w:sz w:val="18"/>
        </w:rPr>
      </w:pPr>
      <w:r>
        <w:rPr>
          <w:rFonts w:ascii="ArialMT" w:eastAsia="ArialMT" w:hAnsi="ArialMT" w:cs="ArialMT"/>
          <w:color w:val="000000"/>
          <w:sz w:val="18"/>
        </w:rPr>
        <w:t xml:space="preserve">The effective functioning of the Council, its Senior Committee of Officials (SCO), the AEMC, AER, and AEMO to improve strategic direction, </w:t>
      </w:r>
      <w:proofErr w:type="spellStart"/>
      <w:r>
        <w:rPr>
          <w:rFonts w:ascii="ArialMT" w:eastAsia="ArialMT" w:hAnsi="ArialMT" w:cs="ArialMT"/>
          <w:color w:val="000000"/>
          <w:sz w:val="18"/>
        </w:rPr>
        <w:t>prioritisation</w:t>
      </w:r>
      <w:proofErr w:type="spellEnd"/>
      <w:r>
        <w:rPr>
          <w:rFonts w:ascii="ArialMT" w:eastAsia="ArialMT" w:hAnsi="ArialMT" w:cs="ArialMT"/>
          <w:color w:val="000000"/>
          <w:sz w:val="18"/>
        </w:rPr>
        <w:t xml:space="preserve"> of key issues, clarity of roles and responsibilities, and strengthen independence;</w:t>
      </w:r>
    </w:p>
    <w:p w:rsidR="00892563" w:rsidRDefault="00892563" w:rsidP="00892563">
      <w:pPr>
        <w:numPr>
          <w:ilvl w:val="0"/>
          <w:numId w:val="17"/>
        </w:numPr>
        <w:suppressAutoHyphens/>
        <w:spacing w:after="165"/>
        <w:ind w:left="771" w:hanging="357"/>
        <w:rPr>
          <w:rFonts w:ascii="ArialMT" w:eastAsia="ArialMT" w:hAnsi="ArialMT" w:cs="ArialMT"/>
          <w:color w:val="000000"/>
          <w:sz w:val="18"/>
        </w:rPr>
      </w:pPr>
      <w:r>
        <w:rPr>
          <w:rFonts w:ascii="ArialMT" w:eastAsia="ArialMT" w:hAnsi="ArialMT" w:cs="ArialMT"/>
          <w:color w:val="000000"/>
          <w:sz w:val="18"/>
        </w:rPr>
        <w:t>Institutional funding; and</w:t>
      </w:r>
    </w:p>
    <w:p w:rsidR="00892563" w:rsidRDefault="00892563" w:rsidP="00892563">
      <w:pPr>
        <w:numPr>
          <w:ilvl w:val="0"/>
          <w:numId w:val="17"/>
        </w:numPr>
        <w:suppressAutoHyphens/>
        <w:spacing w:after="165"/>
        <w:ind w:left="771" w:hanging="357"/>
        <w:rPr>
          <w:rFonts w:ascii="ArialMT" w:eastAsia="ArialMT" w:hAnsi="ArialMT" w:cs="ArialMT"/>
          <w:color w:val="000000"/>
          <w:sz w:val="18"/>
        </w:rPr>
      </w:pPr>
      <w:r>
        <w:rPr>
          <w:rFonts w:ascii="ArialMT" w:eastAsia="ArialMT" w:hAnsi="ArialMT" w:cs="ArialMT"/>
          <w:color w:val="000000"/>
          <w:sz w:val="18"/>
        </w:rPr>
        <w:t xml:space="preserve">Institutional capability, including personnel and </w:t>
      </w:r>
      <w:proofErr w:type="spellStart"/>
      <w:r>
        <w:rPr>
          <w:rFonts w:ascii="ArialMT" w:eastAsia="ArialMT" w:hAnsi="ArialMT" w:cs="ArialMT"/>
          <w:color w:val="000000"/>
          <w:sz w:val="18"/>
        </w:rPr>
        <w:t>organisational</w:t>
      </w:r>
      <w:proofErr w:type="spellEnd"/>
      <w:r>
        <w:rPr>
          <w:rFonts w:ascii="ArialMT" w:eastAsia="ArialMT" w:hAnsi="ArialMT" w:cs="ArialMT"/>
          <w:color w:val="000000"/>
          <w:sz w:val="18"/>
        </w:rPr>
        <w:t xml:space="preserve"> culture changes.</w:t>
      </w:r>
    </w:p>
    <w:p w:rsidR="00892563" w:rsidRPr="00892563" w:rsidRDefault="00892563" w:rsidP="00892563">
      <w:pPr>
        <w:suppressAutoHyphens/>
        <w:spacing w:before="360" w:after="165"/>
        <w:rPr>
          <w:rFonts w:ascii="ArialMT" w:eastAsia="ArialMT" w:hAnsi="ArialMT" w:cs="ArialMT"/>
          <w:color w:val="000000"/>
          <w:sz w:val="18"/>
        </w:rPr>
      </w:pPr>
      <w:r w:rsidRPr="00892563">
        <w:rPr>
          <w:rFonts w:ascii="ArialMT" w:eastAsia="ArialMT" w:hAnsi="ArialMT" w:cs="ArialMT"/>
          <w:color w:val="000000"/>
          <w:sz w:val="18"/>
        </w:rPr>
        <w:t>The Council began work to respond to those recommendations before the final report was received under its ‘Better Governance and Stakeholder Engagement’ work</w:t>
      </w:r>
      <w:r w:rsidR="008D3530">
        <w:rPr>
          <w:rFonts w:ascii="ArialMT" w:eastAsia="ArialMT" w:hAnsi="ArialMT" w:cs="ArialMT"/>
          <w:color w:val="000000"/>
          <w:sz w:val="18"/>
        </w:rPr>
        <w:t xml:space="preserve"> </w:t>
      </w:r>
      <w:bookmarkStart w:id="0" w:name="_GoBack"/>
      <w:bookmarkEnd w:id="0"/>
      <w:r w:rsidRPr="00892563">
        <w:rPr>
          <w:rFonts w:ascii="ArialMT" w:eastAsia="ArialMT" w:hAnsi="ArialMT" w:cs="ArialMT"/>
          <w:color w:val="000000"/>
          <w:sz w:val="18"/>
        </w:rPr>
        <w:t xml:space="preserve">stream. The Council is: </w:t>
      </w:r>
    </w:p>
    <w:p w:rsidR="002D620C" w:rsidRDefault="00892563" w:rsidP="00ED5976">
      <w:pPr>
        <w:pStyle w:val="BasicParagraph"/>
        <w:numPr>
          <w:ilvl w:val="0"/>
          <w:numId w:val="14"/>
        </w:numPr>
        <w:suppressAutoHyphens/>
        <w:spacing w:after="165" w:line="210" w:lineRule="atLeast"/>
        <w:ind w:left="714" w:hanging="357"/>
        <w:contextualSpacing/>
        <w:rPr>
          <w:rFonts w:ascii="ArialMT" w:hAnsi="ArialMT" w:cs="ArialMT"/>
          <w:sz w:val="18"/>
          <w:szCs w:val="18"/>
        </w:rPr>
      </w:pPr>
      <w:r>
        <w:rPr>
          <w:rFonts w:ascii="ArialMT" w:hAnsi="ArialMT" w:cs="ArialMT"/>
          <w:sz w:val="18"/>
          <w:szCs w:val="18"/>
        </w:rPr>
        <w:t>Increasing the SCO role in prioritising, refining and monitoring the Council’s policy agenda;</w:t>
      </w:r>
    </w:p>
    <w:p w:rsidR="002D620C" w:rsidRDefault="00892563" w:rsidP="00ED5976">
      <w:pPr>
        <w:pStyle w:val="BasicParagraph"/>
        <w:numPr>
          <w:ilvl w:val="0"/>
          <w:numId w:val="14"/>
        </w:numPr>
        <w:suppressAutoHyphens/>
        <w:spacing w:after="165" w:line="210" w:lineRule="atLeast"/>
        <w:ind w:left="714" w:hanging="357"/>
        <w:contextualSpacing/>
        <w:rPr>
          <w:rFonts w:ascii="ArialMT" w:hAnsi="ArialMT" w:cs="ArialMT"/>
          <w:sz w:val="18"/>
          <w:szCs w:val="18"/>
        </w:rPr>
      </w:pPr>
      <w:r>
        <w:rPr>
          <w:rFonts w:ascii="ArialMT" w:hAnsi="ArialMT" w:cs="ArialMT"/>
          <w:sz w:val="18"/>
          <w:szCs w:val="18"/>
        </w:rPr>
        <w:t>Improving the Council’s reporting documents, website, communiqu</w:t>
      </w:r>
      <w:r>
        <w:rPr>
          <w:rFonts w:ascii="Arial" w:hAnsi="Arial" w:cs="Arial"/>
          <w:sz w:val="18"/>
          <w:szCs w:val="18"/>
        </w:rPr>
        <w:t>é</w:t>
      </w:r>
      <w:r>
        <w:rPr>
          <w:rFonts w:ascii="ArialMT" w:hAnsi="ArialMT" w:cs="ArialMT"/>
          <w:sz w:val="18"/>
          <w:szCs w:val="18"/>
        </w:rPr>
        <w:t>s and external facing communication documents</w:t>
      </w:r>
      <w:r w:rsidR="002D620C" w:rsidRPr="004F24AC">
        <w:rPr>
          <w:rFonts w:ascii="ArialMT" w:hAnsi="ArialMT" w:cs="ArialMT"/>
          <w:sz w:val="18"/>
          <w:szCs w:val="18"/>
        </w:rPr>
        <w:t>; and</w:t>
      </w:r>
    </w:p>
    <w:p w:rsidR="002D620C" w:rsidRDefault="00892563" w:rsidP="00ED5976">
      <w:pPr>
        <w:pStyle w:val="BasicParagraph"/>
        <w:numPr>
          <w:ilvl w:val="0"/>
          <w:numId w:val="14"/>
        </w:numPr>
        <w:suppressAutoHyphens/>
        <w:spacing w:after="165" w:line="210" w:lineRule="atLeast"/>
        <w:ind w:left="714" w:hanging="357"/>
        <w:contextualSpacing/>
        <w:rPr>
          <w:rFonts w:ascii="ArialMT" w:hAnsi="ArialMT" w:cs="ArialMT"/>
          <w:sz w:val="18"/>
          <w:szCs w:val="18"/>
        </w:rPr>
      </w:pPr>
      <w:r>
        <w:rPr>
          <w:rFonts w:ascii="ArialMT" w:hAnsi="ArialMT" w:cs="ArialMT"/>
          <w:sz w:val="18"/>
          <w:szCs w:val="18"/>
        </w:rPr>
        <w:t>Implementing better processes for stakeholder engagement with the Council and SCO.</w:t>
      </w:r>
    </w:p>
    <w:p w:rsidR="002D620C" w:rsidRPr="00202411" w:rsidRDefault="002D620C" w:rsidP="002D620C">
      <w:pPr>
        <w:pStyle w:val="BasicParagraph"/>
        <w:suppressAutoHyphens/>
        <w:spacing w:after="165" w:line="210" w:lineRule="atLeast"/>
        <w:rPr>
          <w:rFonts w:ascii="ArialMT" w:hAnsi="ArialMT"/>
          <w:sz w:val="18"/>
          <w:szCs w:val="18"/>
        </w:rPr>
      </w:pPr>
    </w:p>
    <w:p w:rsidR="00B837AD" w:rsidRPr="00202411" w:rsidRDefault="00B837AD" w:rsidP="00B837AD">
      <w:pPr>
        <w:pStyle w:val="bulletscyan"/>
        <w:rPr>
          <w:sz w:val="18"/>
          <w:szCs w:val="18"/>
          <w:highlight w:val="yellow"/>
        </w:rPr>
        <w:sectPr w:rsidR="00B837AD" w:rsidRPr="00202411" w:rsidSect="00E5102F">
          <w:headerReference w:type="default" r:id="rId17"/>
          <w:headerReference w:type="first" r:id="rId18"/>
          <w:type w:val="continuous"/>
          <w:pgSz w:w="11900" w:h="16840"/>
          <w:pgMar w:top="1276" w:right="737" w:bottom="794" w:left="3969" w:header="680" w:footer="510" w:gutter="0"/>
          <w:cols w:space="708"/>
          <w:titlePg/>
        </w:sectPr>
      </w:pPr>
    </w:p>
    <w:p w:rsidR="00892563" w:rsidRDefault="00892563" w:rsidP="00B837AD">
      <w:pPr>
        <w:spacing w:before="240" w:after="240"/>
        <w:rPr>
          <w:rFonts w:ascii="ArialMT" w:eastAsiaTheme="majorEastAsia" w:hAnsi="ArialMT"/>
          <w:b/>
          <w:color w:val="4F81BD" w:themeColor="accent1"/>
          <w:sz w:val="18"/>
          <w:szCs w:val="18"/>
        </w:rPr>
      </w:pPr>
    </w:p>
    <w:p w:rsidR="00B837AD" w:rsidRPr="00202411" w:rsidRDefault="00B837AD" w:rsidP="00B837AD">
      <w:pPr>
        <w:spacing w:before="240" w:after="240"/>
        <w:rPr>
          <w:rFonts w:ascii="ArialMT" w:eastAsiaTheme="majorEastAsia" w:hAnsi="ArialMT" w:hint="eastAsia"/>
          <w:b/>
          <w:color w:val="4F81BD" w:themeColor="accent1"/>
          <w:sz w:val="18"/>
          <w:szCs w:val="18"/>
        </w:rPr>
      </w:pPr>
      <w:r w:rsidRPr="00202411">
        <w:rPr>
          <w:rFonts w:ascii="ArialMT" w:eastAsiaTheme="majorEastAsia" w:hAnsi="ArialMT"/>
          <w:b/>
          <w:color w:val="4F81BD" w:themeColor="accent1"/>
          <w:sz w:val="18"/>
          <w:szCs w:val="18"/>
        </w:rPr>
        <w:lastRenderedPageBreak/>
        <w:t>Discussion Items</w:t>
      </w:r>
    </w:p>
    <w:p w:rsidR="007A546E" w:rsidRDefault="007A546E" w:rsidP="00552FCC">
      <w:pPr>
        <w:spacing w:after="170" w:line="210" w:lineRule="atLeast"/>
        <w:rPr>
          <w:rFonts w:ascii="ArialMT" w:hAnsi="ArialMT" w:cs="ArialMT"/>
          <w:sz w:val="18"/>
          <w:szCs w:val="18"/>
        </w:rPr>
      </w:pPr>
      <w:r>
        <w:rPr>
          <w:rFonts w:ascii="ArialMT" w:hAnsi="ArialMT" w:cs="ArialMT"/>
          <w:sz w:val="18"/>
          <w:szCs w:val="18"/>
        </w:rPr>
        <w:t>Further changes will be implemented</w:t>
      </w:r>
      <w:r w:rsidRPr="00202411">
        <w:rPr>
          <w:rFonts w:ascii="ArialMT" w:hAnsi="ArialMT" w:cs="ArialMT"/>
          <w:sz w:val="18"/>
          <w:szCs w:val="18"/>
        </w:rPr>
        <w:t xml:space="preserve"> collaboratively with the energy market institutions to improve the clarity of their roles and the resilience of the governance framework for Australia's energy markets</w:t>
      </w:r>
      <w:r>
        <w:rPr>
          <w:rFonts w:ascii="ArialMT" w:hAnsi="ArialMT" w:cs="ArialMT"/>
          <w:sz w:val="18"/>
          <w:szCs w:val="18"/>
        </w:rPr>
        <w:t>.</w:t>
      </w:r>
    </w:p>
    <w:p w:rsidR="00552FCC" w:rsidRPr="00202411" w:rsidRDefault="00552FCC" w:rsidP="00552FCC">
      <w:pPr>
        <w:spacing w:after="170" w:line="210" w:lineRule="atLeast"/>
        <w:rPr>
          <w:rFonts w:ascii="ArialMT" w:hAnsi="ArialMT"/>
          <w:b/>
          <w:i/>
          <w:sz w:val="18"/>
          <w:szCs w:val="18"/>
        </w:rPr>
      </w:pPr>
      <w:r w:rsidRPr="00202411">
        <w:rPr>
          <w:rFonts w:ascii="ArialMT" w:hAnsi="ArialMT"/>
          <w:b/>
          <w:i/>
          <w:sz w:val="18"/>
          <w:szCs w:val="18"/>
        </w:rPr>
        <w:t>Productivity Commission inquiry into Mineral and Energy Resources Exploration</w:t>
      </w:r>
    </w:p>
    <w:p w:rsidR="009A20E8" w:rsidRDefault="009A20E8" w:rsidP="009A20E8">
      <w:pPr>
        <w:spacing w:after="170"/>
        <w:rPr>
          <w:rFonts w:ascii="ArialMT" w:eastAsia="ArialMT" w:hAnsi="ArialMT" w:cs="ArialMT"/>
          <w:sz w:val="18"/>
        </w:rPr>
      </w:pPr>
      <w:r>
        <w:rPr>
          <w:rFonts w:ascii="ArialMT" w:eastAsia="ArialMT" w:hAnsi="ArialMT" w:cs="ArialMT"/>
          <w:sz w:val="18"/>
        </w:rPr>
        <w:t xml:space="preserve">Significant progress has been made in implementing recommendations from the Productivity Commission’s </w:t>
      </w:r>
      <w:r>
        <w:rPr>
          <w:rFonts w:ascii="ArialMT" w:eastAsia="ArialMT" w:hAnsi="ArialMT" w:cs="ArialMT"/>
          <w:i/>
          <w:sz w:val="18"/>
        </w:rPr>
        <w:t>Inquiry Report into Mineral and Energy Resources Exploration</w:t>
      </w:r>
      <w:r>
        <w:rPr>
          <w:rFonts w:ascii="ArialMT" w:eastAsia="ArialMT" w:hAnsi="ArialMT" w:cs="ArialMT"/>
          <w:sz w:val="18"/>
        </w:rPr>
        <w:t>. The Report provided 22 recommendations to improve regulatory efficiency and reduce red tape and costs for explorers, covering licensing and approvals, land access, heritage protection and environmental management.</w:t>
      </w:r>
    </w:p>
    <w:p w:rsidR="009A20E8" w:rsidRDefault="009A20E8" w:rsidP="009A20E8">
      <w:pPr>
        <w:spacing w:after="170"/>
        <w:rPr>
          <w:rFonts w:ascii="ArialMT" w:eastAsia="ArialMT" w:hAnsi="ArialMT" w:cs="ArialMT"/>
          <w:sz w:val="18"/>
        </w:rPr>
      </w:pPr>
      <w:r>
        <w:rPr>
          <w:rFonts w:ascii="ArialMT" w:eastAsia="ArialMT" w:hAnsi="ArialMT" w:cs="ArialMT"/>
          <w:sz w:val="18"/>
        </w:rPr>
        <w:t xml:space="preserve">However, in response to </w:t>
      </w:r>
      <w:proofErr w:type="spellStart"/>
      <w:r>
        <w:rPr>
          <w:rFonts w:ascii="ArialMT" w:eastAsia="ArialMT" w:hAnsi="ArialMT" w:cs="ArialMT"/>
          <w:sz w:val="18"/>
        </w:rPr>
        <w:t>recognised</w:t>
      </w:r>
      <w:proofErr w:type="spellEnd"/>
      <w:r>
        <w:rPr>
          <w:rFonts w:ascii="ArialMT" w:eastAsia="ArialMT" w:hAnsi="ArialMT" w:cs="ArialMT"/>
          <w:sz w:val="18"/>
        </w:rPr>
        <w:t xml:space="preserve"> limitations and resource constraints to implementing some recommendations, Ministers agreed to consider options for heritage protection that address barriers to exploration, while ensuring safeguards are in place so that sensitive information is only provided to parties on the basis of agreed protocols. </w:t>
      </w:r>
    </w:p>
    <w:p w:rsidR="00DF6B2A" w:rsidRPr="00527FCB" w:rsidRDefault="00AE190C" w:rsidP="00213396">
      <w:pPr>
        <w:pStyle w:val="text"/>
        <w:rPr>
          <w:rFonts w:eastAsiaTheme="majorEastAsia" w:hint="eastAsia"/>
          <w:b/>
          <w:color w:val="4F81BD" w:themeColor="accent1"/>
        </w:rPr>
      </w:pPr>
      <w:r>
        <w:br w:type="column"/>
      </w:r>
      <w:r w:rsidR="00DF6B2A" w:rsidRPr="00527FCB">
        <w:rPr>
          <w:rFonts w:eastAsiaTheme="majorEastAsia"/>
          <w:b/>
          <w:color w:val="4F81BD" w:themeColor="accent1"/>
        </w:rPr>
        <w:lastRenderedPageBreak/>
        <w:t>Membership</w:t>
      </w:r>
    </w:p>
    <w:p w:rsidR="00DF6B2A" w:rsidRDefault="00DF6B2A" w:rsidP="00DF6B2A">
      <w:pPr>
        <w:pStyle w:val="bulletscyan"/>
        <w:spacing w:after="240"/>
        <w:ind w:left="0" w:firstLine="0"/>
      </w:pPr>
      <w:r w:rsidRPr="001302E8">
        <w:t>The COAG Energy Council comprises Commonwealth, State, Territory and New Zealand Ministers responsible for energy and resources.</w:t>
      </w:r>
    </w:p>
    <w:tbl>
      <w:tblPr>
        <w:tblStyle w:val="TableGrid"/>
        <w:tblW w:w="4164" w:type="pct"/>
        <w:jc w:val="center"/>
        <w:tblInd w:w="-1325" w:type="dxa"/>
        <w:tblLook w:val="04A0" w:firstRow="1" w:lastRow="0" w:firstColumn="1" w:lastColumn="0" w:noHBand="0" w:noVBand="1"/>
      </w:tblPr>
      <w:tblGrid>
        <w:gridCol w:w="2661"/>
        <w:gridCol w:w="3510"/>
      </w:tblGrid>
      <w:tr w:rsidR="00DF6B2A" w:rsidRPr="00C62698" w:rsidTr="006A45E7">
        <w:trPr>
          <w:jc w:val="center"/>
        </w:trPr>
        <w:tc>
          <w:tcPr>
            <w:tcW w:w="2661" w:type="dxa"/>
            <w:hideMark/>
          </w:tcPr>
          <w:p w:rsidR="00DF6B2A" w:rsidRPr="001302E8" w:rsidRDefault="00DF6B2A" w:rsidP="00202411">
            <w:pPr>
              <w:pStyle w:val="bulletscyan"/>
              <w:ind w:left="0" w:firstLine="0"/>
              <w:rPr>
                <w:rFonts w:eastAsia="Cambria"/>
              </w:rPr>
            </w:pPr>
            <w:r w:rsidRPr="001302E8">
              <w:rPr>
                <w:rFonts w:eastAsia="Cambria"/>
              </w:rPr>
              <w:t>Commonwealth</w:t>
            </w:r>
            <w:r>
              <w:rPr>
                <w:rFonts w:eastAsia="Cambria"/>
              </w:rPr>
              <w:br/>
            </w:r>
            <w:r w:rsidRPr="001302E8">
              <w:rPr>
                <w:rFonts w:eastAsia="Cambria"/>
              </w:rPr>
              <w:t>(Chair)</w:t>
            </w:r>
          </w:p>
        </w:tc>
        <w:tc>
          <w:tcPr>
            <w:tcW w:w="3510" w:type="dxa"/>
            <w:hideMark/>
          </w:tcPr>
          <w:p w:rsidR="00DF6B2A" w:rsidRPr="001302E8" w:rsidRDefault="00DF6B2A" w:rsidP="00E35171">
            <w:pPr>
              <w:pStyle w:val="bulletscyan"/>
              <w:ind w:left="0" w:firstLine="0"/>
              <w:rPr>
                <w:rFonts w:eastAsia="Cambria"/>
              </w:rPr>
            </w:pPr>
            <w:r w:rsidRPr="001302E8">
              <w:rPr>
                <w:rFonts w:eastAsia="Cambria"/>
              </w:rPr>
              <w:t xml:space="preserve">The Hon </w:t>
            </w:r>
            <w:r w:rsidR="00A04D84">
              <w:rPr>
                <w:rFonts w:eastAsia="Cambria"/>
              </w:rPr>
              <w:t>Josh Frydenberg</w:t>
            </w:r>
            <w:r w:rsidRPr="001302E8">
              <w:rPr>
                <w:rFonts w:eastAsia="Cambria"/>
              </w:rPr>
              <w:t xml:space="preserve"> MP</w:t>
            </w:r>
            <w:r w:rsidRPr="001302E8">
              <w:rPr>
                <w:rFonts w:eastAsia="Cambria"/>
              </w:rPr>
              <w:br/>
              <w:t xml:space="preserve">Minister for </w:t>
            </w:r>
            <w:r w:rsidR="00A04D84">
              <w:rPr>
                <w:rFonts w:eastAsia="Cambria"/>
              </w:rPr>
              <w:t>Resources, Energy and Northern Australia</w:t>
            </w:r>
          </w:p>
        </w:tc>
      </w:tr>
      <w:tr w:rsidR="00DF6B2A" w:rsidRPr="00C62698" w:rsidTr="006A45E7">
        <w:trPr>
          <w:jc w:val="center"/>
        </w:trPr>
        <w:tc>
          <w:tcPr>
            <w:tcW w:w="2661" w:type="dxa"/>
            <w:hideMark/>
          </w:tcPr>
          <w:p w:rsidR="00DF6B2A" w:rsidRPr="001302E8" w:rsidRDefault="00DF6B2A" w:rsidP="00202411">
            <w:pPr>
              <w:pStyle w:val="bulletscyan"/>
              <w:ind w:left="0" w:firstLine="0"/>
              <w:rPr>
                <w:rFonts w:eastAsia="Cambria"/>
              </w:rPr>
            </w:pPr>
            <w:r w:rsidRPr="001302E8">
              <w:rPr>
                <w:rFonts w:eastAsia="Cambria"/>
              </w:rPr>
              <w:t>New South Wales</w:t>
            </w:r>
          </w:p>
        </w:tc>
        <w:tc>
          <w:tcPr>
            <w:tcW w:w="3510" w:type="dxa"/>
            <w:hideMark/>
          </w:tcPr>
          <w:p w:rsidR="00DF6B2A" w:rsidRPr="001302E8" w:rsidRDefault="00DF6B2A" w:rsidP="00202411">
            <w:pPr>
              <w:pStyle w:val="bulletscyan"/>
              <w:ind w:left="0" w:firstLine="0"/>
              <w:rPr>
                <w:rFonts w:eastAsia="Cambria"/>
              </w:rPr>
            </w:pPr>
            <w:r w:rsidRPr="001302E8">
              <w:rPr>
                <w:rFonts w:eastAsia="Cambria"/>
              </w:rPr>
              <w:t>The Hon Anthony Roberts MP</w:t>
            </w:r>
            <w:r w:rsidRPr="001302E8">
              <w:rPr>
                <w:rFonts w:eastAsia="Cambria"/>
              </w:rPr>
              <w:br/>
              <w:t xml:space="preserve">Minister for </w:t>
            </w:r>
            <w:r>
              <w:rPr>
                <w:rFonts w:eastAsia="Cambria"/>
              </w:rPr>
              <w:t xml:space="preserve">Industry, </w:t>
            </w:r>
            <w:r w:rsidRPr="001302E8">
              <w:rPr>
                <w:rFonts w:eastAsia="Cambria"/>
              </w:rPr>
              <w:t>Resources and Energy</w:t>
            </w:r>
          </w:p>
        </w:tc>
      </w:tr>
      <w:tr w:rsidR="00DF6B2A" w:rsidRPr="00C62698" w:rsidTr="006A45E7">
        <w:trPr>
          <w:jc w:val="center"/>
        </w:trPr>
        <w:tc>
          <w:tcPr>
            <w:tcW w:w="2661" w:type="dxa"/>
            <w:hideMark/>
          </w:tcPr>
          <w:p w:rsidR="00DF6B2A" w:rsidRPr="001302E8" w:rsidRDefault="00DF6B2A" w:rsidP="00202411">
            <w:pPr>
              <w:pStyle w:val="bulletscyan"/>
              <w:ind w:left="0" w:firstLine="0"/>
              <w:rPr>
                <w:rFonts w:eastAsia="Cambria"/>
              </w:rPr>
            </w:pPr>
            <w:r w:rsidRPr="001302E8">
              <w:rPr>
                <w:rFonts w:eastAsia="Cambria"/>
              </w:rPr>
              <w:t>Victoria</w:t>
            </w:r>
          </w:p>
        </w:tc>
        <w:tc>
          <w:tcPr>
            <w:tcW w:w="3510" w:type="dxa"/>
            <w:hideMark/>
          </w:tcPr>
          <w:p w:rsidR="00DF6B2A" w:rsidRPr="001302E8" w:rsidRDefault="00DF6B2A" w:rsidP="00202411">
            <w:pPr>
              <w:pStyle w:val="bulletscyan"/>
              <w:ind w:left="0" w:firstLine="0"/>
              <w:rPr>
                <w:rFonts w:eastAsia="Cambria"/>
              </w:rPr>
            </w:pPr>
            <w:r w:rsidRPr="001302E8">
              <w:rPr>
                <w:rFonts w:eastAsia="Cambria"/>
              </w:rPr>
              <w:t xml:space="preserve">The Hon </w:t>
            </w:r>
            <w:r>
              <w:rPr>
                <w:rFonts w:eastAsia="Cambria"/>
              </w:rPr>
              <w:t xml:space="preserve">Liliana </w:t>
            </w:r>
            <w:proofErr w:type="spellStart"/>
            <w:r>
              <w:rPr>
                <w:rFonts w:eastAsia="Cambria"/>
              </w:rPr>
              <w:t>D’Ambrosio</w:t>
            </w:r>
            <w:proofErr w:type="spellEnd"/>
            <w:r>
              <w:rPr>
                <w:rFonts w:eastAsia="Cambria"/>
              </w:rPr>
              <w:t xml:space="preserve"> </w:t>
            </w:r>
            <w:r w:rsidRPr="001302E8">
              <w:rPr>
                <w:rFonts w:eastAsia="Cambria"/>
              </w:rPr>
              <w:t>MP</w:t>
            </w:r>
            <w:r w:rsidRPr="001302E8">
              <w:rPr>
                <w:rFonts w:eastAsia="Cambria"/>
              </w:rPr>
              <w:br/>
              <w:t>Minister for Energy and Resources</w:t>
            </w:r>
          </w:p>
        </w:tc>
      </w:tr>
      <w:tr w:rsidR="00DF6B2A" w:rsidRPr="00C62698" w:rsidTr="006A45E7">
        <w:trPr>
          <w:jc w:val="center"/>
        </w:trPr>
        <w:tc>
          <w:tcPr>
            <w:tcW w:w="2661" w:type="dxa"/>
            <w:vMerge w:val="restart"/>
            <w:hideMark/>
          </w:tcPr>
          <w:p w:rsidR="00DF6B2A" w:rsidRPr="001302E8" w:rsidRDefault="00DF6B2A" w:rsidP="00202411">
            <w:pPr>
              <w:pStyle w:val="bulletscyan"/>
              <w:ind w:left="0" w:firstLine="0"/>
              <w:rPr>
                <w:rFonts w:eastAsia="Cambria"/>
              </w:rPr>
            </w:pPr>
            <w:r w:rsidRPr="001302E8">
              <w:rPr>
                <w:rFonts w:eastAsia="Cambria"/>
              </w:rPr>
              <w:t>Queensland</w:t>
            </w:r>
          </w:p>
        </w:tc>
        <w:tc>
          <w:tcPr>
            <w:tcW w:w="3510" w:type="dxa"/>
          </w:tcPr>
          <w:p w:rsidR="00DF6B2A" w:rsidRPr="00400607" w:rsidRDefault="00DF6B2A" w:rsidP="00202411">
            <w:pPr>
              <w:pStyle w:val="bulletscyan"/>
              <w:ind w:left="0" w:firstLine="0"/>
              <w:rPr>
                <w:rFonts w:eastAsia="Cambria"/>
              </w:rPr>
            </w:pPr>
            <w:r w:rsidRPr="00400607">
              <w:rPr>
                <w:rFonts w:eastAsia="Cambria"/>
              </w:rPr>
              <w:t xml:space="preserve">The Hon Dr Anthony </w:t>
            </w:r>
            <w:proofErr w:type="spellStart"/>
            <w:r w:rsidRPr="00400607">
              <w:rPr>
                <w:rFonts w:eastAsia="Cambria"/>
              </w:rPr>
              <w:t>Lynham</w:t>
            </w:r>
            <w:proofErr w:type="spellEnd"/>
            <w:r w:rsidRPr="00400607">
              <w:rPr>
                <w:rFonts w:eastAsia="Cambria"/>
              </w:rPr>
              <w:t xml:space="preserve"> MP</w:t>
            </w:r>
            <w:r>
              <w:rPr>
                <w:rFonts w:eastAsia="Cambria"/>
              </w:rPr>
              <w:br/>
            </w:r>
            <w:r w:rsidRPr="00400607">
              <w:rPr>
                <w:rFonts w:eastAsia="Cambria"/>
              </w:rPr>
              <w:t>Minister for Natural Resources and Mines</w:t>
            </w:r>
          </w:p>
        </w:tc>
      </w:tr>
      <w:tr w:rsidR="00DF6B2A" w:rsidRPr="00C62698" w:rsidTr="006A45E7">
        <w:trPr>
          <w:jc w:val="center"/>
        </w:trPr>
        <w:tc>
          <w:tcPr>
            <w:tcW w:w="2661" w:type="dxa"/>
            <w:vMerge/>
            <w:hideMark/>
          </w:tcPr>
          <w:p w:rsidR="00DF6B2A" w:rsidRPr="001302E8" w:rsidRDefault="00DF6B2A" w:rsidP="00202411">
            <w:pPr>
              <w:pStyle w:val="bulletscyan"/>
              <w:ind w:left="0" w:firstLine="0"/>
              <w:rPr>
                <w:rFonts w:eastAsia="Cambria"/>
              </w:rPr>
            </w:pPr>
          </w:p>
        </w:tc>
        <w:tc>
          <w:tcPr>
            <w:tcW w:w="3510" w:type="dxa"/>
          </w:tcPr>
          <w:p w:rsidR="00DF6B2A" w:rsidRPr="00400607" w:rsidRDefault="00DF6B2A" w:rsidP="00202411">
            <w:pPr>
              <w:pStyle w:val="bulletscyan"/>
              <w:ind w:left="0" w:firstLine="0"/>
              <w:rPr>
                <w:rFonts w:eastAsia="Cambria"/>
              </w:rPr>
            </w:pPr>
            <w:r>
              <w:rPr>
                <w:rFonts w:eastAsia="Cambria"/>
              </w:rPr>
              <w:t>The Hon Mark Bailey MP</w:t>
            </w:r>
            <w:r>
              <w:rPr>
                <w:rFonts w:eastAsia="Cambria"/>
              </w:rPr>
              <w:br/>
            </w:r>
            <w:r w:rsidRPr="00400607">
              <w:rPr>
                <w:rFonts w:eastAsia="Cambria"/>
              </w:rPr>
              <w:t>Minister for Energy and Water Supply</w:t>
            </w:r>
          </w:p>
        </w:tc>
      </w:tr>
      <w:tr w:rsidR="00DF6B2A" w:rsidRPr="00C62698" w:rsidTr="006A45E7">
        <w:trPr>
          <w:jc w:val="center"/>
        </w:trPr>
        <w:tc>
          <w:tcPr>
            <w:tcW w:w="2661" w:type="dxa"/>
            <w:vMerge w:val="restart"/>
            <w:hideMark/>
          </w:tcPr>
          <w:p w:rsidR="00DF6B2A" w:rsidRPr="001302E8" w:rsidRDefault="00DF6B2A" w:rsidP="00202411">
            <w:pPr>
              <w:pStyle w:val="bulletscyan"/>
              <w:ind w:left="0" w:firstLine="0"/>
              <w:rPr>
                <w:rFonts w:eastAsia="Cambria"/>
              </w:rPr>
            </w:pPr>
            <w:r w:rsidRPr="001302E8">
              <w:rPr>
                <w:rFonts w:eastAsia="Cambria"/>
              </w:rPr>
              <w:t>Western Australia</w:t>
            </w:r>
          </w:p>
        </w:tc>
        <w:tc>
          <w:tcPr>
            <w:tcW w:w="3510" w:type="dxa"/>
            <w:hideMark/>
          </w:tcPr>
          <w:p w:rsidR="00DF6B2A" w:rsidRPr="001302E8" w:rsidRDefault="00DF6B2A" w:rsidP="00202411">
            <w:pPr>
              <w:pStyle w:val="bulletscyan"/>
              <w:ind w:left="0" w:firstLine="0"/>
              <w:rPr>
                <w:rFonts w:eastAsia="Cambria"/>
              </w:rPr>
            </w:pPr>
            <w:r w:rsidRPr="001302E8">
              <w:rPr>
                <w:rFonts w:eastAsia="Cambria"/>
              </w:rPr>
              <w:t>The Hon Bill Marmion MLA</w:t>
            </w:r>
            <w:r w:rsidRPr="001302E8">
              <w:rPr>
                <w:rFonts w:eastAsia="Cambria"/>
              </w:rPr>
              <w:br/>
              <w:t>Minister for Mines and Petroleum</w:t>
            </w:r>
          </w:p>
        </w:tc>
      </w:tr>
      <w:tr w:rsidR="00DF6B2A" w:rsidRPr="00C62698" w:rsidTr="006A45E7">
        <w:trPr>
          <w:jc w:val="center"/>
        </w:trPr>
        <w:tc>
          <w:tcPr>
            <w:tcW w:w="2661" w:type="dxa"/>
            <w:vMerge/>
            <w:hideMark/>
          </w:tcPr>
          <w:p w:rsidR="00DF6B2A" w:rsidRPr="001302E8" w:rsidRDefault="00DF6B2A" w:rsidP="00202411">
            <w:pPr>
              <w:pStyle w:val="bulletscyan"/>
              <w:ind w:left="0" w:firstLine="0"/>
              <w:rPr>
                <w:rFonts w:eastAsia="Cambria"/>
              </w:rPr>
            </w:pPr>
          </w:p>
        </w:tc>
        <w:tc>
          <w:tcPr>
            <w:tcW w:w="3510" w:type="dxa"/>
            <w:hideMark/>
          </w:tcPr>
          <w:p w:rsidR="00DF6B2A" w:rsidRPr="001302E8" w:rsidRDefault="00DF6B2A" w:rsidP="00202411">
            <w:pPr>
              <w:pStyle w:val="bulletscyan"/>
              <w:ind w:left="0" w:firstLine="0"/>
              <w:rPr>
                <w:rFonts w:eastAsia="Cambria"/>
              </w:rPr>
            </w:pPr>
            <w:r w:rsidRPr="001302E8">
              <w:rPr>
                <w:rFonts w:eastAsia="Cambria"/>
              </w:rPr>
              <w:t xml:space="preserve">The Hon </w:t>
            </w:r>
            <w:r>
              <w:rPr>
                <w:rFonts w:eastAsia="Cambria"/>
              </w:rPr>
              <w:t xml:space="preserve">Dr </w:t>
            </w:r>
            <w:r w:rsidRPr="001302E8">
              <w:rPr>
                <w:rFonts w:eastAsia="Cambria"/>
              </w:rPr>
              <w:t>Mike Nahan MLA</w:t>
            </w:r>
            <w:r w:rsidRPr="001302E8">
              <w:rPr>
                <w:rFonts w:eastAsia="Cambria"/>
              </w:rPr>
              <w:br/>
              <w:t>Minister for Energy</w:t>
            </w:r>
          </w:p>
        </w:tc>
      </w:tr>
      <w:tr w:rsidR="00DF6B2A" w:rsidRPr="00C62698" w:rsidTr="006A45E7">
        <w:trPr>
          <w:jc w:val="center"/>
        </w:trPr>
        <w:tc>
          <w:tcPr>
            <w:tcW w:w="2661" w:type="dxa"/>
            <w:hideMark/>
          </w:tcPr>
          <w:p w:rsidR="00DF6B2A" w:rsidRPr="001302E8" w:rsidRDefault="00DF6B2A" w:rsidP="00202411">
            <w:pPr>
              <w:pStyle w:val="bulletscyan"/>
              <w:ind w:left="0" w:firstLine="0"/>
              <w:rPr>
                <w:rFonts w:eastAsia="Cambria"/>
              </w:rPr>
            </w:pPr>
            <w:r w:rsidRPr="001302E8">
              <w:rPr>
                <w:rFonts w:eastAsia="Cambria"/>
              </w:rPr>
              <w:t>South Australia</w:t>
            </w:r>
          </w:p>
        </w:tc>
        <w:tc>
          <w:tcPr>
            <w:tcW w:w="3510" w:type="dxa"/>
            <w:hideMark/>
          </w:tcPr>
          <w:p w:rsidR="00DF6B2A" w:rsidRPr="001302E8" w:rsidRDefault="00DF6B2A" w:rsidP="00202411">
            <w:pPr>
              <w:pStyle w:val="bulletscyan"/>
              <w:ind w:left="0" w:firstLine="0"/>
              <w:rPr>
                <w:rFonts w:eastAsia="Cambria"/>
              </w:rPr>
            </w:pPr>
            <w:r w:rsidRPr="001302E8">
              <w:rPr>
                <w:rFonts w:eastAsia="Cambria"/>
              </w:rPr>
              <w:t xml:space="preserve">The Hon Tom </w:t>
            </w:r>
            <w:proofErr w:type="spellStart"/>
            <w:r w:rsidRPr="001302E8">
              <w:rPr>
                <w:rFonts w:eastAsia="Cambria"/>
              </w:rPr>
              <w:t>Koutsantonis</w:t>
            </w:r>
            <w:proofErr w:type="spellEnd"/>
            <w:r w:rsidRPr="001302E8">
              <w:rPr>
                <w:rFonts w:eastAsia="Cambria"/>
              </w:rPr>
              <w:t xml:space="preserve"> MP</w:t>
            </w:r>
            <w:r w:rsidRPr="001302E8">
              <w:rPr>
                <w:rFonts w:eastAsia="Cambria"/>
              </w:rPr>
              <w:br/>
              <w:t>Minister for Mineral Resources and Energy</w:t>
            </w:r>
          </w:p>
        </w:tc>
      </w:tr>
      <w:tr w:rsidR="00DF6B2A" w:rsidRPr="00C62698" w:rsidTr="006A45E7">
        <w:trPr>
          <w:jc w:val="center"/>
        </w:trPr>
        <w:tc>
          <w:tcPr>
            <w:tcW w:w="2661" w:type="dxa"/>
            <w:vMerge w:val="restart"/>
            <w:hideMark/>
          </w:tcPr>
          <w:p w:rsidR="00DF6B2A" w:rsidRPr="001302E8" w:rsidRDefault="00DF6B2A" w:rsidP="00202411">
            <w:pPr>
              <w:pStyle w:val="bulletscyan"/>
              <w:ind w:left="0" w:firstLine="0"/>
              <w:rPr>
                <w:rFonts w:eastAsia="Cambria"/>
              </w:rPr>
            </w:pPr>
            <w:r w:rsidRPr="001302E8">
              <w:rPr>
                <w:rFonts w:eastAsia="Cambria"/>
              </w:rPr>
              <w:t>Tasmania</w:t>
            </w:r>
          </w:p>
        </w:tc>
        <w:tc>
          <w:tcPr>
            <w:tcW w:w="3510" w:type="dxa"/>
            <w:hideMark/>
          </w:tcPr>
          <w:p w:rsidR="00DF6B2A" w:rsidRPr="001302E8" w:rsidRDefault="00DF6B2A" w:rsidP="00202411">
            <w:pPr>
              <w:pStyle w:val="bulletscyan"/>
              <w:ind w:left="0" w:firstLine="0"/>
              <w:rPr>
                <w:rFonts w:eastAsia="Cambria"/>
              </w:rPr>
            </w:pPr>
            <w:r w:rsidRPr="001302E8">
              <w:rPr>
                <w:rFonts w:eastAsia="Cambria"/>
              </w:rPr>
              <w:t>The Hon Matthew Groom MP</w:t>
            </w:r>
            <w:r w:rsidRPr="001302E8">
              <w:rPr>
                <w:rFonts w:eastAsia="Cambria"/>
              </w:rPr>
              <w:br/>
              <w:t xml:space="preserve">Minister for Energy </w:t>
            </w:r>
          </w:p>
        </w:tc>
      </w:tr>
      <w:tr w:rsidR="00DF6B2A" w:rsidRPr="00C62698" w:rsidTr="006A45E7">
        <w:trPr>
          <w:jc w:val="center"/>
        </w:trPr>
        <w:tc>
          <w:tcPr>
            <w:tcW w:w="2661" w:type="dxa"/>
            <w:vMerge/>
          </w:tcPr>
          <w:p w:rsidR="00DF6B2A" w:rsidRPr="001302E8" w:rsidRDefault="00DF6B2A" w:rsidP="00202411">
            <w:pPr>
              <w:pStyle w:val="bulletscyan"/>
              <w:ind w:left="0" w:firstLine="0"/>
              <w:rPr>
                <w:rFonts w:eastAsia="Cambria"/>
              </w:rPr>
            </w:pPr>
          </w:p>
        </w:tc>
        <w:tc>
          <w:tcPr>
            <w:tcW w:w="3510" w:type="dxa"/>
          </w:tcPr>
          <w:p w:rsidR="00DF6B2A" w:rsidRPr="001302E8" w:rsidRDefault="00DF6B2A" w:rsidP="00202411">
            <w:pPr>
              <w:pStyle w:val="bulletscyan"/>
              <w:ind w:left="0" w:firstLine="0"/>
              <w:rPr>
                <w:rFonts w:eastAsia="Cambria"/>
              </w:rPr>
            </w:pPr>
            <w:r w:rsidRPr="001302E8">
              <w:rPr>
                <w:rFonts w:eastAsia="Cambria"/>
              </w:rPr>
              <w:t xml:space="preserve">The Hon Paul </w:t>
            </w:r>
            <w:proofErr w:type="spellStart"/>
            <w:r w:rsidRPr="001302E8">
              <w:rPr>
                <w:rFonts w:eastAsia="Cambria"/>
              </w:rPr>
              <w:t>Harriss</w:t>
            </w:r>
            <w:proofErr w:type="spellEnd"/>
            <w:r w:rsidRPr="001302E8">
              <w:rPr>
                <w:rFonts w:eastAsia="Cambria"/>
              </w:rPr>
              <w:t xml:space="preserve"> MP</w:t>
            </w:r>
            <w:r>
              <w:rPr>
                <w:rFonts w:eastAsia="Cambria"/>
              </w:rPr>
              <w:br/>
            </w:r>
            <w:r w:rsidRPr="001302E8">
              <w:rPr>
                <w:rFonts w:eastAsia="Cambria"/>
              </w:rPr>
              <w:t>Minister for Resources</w:t>
            </w:r>
          </w:p>
        </w:tc>
      </w:tr>
      <w:tr w:rsidR="00DF6B2A" w:rsidRPr="00C62698" w:rsidTr="006A45E7">
        <w:trPr>
          <w:jc w:val="center"/>
        </w:trPr>
        <w:tc>
          <w:tcPr>
            <w:tcW w:w="2661" w:type="dxa"/>
            <w:hideMark/>
          </w:tcPr>
          <w:p w:rsidR="00DF6B2A" w:rsidRPr="001302E8" w:rsidRDefault="00DF6B2A" w:rsidP="00202411">
            <w:pPr>
              <w:pStyle w:val="bulletscyan"/>
              <w:ind w:left="0" w:firstLine="0"/>
              <w:rPr>
                <w:rFonts w:eastAsia="Cambria"/>
              </w:rPr>
            </w:pPr>
            <w:r w:rsidRPr="001302E8">
              <w:rPr>
                <w:rFonts w:eastAsia="Cambria"/>
              </w:rPr>
              <w:t>Australian Capital Territory</w:t>
            </w:r>
          </w:p>
        </w:tc>
        <w:tc>
          <w:tcPr>
            <w:tcW w:w="3510" w:type="dxa"/>
            <w:hideMark/>
          </w:tcPr>
          <w:p w:rsidR="00DF6B2A" w:rsidRPr="001302E8" w:rsidRDefault="00DF6B2A" w:rsidP="00202411">
            <w:pPr>
              <w:pStyle w:val="bulletscyan"/>
              <w:ind w:left="0" w:firstLine="0"/>
              <w:rPr>
                <w:rFonts w:eastAsia="Cambria"/>
              </w:rPr>
            </w:pPr>
            <w:r w:rsidRPr="001302E8">
              <w:rPr>
                <w:rFonts w:eastAsia="Cambria"/>
              </w:rPr>
              <w:t xml:space="preserve">Mr Simon </w:t>
            </w:r>
            <w:proofErr w:type="spellStart"/>
            <w:r w:rsidRPr="001302E8">
              <w:rPr>
                <w:rFonts w:eastAsia="Cambria"/>
              </w:rPr>
              <w:t>Corbell</w:t>
            </w:r>
            <w:proofErr w:type="spellEnd"/>
            <w:r w:rsidRPr="001302E8">
              <w:rPr>
                <w:rFonts w:eastAsia="Cambria"/>
              </w:rPr>
              <w:t xml:space="preserve"> MLA</w:t>
            </w:r>
            <w:r w:rsidRPr="001302E8">
              <w:rPr>
                <w:rFonts w:eastAsia="Cambria"/>
              </w:rPr>
              <w:br/>
              <w:t xml:space="preserve">Minister for Environment </w:t>
            </w:r>
          </w:p>
        </w:tc>
      </w:tr>
      <w:tr w:rsidR="00DF6B2A" w:rsidRPr="00C62698" w:rsidTr="006A45E7">
        <w:trPr>
          <w:jc w:val="center"/>
        </w:trPr>
        <w:tc>
          <w:tcPr>
            <w:tcW w:w="2661" w:type="dxa"/>
            <w:hideMark/>
          </w:tcPr>
          <w:p w:rsidR="00DF6B2A" w:rsidRPr="001302E8" w:rsidRDefault="00DF6B2A" w:rsidP="00202411">
            <w:pPr>
              <w:pStyle w:val="bulletscyan"/>
              <w:ind w:left="0" w:firstLine="0"/>
              <w:rPr>
                <w:rFonts w:eastAsia="Cambria"/>
              </w:rPr>
            </w:pPr>
            <w:r w:rsidRPr="001302E8">
              <w:rPr>
                <w:rFonts w:eastAsia="Cambria"/>
              </w:rPr>
              <w:t>Northern Territory </w:t>
            </w:r>
          </w:p>
        </w:tc>
        <w:tc>
          <w:tcPr>
            <w:tcW w:w="3510" w:type="dxa"/>
            <w:hideMark/>
          </w:tcPr>
          <w:p w:rsidR="00DF6B2A" w:rsidRPr="001302E8" w:rsidRDefault="00DF6B2A" w:rsidP="00202411">
            <w:pPr>
              <w:pStyle w:val="bulletscyan"/>
              <w:ind w:left="0" w:firstLine="0"/>
              <w:rPr>
                <w:rFonts w:eastAsia="Cambria"/>
              </w:rPr>
            </w:pPr>
            <w:r w:rsidRPr="00485FD3">
              <w:rPr>
                <w:rFonts w:eastAsia="Cambria"/>
              </w:rPr>
              <w:t xml:space="preserve">The Hon David </w:t>
            </w:r>
            <w:proofErr w:type="spellStart"/>
            <w:r w:rsidRPr="00485FD3">
              <w:rPr>
                <w:rFonts w:eastAsia="Cambria"/>
              </w:rPr>
              <w:t>Tollner</w:t>
            </w:r>
            <w:proofErr w:type="spellEnd"/>
            <w:r w:rsidRPr="00485FD3">
              <w:rPr>
                <w:rFonts w:eastAsia="Cambria"/>
              </w:rPr>
              <w:t xml:space="preserve"> MLA</w:t>
            </w:r>
            <w:r>
              <w:rPr>
                <w:rFonts w:eastAsia="Cambria"/>
              </w:rPr>
              <w:br/>
            </w:r>
            <w:r w:rsidRPr="00485FD3">
              <w:rPr>
                <w:rFonts w:eastAsia="Cambria"/>
              </w:rPr>
              <w:t>Minister for Mines and Energy</w:t>
            </w:r>
          </w:p>
        </w:tc>
      </w:tr>
      <w:tr w:rsidR="00DF6B2A" w:rsidRPr="00C62698" w:rsidTr="006A45E7">
        <w:trPr>
          <w:jc w:val="center"/>
        </w:trPr>
        <w:tc>
          <w:tcPr>
            <w:tcW w:w="2661" w:type="dxa"/>
            <w:hideMark/>
          </w:tcPr>
          <w:p w:rsidR="00DF6B2A" w:rsidRPr="001302E8" w:rsidRDefault="00DF6B2A" w:rsidP="00202411">
            <w:pPr>
              <w:pStyle w:val="bulletscyan"/>
              <w:ind w:left="0" w:firstLine="0"/>
              <w:rPr>
                <w:rFonts w:eastAsia="Cambria"/>
              </w:rPr>
            </w:pPr>
            <w:r w:rsidRPr="001302E8">
              <w:rPr>
                <w:rFonts w:eastAsia="Cambria"/>
              </w:rPr>
              <w:t>New Zealand</w:t>
            </w:r>
          </w:p>
        </w:tc>
        <w:tc>
          <w:tcPr>
            <w:tcW w:w="3510" w:type="dxa"/>
            <w:hideMark/>
          </w:tcPr>
          <w:p w:rsidR="00DF6B2A" w:rsidRPr="001302E8" w:rsidRDefault="00DF6B2A" w:rsidP="00202411">
            <w:pPr>
              <w:pStyle w:val="bulletscyan"/>
              <w:ind w:left="0" w:firstLine="0"/>
              <w:rPr>
                <w:rFonts w:eastAsia="Cambria"/>
              </w:rPr>
            </w:pPr>
            <w:r w:rsidRPr="001302E8">
              <w:rPr>
                <w:rFonts w:eastAsia="Cambria"/>
              </w:rPr>
              <w:t>Hon Simon Bridges MP</w:t>
            </w:r>
            <w:r w:rsidRPr="001302E8">
              <w:rPr>
                <w:rFonts w:eastAsia="Cambria"/>
              </w:rPr>
              <w:br/>
              <w:t>Minister of Energy and Resources</w:t>
            </w:r>
          </w:p>
        </w:tc>
      </w:tr>
    </w:tbl>
    <w:p w:rsidR="00DF6B2A" w:rsidRPr="00F43E2B" w:rsidRDefault="00213396" w:rsidP="00345DD2">
      <w:pPr>
        <w:pStyle w:val="bulletscyan"/>
        <w:spacing w:before="120" w:after="120"/>
        <w:jc w:val="center"/>
        <w:rPr>
          <w:b/>
          <w:color w:val="0070C0"/>
        </w:rPr>
      </w:pPr>
      <w:r>
        <w:rPr>
          <w:b/>
          <w:color w:val="0070C0"/>
        </w:rPr>
        <w:br/>
      </w:r>
      <w:r>
        <w:rPr>
          <w:b/>
          <w:color w:val="0070C0"/>
        </w:rPr>
        <w:br/>
      </w:r>
      <w:r>
        <w:rPr>
          <w:b/>
          <w:color w:val="0070C0"/>
        </w:rPr>
        <w:br/>
      </w:r>
      <w:r w:rsidR="003D2D17">
        <w:rPr>
          <w:b/>
          <w:color w:val="0070C0"/>
        </w:rPr>
        <w:br/>
      </w:r>
      <w:r w:rsidR="00DF6B2A" w:rsidRPr="00F43E2B">
        <w:rPr>
          <w:b/>
          <w:color w:val="0070C0"/>
        </w:rPr>
        <w:t>COAG Energy Council Secretariat</w:t>
      </w:r>
    </w:p>
    <w:p w:rsidR="00345DD2" w:rsidRDefault="00DF6B2A" w:rsidP="00345DD2">
      <w:pPr>
        <w:pStyle w:val="bulletscyan"/>
        <w:ind w:left="0" w:firstLine="0"/>
        <w:jc w:val="center"/>
      </w:pPr>
      <w:r w:rsidRPr="00F43E2B">
        <w:t>Telephone: (02) 6243 7788</w:t>
      </w:r>
    </w:p>
    <w:p w:rsidR="00345DD2" w:rsidRDefault="00DF6B2A" w:rsidP="00345DD2">
      <w:pPr>
        <w:pStyle w:val="bulletscyan"/>
        <w:ind w:left="0" w:firstLine="0"/>
        <w:jc w:val="center"/>
      </w:pPr>
      <w:r w:rsidRPr="009D072F">
        <w:t>Email</w:t>
      </w:r>
      <w:r w:rsidR="005F4DEF">
        <w:t xml:space="preserve">: </w:t>
      </w:r>
      <w:r w:rsidR="005F4DEF" w:rsidRPr="00345DD2">
        <w:t>energycouncil@industry.gov.au</w:t>
      </w:r>
    </w:p>
    <w:p w:rsidR="00DF6B2A" w:rsidRPr="007C6585" w:rsidRDefault="00DF6B2A" w:rsidP="00345DD2">
      <w:pPr>
        <w:pStyle w:val="bulletscyan"/>
        <w:ind w:left="0" w:firstLine="0"/>
        <w:jc w:val="center"/>
        <w:rPr>
          <w:rFonts w:ascii="Times New Roman" w:hAnsi="Times New Roman" w:cs="Times New Roman"/>
        </w:rPr>
      </w:pPr>
      <w:r w:rsidRPr="00F43E2B">
        <w:t xml:space="preserve">GPO Box </w:t>
      </w:r>
      <w:r>
        <w:t>9839</w:t>
      </w:r>
      <w:r w:rsidRPr="00F43E2B">
        <w:t>, Canberra ACT 2601</w:t>
      </w:r>
    </w:p>
    <w:p w:rsidR="0099770B" w:rsidRDefault="0099770B" w:rsidP="0099770B">
      <w:pPr>
        <w:pStyle w:val="text"/>
      </w:pPr>
    </w:p>
    <w:p w:rsidR="005427C0" w:rsidRDefault="005427C0" w:rsidP="0099770B">
      <w:pPr>
        <w:pStyle w:val="text"/>
      </w:pPr>
    </w:p>
    <w:sectPr w:rsidR="005427C0" w:rsidSect="00D453AB">
      <w:headerReference w:type="default" r:id="rId19"/>
      <w:footerReference w:type="default" r:id="rId20"/>
      <w:type w:val="continuous"/>
      <w:pgSz w:w="11900" w:h="16840"/>
      <w:pgMar w:top="1191" w:right="737" w:bottom="794" w:left="3969" w:header="680" w:footer="63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CBB" w:rsidRDefault="00520CBB">
      <w:r>
        <w:separator/>
      </w:r>
    </w:p>
  </w:endnote>
  <w:endnote w:type="continuationSeparator" w:id="0">
    <w:p w:rsidR="00520CBB" w:rsidRDefault="0052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inionPro-Regular">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C5" w:rsidRPr="00EB3485" w:rsidRDefault="005427C0" w:rsidP="00EB3485">
    <w:pPr>
      <w:pStyle w:val="Footer"/>
    </w:pPr>
    <w:r>
      <w:rPr>
        <w:noProof/>
        <w:lang w:val="en-AU" w:eastAsia="en-AU"/>
      </w:rPr>
      <mc:AlternateContent>
        <mc:Choice Requires="wps">
          <w:drawing>
            <wp:anchor distT="0" distB="0" distL="114300" distR="114300" simplePos="0" relativeHeight="251667968" behindDoc="0" locked="0" layoutInCell="1" allowOverlap="1" wp14:anchorId="3AA7E02F" wp14:editId="55504237">
              <wp:simplePos x="0" y="0"/>
              <wp:positionH relativeFrom="column">
                <wp:posOffset>-2518410</wp:posOffset>
              </wp:positionH>
              <wp:positionV relativeFrom="paragraph">
                <wp:posOffset>-710896</wp:posOffset>
              </wp:positionV>
              <wp:extent cx="3307742" cy="938254"/>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42" cy="938254"/>
                      </a:xfrm>
                      <a:prstGeom prst="rect">
                        <a:avLst/>
                      </a:prstGeom>
                      <a:solidFill>
                        <a:srgbClr val="FFFFFF"/>
                      </a:solidFill>
                      <a:ln w="9525">
                        <a:noFill/>
                        <a:miter lim="800000"/>
                        <a:headEnd/>
                        <a:tailEnd/>
                      </a:ln>
                    </wps:spPr>
                    <wps:txbx>
                      <w:txbxContent>
                        <w:p w:rsidR="005427C0" w:rsidRDefault="005427C0">
                          <w:r>
                            <w:rPr>
                              <w:noProof/>
                              <w:lang w:val="en-AU" w:eastAsia="en-AU"/>
                            </w:rPr>
                            <w:drawing>
                              <wp:inline distT="0" distB="0" distL="0" distR="0" wp14:anchorId="40B46618" wp14:editId="63BD746B">
                                <wp:extent cx="2393342" cy="750152"/>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89188" cy="74885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8.3pt;margin-top:-56pt;width:260.45pt;height:7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" stroked="f">
              <v:textbox>
                <w:txbxContent>
                  <w:p w:rsidR="005427C0" w:rsidRDefault="005427C0">
                    <w:r>
                      <w:rPr>
                        <w:noProof/>
                        <w:lang w:val="en-AU" w:eastAsia="en-AU"/>
                      </w:rPr>
                      <w:drawing>
                        <wp:inline distT="0" distB="0" distL="0" distR="0" wp14:anchorId="40B46618" wp14:editId="63BD746B">
                          <wp:extent cx="2393342" cy="750152"/>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89188" cy="748850"/>
                                  </a:xfrm>
                                  <a:prstGeom prst="rect">
                                    <a:avLst/>
                                  </a:prstGeom>
                                </pic:spPr>
                              </pic:pic>
                            </a:graphicData>
                          </a:graphic>
                        </wp:inline>
                      </w:drawing>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3AB" w:rsidRPr="00EB3485" w:rsidRDefault="00D453AB" w:rsidP="00D453AB">
    <w:pPr>
      <w:pStyle w:val="Footer"/>
      <w:ind w:left="-3828"/>
    </w:pPr>
    <w:r>
      <w:rPr>
        <w:noProof/>
        <w:lang w:val="en-AU" w:eastAsia="en-AU"/>
      </w:rPr>
      <w:drawing>
        <wp:inline distT="0" distB="0" distL="0" distR="0" wp14:anchorId="77C71293" wp14:editId="2B20888B">
          <wp:extent cx="2393342" cy="750152"/>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89188" cy="74885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CBB" w:rsidRDefault="00520CBB">
      <w:r>
        <w:separator/>
      </w:r>
    </w:p>
  </w:footnote>
  <w:footnote w:type="continuationSeparator" w:id="0">
    <w:p w:rsidR="00520CBB" w:rsidRDefault="00520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C5" w:rsidRDefault="004400C5">
    <w:pPr>
      <w:pStyle w:val="Header"/>
    </w:pPr>
    <w:r>
      <w:rPr>
        <w:noProof/>
        <w:lang w:val="en-AU" w:eastAsia="en-AU"/>
      </w:rPr>
      <w:drawing>
        <wp:anchor distT="0" distB="0" distL="114300" distR="114300" simplePos="0" relativeHeight="251656704" behindDoc="1" locked="0" layoutInCell="1" allowOverlap="1" wp14:anchorId="2DFBF64D" wp14:editId="3624BE5E">
          <wp:simplePos x="0" y="0"/>
          <wp:positionH relativeFrom="page">
            <wp:align>left</wp:align>
          </wp:positionH>
          <wp:positionV relativeFrom="page">
            <wp:align>top</wp:align>
          </wp:positionV>
          <wp:extent cx="7543800" cy="10693400"/>
          <wp:effectExtent l="0" t="0" r="0" b="0"/>
          <wp:wrapNone/>
          <wp:docPr id="6" name="Picture 6" descr="Communique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C5" w:rsidRDefault="004400C5">
    <w:pPr>
      <w:pStyle w:val="Header"/>
    </w:pPr>
    <w:r>
      <w:rPr>
        <w:noProof/>
        <w:lang w:val="en-AU" w:eastAsia="en-AU"/>
      </w:rPr>
      <mc:AlternateContent>
        <mc:Choice Requires="wps">
          <w:drawing>
            <wp:anchor distT="0" distB="0" distL="114300" distR="114300" simplePos="0" relativeHeight="251661824" behindDoc="0" locked="0" layoutInCell="1" allowOverlap="1" wp14:anchorId="03091B57" wp14:editId="0F6A868A">
              <wp:simplePos x="0" y="0"/>
              <wp:positionH relativeFrom="column">
                <wp:posOffset>-186690</wp:posOffset>
              </wp:positionH>
              <wp:positionV relativeFrom="paragraph">
                <wp:posOffset>196850</wp:posOffset>
              </wp:positionV>
              <wp:extent cx="4939665" cy="16859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9665" cy="1685925"/>
                      </a:xfrm>
                      <a:prstGeom prst="rect">
                        <a:avLst/>
                      </a:prstGeom>
                      <a:noFill/>
                      <a:ln w="9525">
                        <a:noFill/>
                        <a:miter lim="800000"/>
                        <a:headEnd/>
                        <a:tailEnd/>
                      </a:ln>
                    </wps:spPr>
                    <wps:txbx>
                      <w:txbxContent>
                        <w:p w:rsidR="004400C5" w:rsidRPr="00120A6F" w:rsidRDefault="004400C5" w:rsidP="00120A6F">
                          <w:pPr>
                            <w:pStyle w:val="Title1"/>
                            <w:jc w:val="right"/>
                            <w:rPr>
                              <w:sz w:val="66"/>
                              <w:szCs w:val="72"/>
                            </w:rPr>
                          </w:pPr>
                          <w:r w:rsidRPr="00120A6F">
                            <w:rPr>
                              <w:sz w:val="66"/>
                              <w:szCs w:val="72"/>
                            </w:rPr>
                            <w:t>COAG Energy Council</w:t>
                          </w:r>
                        </w:p>
                        <w:p w:rsidR="004400C5" w:rsidRPr="00120A6F" w:rsidRDefault="004400C5" w:rsidP="00120A6F">
                          <w:pPr>
                            <w:pStyle w:val="Title1"/>
                            <w:jc w:val="right"/>
                            <w:rPr>
                              <w:sz w:val="36"/>
                              <w:szCs w:val="36"/>
                            </w:rPr>
                          </w:pPr>
                          <w:r w:rsidRPr="00120A6F">
                            <w:rPr>
                              <w:sz w:val="36"/>
                              <w:szCs w:val="36"/>
                            </w:rPr>
                            <w:t>Meeting Communiqu</w:t>
                          </w:r>
                          <w:r w:rsidR="003F738A">
                            <w:rPr>
                              <w:rFonts w:ascii="Arial" w:hAnsi="Arial" w:cs="Arial"/>
                              <w:sz w:val="36"/>
                              <w:szCs w:val="36"/>
                            </w:rPr>
                            <w:t>é</w:t>
                          </w:r>
                        </w:p>
                        <w:p w:rsidR="004400C5" w:rsidRPr="007543B4" w:rsidRDefault="004400C5" w:rsidP="007543B4">
                          <w:pPr>
                            <w:jc w:val="right"/>
                            <w:rPr>
                              <w:rFonts w:ascii="Arial" w:hAnsi="Arial" w:cs="Arial"/>
                              <w:b/>
                              <w:color w:val="FFFFFF" w:themeColor="background1"/>
                              <w:sz w:val="28"/>
                            </w:rPr>
                          </w:pPr>
                        </w:p>
                        <w:p w:rsidR="004400C5" w:rsidRPr="00120A6F" w:rsidRDefault="004400C5" w:rsidP="00B837AD">
                          <w:pPr>
                            <w:pStyle w:val="Date1"/>
                            <w:jc w:val="right"/>
                            <w:rPr>
                              <w:smallCaps/>
                              <w:color w:val="FFFFFF" w:themeColor="background1"/>
                              <w:sz w:val="18"/>
                            </w:rPr>
                          </w:pPr>
                          <w:r>
                            <w:t>CANBERRA</w:t>
                          </w:r>
                          <w:r w:rsidRPr="00120A6F">
                            <w:rPr>
                              <w:rFonts w:ascii="Arial" w:hAnsi="Arial" w:cs="Arial"/>
                              <w:b/>
                              <w:smallCaps/>
                              <w:color w:val="FFFFFF" w:themeColor="background1"/>
                              <w:sz w:val="20"/>
                            </w:rPr>
                            <w:t xml:space="preserve"> /</w:t>
                          </w:r>
                          <w:r w:rsidRPr="00120A6F">
                            <w:t xml:space="preserve"> </w:t>
                          </w:r>
                          <w:r>
                            <w:t>4 DECEMBER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4.7pt;margin-top:15.5pt;width:388.95pt;height:13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" filled="f" stroked="f">
              <v:textbox>
                <w:txbxContent>
                  <w:p w:rsidR="004400C5" w:rsidRPr="00120A6F" w:rsidRDefault="004400C5" w:rsidP="00120A6F">
                    <w:pPr>
                      <w:pStyle w:val="Title1"/>
                      <w:jc w:val="right"/>
                      <w:rPr>
                        <w:sz w:val="66"/>
                        <w:szCs w:val="72"/>
                      </w:rPr>
                    </w:pPr>
                    <w:r w:rsidRPr="00120A6F">
                      <w:rPr>
                        <w:sz w:val="66"/>
                        <w:szCs w:val="72"/>
                      </w:rPr>
                      <w:t>COAG Energy Council</w:t>
                    </w:r>
                  </w:p>
                  <w:p w:rsidR="004400C5" w:rsidRPr="00120A6F" w:rsidRDefault="004400C5" w:rsidP="00120A6F">
                    <w:pPr>
                      <w:pStyle w:val="Title1"/>
                      <w:jc w:val="right"/>
                      <w:rPr>
                        <w:sz w:val="36"/>
                        <w:szCs w:val="36"/>
                      </w:rPr>
                    </w:pPr>
                    <w:r w:rsidRPr="00120A6F">
                      <w:rPr>
                        <w:sz w:val="36"/>
                        <w:szCs w:val="36"/>
                      </w:rPr>
                      <w:t>Meeting Communiqu</w:t>
                    </w:r>
                    <w:r w:rsidR="003F738A">
                      <w:rPr>
                        <w:rFonts w:ascii="Arial" w:hAnsi="Arial" w:cs="Arial"/>
                        <w:sz w:val="36"/>
                        <w:szCs w:val="36"/>
                      </w:rPr>
                      <w:t>é</w:t>
                    </w:r>
                  </w:p>
                  <w:p w:rsidR="004400C5" w:rsidRPr="007543B4" w:rsidRDefault="004400C5" w:rsidP="007543B4">
                    <w:pPr>
                      <w:jc w:val="right"/>
                      <w:rPr>
                        <w:rFonts w:ascii="Arial" w:hAnsi="Arial" w:cs="Arial"/>
                        <w:b/>
                        <w:color w:val="FFFFFF" w:themeColor="background1"/>
                        <w:sz w:val="28"/>
                      </w:rPr>
                    </w:pPr>
                  </w:p>
                  <w:p w:rsidR="004400C5" w:rsidRPr="00120A6F" w:rsidRDefault="004400C5" w:rsidP="00B837AD">
                    <w:pPr>
                      <w:pStyle w:val="Date1"/>
                      <w:jc w:val="right"/>
                      <w:rPr>
                        <w:smallCaps/>
                        <w:color w:val="FFFFFF" w:themeColor="background1"/>
                        <w:sz w:val="18"/>
                      </w:rPr>
                    </w:pPr>
                    <w:r>
                      <w:t>CANBERRA</w:t>
                    </w:r>
                    <w:r w:rsidRPr="00120A6F">
                      <w:rPr>
                        <w:rFonts w:ascii="Arial" w:hAnsi="Arial" w:cs="Arial"/>
                        <w:b/>
                        <w:smallCaps/>
                        <w:color w:val="FFFFFF" w:themeColor="background1"/>
                        <w:sz w:val="20"/>
                      </w:rPr>
                      <w:t xml:space="preserve"> /</w:t>
                    </w:r>
                    <w:r w:rsidRPr="00120A6F">
                      <w:t xml:space="preserve"> </w:t>
                    </w:r>
                    <w:r>
                      <w:t>4 DECEMBER 2015</w:t>
                    </w:r>
                  </w:p>
                </w:txbxContent>
              </v:textbox>
            </v:shape>
          </w:pict>
        </mc:Fallback>
      </mc:AlternateContent>
    </w:r>
    <w:r>
      <w:rPr>
        <w:noProof/>
        <w:lang w:val="en-AU" w:eastAsia="en-AU"/>
      </w:rPr>
      <w:drawing>
        <wp:anchor distT="0" distB="0" distL="114300" distR="114300" simplePos="0" relativeHeight="251658752" behindDoc="1" locked="0" layoutInCell="1" allowOverlap="1" wp14:anchorId="04B81CE1" wp14:editId="26388575">
          <wp:simplePos x="0" y="0"/>
          <wp:positionH relativeFrom="page">
            <wp:align>left</wp:align>
          </wp:positionH>
          <wp:positionV relativeFrom="page">
            <wp:align>top</wp:align>
          </wp:positionV>
          <wp:extent cx="7569200" cy="10693400"/>
          <wp:effectExtent l="0" t="0" r="0" b="0"/>
          <wp:wrapNone/>
          <wp:docPr id="8" name="Picture 8" descr="Communique_p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munique_pp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C5" w:rsidRDefault="004400C5">
    <w:pPr>
      <w:pStyle w:val="Header"/>
    </w:pPr>
    <w:r>
      <w:rPr>
        <w:noProof/>
        <w:lang w:val="en-AU" w:eastAsia="en-AU"/>
      </w:rPr>
      <w:drawing>
        <wp:anchor distT="0" distB="0" distL="114300" distR="114300" simplePos="0" relativeHeight="251663872" behindDoc="1" locked="0" layoutInCell="1" allowOverlap="1" wp14:anchorId="1C17E3E2" wp14:editId="5B8E189C">
          <wp:simplePos x="0" y="0"/>
          <wp:positionH relativeFrom="page">
            <wp:align>left</wp:align>
          </wp:positionH>
          <wp:positionV relativeFrom="page">
            <wp:align>top</wp:align>
          </wp:positionV>
          <wp:extent cx="7543800" cy="10693400"/>
          <wp:effectExtent l="0" t="0" r="0" b="0"/>
          <wp:wrapNone/>
          <wp:docPr id="7" name="Picture 7" descr="Communique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C5" w:rsidRDefault="004400C5">
    <w:pPr>
      <w:pStyle w:val="Header"/>
    </w:pPr>
    <w:r>
      <w:rPr>
        <w:noProof/>
        <w:lang w:val="en-AU" w:eastAsia="en-AU"/>
      </w:rPr>
      <w:drawing>
        <wp:anchor distT="0" distB="0" distL="114300" distR="114300" simplePos="0" relativeHeight="251664896" behindDoc="1" locked="0" layoutInCell="1" allowOverlap="1" wp14:anchorId="75530BC2" wp14:editId="0DF711AF">
          <wp:simplePos x="0" y="0"/>
          <wp:positionH relativeFrom="page">
            <wp:align>left</wp:align>
          </wp:positionH>
          <wp:positionV relativeFrom="page">
            <wp:posOffset>-73152</wp:posOffset>
          </wp:positionV>
          <wp:extent cx="7569200" cy="10693400"/>
          <wp:effectExtent l="0" t="0" r="0" b="0"/>
          <wp:wrapNone/>
          <wp:docPr id="10" name="Picture 10" descr="Communique_p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munique_pp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069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5920" behindDoc="0" locked="0" layoutInCell="1" allowOverlap="1" wp14:anchorId="5A6E11F5" wp14:editId="4BB3C45C">
              <wp:simplePos x="0" y="0"/>
              <wp:positionH relativeFrom="column">
                <wp:posOffset>-186690</wp:posOffset>
              </wp:positionH>
              <wp:positionV relativeFrom="paragraph">
                <wp:posOffset>196850</wp:posOffset>
              </wp:positionV>
              <wp:extent cx="4939665" cy="16859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9665" cy="1685925"/>
                      </a:xfrm>
                      <a:prstGeom prst="rect">
                        <a:avLst/>
                      </a:prstGeom>
                      <a:noFill/>
                      <a:ln w="9525">
                        <a:noFill/>
                        <a:miter lim="800000"/>
                        <a:headEnd/>
                        <a:tailEnd/>
                      </a:ln>
                    </wps:spPr>
                    <wps:txbx>
                      <w:txbxContent>
                        <w:p w:rsidR="004400C5" w:rsidRPr="00120A6F" w:rsidRDefault="004400C5" w:rsidP="00120A6F">
                          <w:pPr>
                            <w:pStyle w:val="Title1"/>
                            <w:jc w:val="right"/>
                            <w:rPr>
                              <w:sz w:val="66"/>
                              <w:szCs w:val="72"/>
                            </w:rPr>
                          </w:pPr>
                          <w:r w:rsidRPr="00120A6F">
                            <w:rPr>
                              <w:sz w:val="66"/>
                              <w:szCs w:val="72"/>
                            </w:rPr>
                            <w:t>COAG Energy Council</w:t>
                          </w:r>
                        </w:p>
                        <w:p w:rsidR="004400C5" w:rsidRPr="00120A6F" w:rsidRDefault="004400C5" w:rsidP="00120A6F">
                          <w:pPr>
                            <w:pStyle w:val="Title1"/>
                            <w:jc w:val="right"/>
                            <w:rPr>
                              <w:sz w:val="36"/>
                              <w:szCs w:val="36"/>
                            </w:rPr>
                          </w:pPr>
                          <w:r w:rsidRPr="00120A6F">
                            <w:rPr>
                              <w:sz w:val="36"/>
                              <w:szCs w:val="36"/>
                            </w:rPr>
                            <w:t>Meeting Communique</w:t>
                          </w:r>
                        </w:p>
                        <w:p w:rsidR="004400C5" w:rsidRPr="007543B4" w:rsidRDefault="004400C5" w:rsidP="007543B4">
                          <w:pPr>
                            <w:jc w:val="right"/>
                            <w:rPr>
                              <w:rFonts w:ascii="Arial" w:hAnsi="Arial" w:cs="Arial"/>
                              <w:b/>
                              <w:color w:val="FFFFFF" w:themeColor="background1"/>
                              <w:sz w:val="28"/>
                            </w:rPr>
                          </w:pPr>
                        </w:p>
                        <w:p w:rsidR="004400C5" w:rsidRPr="00120A6F" w:rsidRDefault="004400C5" w:rsidP="00120A6F">
                          <w:pPr>
                            <w:pStyle w:val="Date1"/>
                            <w:jc w:val="right"/>
                            <w:rPr>
                              <w:smallCaps/>
                              <w:color w:val="FFFFFF" w:themeColor="background1"/>
                              <w:sz w:val="18"/>
                            </w:rPr>
                          </w:pPr>
                          <w:r>
                            <w:t>CANBERRA</w:t>
                          </w:r>
                          <w:r w:rsidRPr="00120A6F">
                            <w:rPr>
                              <w:rFonts w:ascii="Arial" w:hAnsi="Arial" w:cs="Arial"/>
                              <w:b/>
                              <w:smallCaps/>
                              <w:color w:val="FFFFFF" w:themeColor="background1"/>
                              <w:sz w:val="20"/>
                            </w:rPr>
                            <w:t xml:space="preserve"> /</w:t>
                          </w:r>
                          <w:r w:rsidRPr="00120A6F">
                            <w:t xml:space="preserve"> </w:t>
                          </w:r>
                          <w:r>
                            <w:t>4 DECEMBER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4.7pt;margin-top:15.5pt;width:388.95pt;height:13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" filled="f" stroked="f">
              <v:textbox>
                <w:txbxContent>
                  <w:p w:rsidR="004400C5" w:rsidRPr="00120A6F" w:rsidRDefault="004400C5" w:rsidP="00120A6F">
                    <w:pPr>
                      <w:pStyle w:val="Title1"/>
                      <w:jc w:val="right"/>
                      <w:rPr>
                        <w:sz w:val="66"/>
                        <w:szCs w:val="72"/>
                      </w:rPr>
                    </w:pPr>
                    <w:r w:rsidRPr="00120A6F">
                      <w:rPr>
                        <w:sz w:val="66"/>
                        <w:szCs w:val="72"/>
                      </w:rPr>
                      <w:t>COAG Energy Council</w:t>
                    </w:r>
                  </w:p>
                  <w:p w:rsidR="004400C5" w:rsidRPr="00120A6F" w:rsidRDefault="004400C5" w:rsidP="00120A6F">
                    <w:pPr>
                      <w:pStyle w:val="Title1"/>
                      <w:jc w:val="right"/>
                      <w:rPr>
                        <w:sz w:val="36"/>
                        <w:szCs w:val="36"/>
                      </w:rPr>
                    </w:pPr>
                    <w:r w:rsidRPr="00120A6F">
                      <w:rPr>
                        <w:sz w:val="36"/>
                        <w:szCs w:val="36"/>
                      </w:rPr>
                      <w:t>Meeting Communique</w:t>
                    </w:r>
                  </w:p>
                  <w:p w:rsidR="004400C5" w:rsidRPr="007543B4" w:rsidRDefault="004400C5" w:rsidP="007543B4">
                    <w:pPr>
                      <w:jc w:val="right"/>
                      <w:rPr>
                        <w:rFonts w:ascii="Arial" w:hAnsi="Arial" w:cs="Arial"/>
                        <w:b/>
                        <w:color w:val="FFFFFF" w:themeColor="background1"/>
                        <w:sz w:val="28"/>
                      </w:rPr>
                    </w:pPr>
                  </w:p>
                  <w:p w:rsidR="004400C5" w:rsidRPr="00120A6F" w:rsidRDefault="004400C5" w:rsidP="00120A6F">
                    <w:pPr>
                      <w:pStyle w:val="Date1"/>
                      <w:jc w:val="right"/>
                      <w:rPr>
                        <w:smallCaps/>
                        <w:color w:val="FFFFFF" w:themeColor="background1"/>
                        <w:sz w:val="18"/>
                      </w:rPr>
                    </w:pPr>
                    <w:r>
                      <w:t>CANBERRA</w:t>
                    </w:r>
                    <w:r w:rsidRPr="00120A6F">
                      <w:rPr>
                        <w:rFonts w:ascii="Arial" w:hAnsi="Arial" w:cs="Arial"/>
                        <w:b/>
                        <w:smallCaps/>
                        <w:color w:val="FFFFFF" w:themeColor="background1"/>
                        <w:sz w:val="20"/>
                      </w:rPr>
                      <w:t xml:space="preserve"> /</w:t>
                    </w:r>
                    <w:r w:rsidRPr="00120A6F">
                      <w:t xml:space="preserve"> </w:t>
                    </w:r>
                    <w:r>
                      <w:t>4 DECEMBER 2015</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C5" w:rsidRPr="00256EF1" w:rsidRDefault="004400C5" w:rsidP="0099770B">
    <w:pPr>
      <w:pStyle w:val="Header"/>
      <w:jc w:val="right"/>
      <w:rPr>
        <w:rFonts w:ascii="Arial" w:hAnsi="Arial"/>
        <w:color w:val="A6A6A6"/>
        <w:sz w:val="20"/>
      </w:rPr>
    </w:pPr>
    <w:r w:rsidRPr="00256EF1">
      <w:rPr>
        <w:rStyle w:val="PageNumber"/>
        <w:rFonts w:ascii="Arial" w:hAnsi="Arial"/>
        <w:color w:val="A6A6A6"/>
        <w:sz w:val="20"/>
      </w:rPr>
      <w:fldChar w:fldCharType="begin"/>
    </w:r>
    <w:r w:rsidRPr="00256EF1">
      <w:rPr>
        <w:rStyle w:val="PageNumber"/>
        <w:rFonts w:ascii="Arial" w:hAnsi="Arial"/>
        <w:color w:val="A6A6A6"/>
        <w:sz w:val="20"/>
      </w:rPr>
      <w:instrText xml:space="preserve"> PAGE </w:instrText>
    </w:r>
    <w:r w:rsidRPr="00256EF1">
      <w:rPr>
        <w:rStyle w:val="PageNumber"/>
        <w:rFonts w:ascii="Arial" w:hAnsi="Arial"/>
        <w:color w:val="A6A6A6"/>
        <w:sz w:val="20"/>
      </w:rPr>
      <w:fldChar w:fldCharType="separate"/>
    </w:r>
    <w:r w:rsidR="008D3530">
      <w:rPr>
        <w:rStyle w:val="PageNumber"/>
        <w:rFonts w:ascii="Arial" w:hAnsi="Arial"/>
        <w:color w:val="A6A6A6"/>
        <w:sz w:val="20"/>
      </w:rPr>
      <w:t>5</w:t>
    </w:r>
    <w:r w:rsidRPr="00256EF1">
      <w:rPr>
        <w:rStyle w:val="PageNumber"/>
        <w:rFonts w:ascii="Arial" w:hAnsi="Arial"/>
        <w:color w:val="A6A6A6"/>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4A86"/>
    <w:multiLevelType w:val="hybridMultilevel"/>
    <w:tmpl w:val="71706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EE165F"/>
    <w:multiLevelType w:val="multilevel"/>
    <w:tmpl w:val="E6CA99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A1F37"/>
    <w:multiLevelType w:val="hybridMultilevel"/>
    <w:tmpl w:val="66AE9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BF58FB"/>
    <w:multiLevelType w:val="hybridMultilevel"/>
    <w:tmpl w:val="9F9009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4012591"/>
    <w:multiLevelType w:val="hybridMultilevel"/>
    <w:tmpl w:val="CC3CCB1E"/>
    <w:lvl w:ilvl="0" w:tplc="BF444E94">
      <w:numFmt w:val="bullet"/>
      <w:lvlText w:val="•"/>
      <w:lvlJc w:val="left"/>
      <w:pPr>
        <w:ind w:left="720" w:hanging="720"/>
      </w:pPr>
      <w:rPr>
        <w:rFonts w:ascii="ArialMT" w:eastAsia="Cambria" w:hAnsi="ArialMT" w:cs="ArialM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4782098D"/>
    <w:multiLevelType w:val="hybridMultilevel"/>
    <w:tmpl w:val="CBC6E1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nsid w:val="47AF3A79"/>
    <w:multiLevelType w:val="hybridMultilevel"/>
    <w:tmpl w:val="F39AE1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ACC4992"/>
    <w:multiLevelType w:val="hybridMultilevel"/>
    <w:tmpl w:val="65DAD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C8C6625"/>
    <w:multiLevelType w:val="hybridMultilevel"/>
    <w:tmpl w:val="B804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37540"/>
    <w:multiLevelType w:val="hybridMultilevel"/>
    <w:tmpl w:val="6D2ED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79667F8"/>
    <w:multiLevelType w:val="hybridMultilevel"/>
    <w:tmpl w:val="CCFA3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EB92CE6"/>
    <w:multiLevelType w:val="hybridMultilevel"/>
    <w:tmpl w:val="FE582198"/>
    <w:lvl w:ilvl="0" w:tplc="BF444E94">
      <w:numFmt w:val="bullet"/>
      <w:lvlText w:val="•"/>
      <w:lvlJc w:val="left"/>
      <w:pPr>
        <w:ind w:left="1080" w:hanging="720"/>
      </w:pPr>
      <w:rPr>
        <w:rFonts w:ascii="ArialMT" w:eastAsia="Cambria" w:hAnsi="ArialMT" w:cs="Aria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F6A415F"/>
    <w:multiLevelType w:val="hybridMultilevel"/>
    <w:tmpl w:val="2FF2A470"/>
    <w:lvl w:ilvl="0" w:tplc="BF444E94">
      <w:numFmt w:val="bullet"/>
      <w:lvlText w:val="•"/>
      <w:lvlJc w:val="left"/>
      <w:pPr>
        <w:ind w:left="720" w:hanging="720"/>
      </w:pPr>
      <w:rPr>
        <w:rFonts w:ascii="ArialMT" w:eastAsia="Cambria" w:hAnsi="ArialMT" w:cs="ArialM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406002B"/>
    <w:multiLevelType w:val="hybridMultilevel"/>
    <w:tmpl w:val="43487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6E5334"/>
    <w:multiLevelType w:val="multilevel"/>
    <w:tmpl w:val="6186E6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6306A2"/>
    <w:multiLevelType w:val="multilevel"/>
    <w:tmpl w:val="3C48E9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A8438E"/>
    <w:multiLevelType w:val="hybridMultilevel"/>
    <w:tmpl w:val="9CACF596"/>
    <w:lvl w:ilvl="0" w:tplc="0C090001">
      <w:start w:val="1"/>
      <w:numFmt w:val="bullet"/>
      <w:lvlText w:val=""/>
      <w:lvlJc w:val="left"/>
      <w:pPr>
        <w:ind w:left="2145" w:hanging="360"/>
      </w:pPr>
      <w:rPr>
        <w:rFonts w:ascii="Symbol" w:hAnsi="Symbol" w:hint="default"/>
      </w:rPr>
    </w:lvl>
    <w:lvl w:ilvl="1" w:tplc="0C090003">
      <w:start w:val="1"/>
      <w:numFmt w:val="bullet"/>
      <w:lvlText w:val="o"/>
      <w:lvlJc w:val="left"/>
      <w:pPr>
        <w:ind w:left="2865" w:hanging="360"/>
      </w:pPr>
      <w:rPr>
        <w:rFonts w:ascii="Courier New" w:hAnsi="Courier New" w:cs="Courier New" w:hint="default"/>
      </w:rPr>
    </w:lvl>
    <w:lvl w:ilvl="2" w:tplc="0C090005">
      <w:start w:val="1"/>
      <w:numFmt w:val="bullet"/>
      <w:lvlText w:val=""/>
      <w:lvlJc w:val="left"/>
      <w:pPr>
        <w:ind w:left="3585" w:hanging="360"/>
      </w:pPr>
      <w:rPr>
        <w:rFonts w:ascii="Wingdings" w:hAnsi="Wingdings" w:hint="default"/>
      </w:rPr>
    </w:lvl>
    <w:lvl w:ilvl="3" w:tplc="0C090001">
      <w:start w:val="1"/>
      <w:numFmt w:val="bullet"/>
      <w:lvlText w:val=""/>
      <w:lvlJc w:val="left"/>
      <w:pPr>
        <w:ind w:left="4305" w:hanging="360"/>
      </w:pPr>
      <w:rPr>
        <w:rFonts w:ascii="Symbol" w:hAnsi="Symbol" w:hint="default"/>
      </w:rPr>
    </w:lvl>
    <w:lvl w:ilvl="4" w:tplc="0C090003">
      <w:start w:val="1"/>
      <w:numFmt w:val="bullet"/>
      <w:lvlText w:val="o"/>
      <w:lvlJc w:val="left"/>
      <w:pPr>
        <w:ind w:left="5025" w:hanging="360"/>
      </w:pPr>
      <w:rPr>
        <w:rFonts w:ascii="Courier New" w:hAnsi="Courier New" w:cs="Courier New" w:hint="default"/>
      </w:rPr>
    </w:lvl>
    <w:lvl w:ilvl="5" w:tplc="0C090005">
      <w:start w:val="1"/>
      <w:numFmt w:val="bullet"/>
      <w:lvlText w:val=""/>
      <w:lvlJc w:val="left"/>
      <w:pPr>
        <w:ind w:left="5745" w:hanging="360"/>
      </w:pPr>
      <w:rPr>
        <w:rFonts w:ascii="Wingdings" w:hAnsi="Wingdings" w:hint="default"/>
      </w:rPr>
    </w:lvl>
    <w:lvl w:ilvl="6" w:tplc="0C090001">
      <w:start w:val="1"/>
      <w:numFmt w:val="bullet"/>
      <w:lvlText w:val=""/>
      <w:lvlJc w:val="left"/>
      <w:pPr>
        <w:ind w:left="6465" w:hanging="360"/>
      </w:pPr>
      <w:rPr>
        <w:rFonts w:ascii="Symbol" w:hAnsi="Symbol" w:hint="default"/>
      </w:rPr>
    </w:lvl>
    <w:lvl w:ilvl="7" w:tplc="0C090003">
      <w:start w:val="1"/>
      <w:numFmt w:val="bullet"/>
      <w:lvlText w:val="o"/>
      <w:lvlJc w:val="left"/>
      <w:pPr>
        <w:ind w:left="7185" w:hanging="360"/>
      </w:pPr>
      <w:rPr>
        <w:rFonts w:ascii="Courier New" w:hAnsi="Courier New" w:cs="Courier New" w:hint="default"/>
      </w:rPr>
    </w:lvl>
    <w:lvl w:ilvl="8" w:tplc="0C090005">
      <w:start w:val="1"/>
      <w:numFmt w:val="bullet"/>
      <w:lvlText w:val=""/>
      <w:lvlJc w:val="left"/>
      <w:pPr>
        <w:ind w:left="7905" w:hanging="360"/>
      </w:pPr>
      <w:rPr>
        <w:rFonts w:ascii="Wingdings" w:hAnsi="Wingdings" w:hint="default"/>
      </w:rPr>
    </w:lvl>
  </w:abstractNum>
  <w:num w:numId="1">
    <w:abstractNumId w:val="9"/>
  </w:num>
  <w:num w:numId="2">
    <w:abstractNumId w:val="3"/>
  </w:num>
  <w:num w:numId="3">
    <w:abstractNumId w:val="11"/>
  </w:num>
  <w:num w:numId="4">
    <w:abstractNumId w:val="12"/>
  </w:num>
  <w:num w:numId="5">
    <w:abstractNumId w:val="4"/>
  </w:num>
  <w:num w:numId="6">
    <w:abstractNumId w:val="10"/>
  </w:num>
  <w:num w:numId="7">
    <w:abstractNumId w:val="16"/>
  </w:num>
  <w:num w:numId="8">
    <w:abstractNumId w:val="7"/>
  </w:num>
  <w:num w:numId="9">
    <w:abstractNumId w:val="6"/>
  </w:num>
  <w:num w:numId="10">
    <w:abstractNumId w:val="0"/>
  </w:num>
  <w:num w:numId="11">
    <w:abstractNumId w:val="2"/>
  </w:num>
  <w:num w:numId="12">
    <w:abstractNumId w:val="8"/>
  </w:num>
  <w:num w:numId="13">
    <w:abstractNumId w:val="5"/>
  </w:num>
  <w:num w:numId="14">
    <w:abstractNumId w:val="13"/>
  </w:num>
  <w:num w:numId="15">
    <w:abstractNumId w:val="14"/>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4F6"/>
    <w:rsid w:val="00046DFD"/>
    <w:rsid w:val="000905C0"/>
    <w:rsid w:val="00097AE4"/>
    <w:rsid w:val="000A6DA0"/>
    <w:rsid w:val="000B4A15"/>
    <w:rsid w:val="000C2E22"/>
    <w:rsid w:val="000D6918"/>
    <w:rsid w:val="000E547D"/>
    <w:rsid w:val="0011153E"/>
    <w:rsid w:val="00120A6F"/>
    <w:rsid w:val="001554BE"/>
    <w:rsid w:val="00162920"/>
    <w:rsid w:val="0016292A"/>
    <w:rsid w:val="0019284D"/>
    <w:rsid w:val="001A4195"/>
    <w:rsid w:val="001A6208"/>
    <w:rsid w:val="001B7FD5"/>
    <w:rsid w:val="001D5B6E"/>
    <w:rsid w:val="001E5976"/>
    <w:rsid w:val="00202411"/>
    <w:rsid w:val="002031CC"/>
    <w:rsid w:val="00213396"/>
    <w:rsid w:val="0024481A"/>
    <w:rsid w:val="00276760"/>
    <w:rsid w:val="002901EC"/>
    <w:rsid w:val="002C1D2B"/>
    <w:rsid w:val="002D1B31"/>
    <w:rsid w:val="002D620C"/>
    <w:rsid w:val="00302941"/>
    <w:rsid w:val="00314D7D"/>
    <w:rsid w:val="00326EFB"/>
    <w:rsid w:val="00345DD2"/>
    <w:rsid w:val="00351FAE"/>
    <w:rsid w:val="003A5C08"/>
    <w:rsid w:val="003B3C4C"/>
    <w:rsid w:val="003C4CB0"/>
    <w:rsid w:val="003D2D17"/>
    <w:rsid w:val="003F2868"/>
    <w:rsid w:val="003F2E7D"/>
    <w:rsid w:val="003F738A"/>
    <w:rsid w:val="00405D50"/>
    <w:rsid w:val="004219AD"/>
    <w:rsid w:val="00435EDF"/>
    <w:rsid w:val="004400C5"/>
    <w:rsid w:val="00451969"/>
    <w:rsid w:val="00476103"/>
    <w:rsid w:val="004B7B89"/>
    <w:rsid w:val="00506528"/>
    <w:rsid w:val="0051105F"/>
    <w:rsid w:val="00511963"/>
    <w:rsid w:val="00520CBB"/>
    <w:rsid w:val="0053149D"/>
    <w:rsid w:val="00540B94"/>
    <w:rsid w:val="005427C0"/>
    <w:rsid w:val="00552FCC"/>
    <w:rsid w:val="00562480"/>
    <w:rsid w:val="00572C1A"/>
    <w:rsid w:val="00583A95"/>
    <w:rsid w:val="00594687"/>
    <w:rsid w:val="005B07D9"/>
    <w:rsid w:val="005C6FC3"/>
    <w:rsid w:val="005E1DE9"/>
    <w:rsid w:val="005E28E3"/>
    <w:rsid w:val="005F1C3C"/>
    <w:rsid w:val="005F1D49"/>
    <w:rsid w:val="005F4DEF"/>
    <w:rsid w:val="005F64F6"/>
    <w:rsid w:val="00610AA6"/>
    <w:rsid w:val="00610C0A"/>
    <w:rsid w:val="00634831"/>
    <w:rsid w:val="0064620E"/>
    <w:rsid w:val="0065467B"/>
    <w:rsid w:val="00664410"/>
    <w:rsid w:val="006658A6"/>
    <w:rsid w:val="00681280"/>
    <w:rsid w:val="006A45E7"/>
    <w:rsid w:val="007216EA"/>
    <w:rsid w:val="00732E3E"/>
    <w:rsid w:val="00753340"/>
    <w:rsid w:val="007543B4"/>
    <w:rsid w:val="00774612"/>
    <w:rsid w:val="007A546E"/>
    <w:rsid w:val="007A5B71"/>
    <w:rsid w:val="007C3314"/>
    <w:rsid w:val="007E2146"/>
    <w:rsid w:val="00815001"/>
    <w:rsid w:val="00840641"/>
    <w:rsid w:val="008439AA"/>
    <w:rsid w:val="0087264F"/>
    <w:rsid w:val="00876999"/>
    <w:rsid w:val="00882D8D"/>
    <w:rsid w:val="00882E38"/>
    <w:rsid w:val="00892563"/>
    <w:rsid w:val="008D3530"/>
    <w:rsid w:val="008E724B"/>
    <w:rsid w:val="008F1E31"/>
    <w:rsid w:val="0090354F"/>
    <w:rsid w:val="00917561"/>
    <w:rsid w:val="0092204A"/>
    <w:rsid w:val="00931123"/>
    <w:rsid w:val="00957A79"/>
    <w:rsid w:val="0096104B"/>
    <w:rsid w:val="009749F1"/>
    <w:rsid w:val="009927A1"/>
    <w:rsid w:val="0099770B"/>
    <w:rsid w:val="009A20E8"/>
    <w:rsid w:val="009B1DA1"/>
    <w:rsid w:val="009D4582"/>
    <w:rsid w:val="009D4CD8"/>
    <w:rsid w:val="009E2C86"/>
    <w:rsid w:val="00A04D84"/>
    <w:rsid w:val="00A10F3A"/>
    <w:rsid w:val="00A32F1A"/>
    <w:rsid w:val="00A44D50"/>
    <w:rsid w:val="00A45F8B"/>
    <w:rsid w:val="00A60B27"/>
    <w:rsid w:val="00A755A5"/>
    <w:rsid w:val="00AA48ED"/>
    <w:rsid w:val="00AA7BD4"/>
    <w:rsid w:val="00AB3607"/>
    <w:rsid w:val="00AD59FD"/>
    <w:rsid w:val="00AE190C"/>
    <w:rsid w:val="00AF3B82"/>
    <w:rsid w:val="00B17976"/>
    <w:rsid w:val="00B22004"/>
    <w:rsid w:val="00B231D4"/>
    <w:rsid w:val="00B41846"/>
    <w:rsid w:val="00B5262E"/>
    <w:rsid w:val="00B53421"/>
    <w:rsid w:val="00B722CA"/>
    <w:rsid w:val="00B837AD"/>
    <w:rsid w:val="00B853BF"/>
    <w:rsid w:val="00B978FD"/>
    <w:rsid w:val="00BA28F8"/>
    <w:rsid w:val="00BB2E84"/>
    <w:rsid w:val="00C24C39"/>
    <w:rsid w:val="00C34C59"/>
    <w:rsid w:val="00C5103F"/>
    <w:rsid w:val="00CD135A"/>
    <w:rsid w:val="00CE386E"/>
    <w:rsid w:val="00D02A1E"/>
    <w:rsid w:val="00D03CCF"/>
    <w:rsid w:val="00D1542B"/>
    <w:rsid w:val="00D26F88"/>
    <w:rsid w:val="00D30519"/>
    <w:rsid w:val="00D453AB"/>
    <w:rsid w:val="00D475A3"/>
    <w:rsid w:val="00D717E2"/>
    <w:rsid w:val="00D81005"/>
    <w:rsid w:val="00DA534D"/>
    <w:rsid w:val="00DB1066"/>
    <w:rsid w:val="00DB1310"/>
    <w:rsid w:val="00DE72AD"/>
    <w:rsid w:val="00DF03AD"/>
    <w:rsid w:val="00DF5440"/>
    <w:rsid w:val="00DF6B2A"/>
    <w:rsid w:val="00E164E4"/>
    <w:rsid w:val="00E35171"/>
    <w:rsid w:val="00E37574"/>
    <w:rsid w:val="00E40A73"/>
    <w:rsid w:val="00E424AC"/>
    <w:rsid w:val="00E43366"/>
    <w:rsid w:val="00E5102F"/>
    <w:rsid w:val="00E61C86"/>
    <w:rsid w:val="00E67603"/>
    <w:rsid w:val="00E730EB"/>
    <w:rsid w:val="00EB3485"/>
    <w:rsid w:val="00EC17F2"/>
    <w:rsid w:val="00ED147F"/>
    <w:rsid w:val="00ED5976"/>
    <w:rsid w:val="00ED781D"/>
    <w:rsid w:val="00F31C47"/>
    <w:rsid w:val="00F35C91"/>
    <w:rsid w:val="00F51781"/>
    <w:rsid w:val="00F76465"/>
    <w:rsid w:val="00F96DD0"/>
    <w:rsid w:val="00FA2BFA"/>
    <w:rsid w:val="00FA6A1E"/>
    <w:rsid w:val="00FB0371"/>
    <w:rsid w:val="00FC2FA9"/>
    <w:rsid w:val="00FC73E4"/>
    <w:rsid w:val="00FD2232"/>
    <w:rsid w:val="00FE787D"/>
    <w:rsid w:val="00FF37B6"/>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annotation text" w:uiPriority="99"/>
    <w:lsdException w:name="header" w:uiPriority="99"/>
    <w:lsdException w:name="annotation reference" w:uiPriority="99"/>
    <w:lsdException w:name="Table Grid" w:uiPriority="59"/>
    <w:lsdException w:name="List Paragraph" w:uiPriority="34" w:qFormat="1"/>
  </w:latentStyles>
  <w:style w:type="paragraph" w:default="1" w:styleId="Normal">
    <w:name w:val="Normal"/>
    <w:qFormat/>
    <w:rsid w:val="00A65875"/>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4F6"/>
    <w:pPr>
      <w:tabs>
        <w:tab w:val="center" w:pos="4320"/>
        <w:tab w:val="right" w:pos="8640"/>
      </w:tabs>
    </w:pPr>
  </w:style>
  <w:style w:type="character" w:customStyle="1" w:styleId="HeaderChar">
    <w:name w:val="Header Char"/>
    <w:basedOn w:val="DefaultParagraphFont"/>
    <w:link w:val="Header"/>
    <w:uiPriority w:val="99"/>
    <w:rsid w:val="005F64F6"/>
  </w:style>
  <w:style w:type="paragraph" w:styleId="Footer">
    <w:name w:val="footer"/>
    <w:basedOn w:val="Normal"/>
    <w:link w:val="FooterChar"/>
    <w:uiPriority w:val="99"/>
    <w:unhideWhenUsed/>
    <w:rsid w:val="005F64F6"/>
    <w:pPr>
      <w:tabs>
        <w:tab w:val="center" w:pos="4320"/>
        <w:tab w:val="right" w:pos="8640"/>
      </w:tabs>
    </w:pPr>
  </w:style>
  <w:style w:type="character" w:customStyle="1" w:styleId="FooterChar">
    <w:name w:val="Footer Char"/>
    <w:basedOn w:val="DefaultParagraphFont"/>
    <w:link w:val="Footer"/>
    <w:uiPriority w:val="99"/>
    <w:rsid w:val="005F64F6"/>
  </w:style>
  <w:style w:type="paragraph" w:customStyle="1" w:styleId="introcyan">
    <w:name w:val="intro_cyan"/>
    <w:basedOn w:val="Normal"/>
    <w:uiPriority w:val="99"/>
    <w:rsid w:val="005F64F6"/>
    <w:pPr>
      <w:widowControl w:val="0"/>
      <w:suppressAutoHyphens/>
      <w:autoSpaceDE w:val="0"/>
      <w:autoSpaceDN w:val="0"/>
      <w:adjustRightInd w:val="0"/>
      <w:spacing w:after="170" w:line="220" w:lineRule="atLeast"/>
      <w:textAlignment w:val="center"/>
    </w:pPr>
    <w:rPr>
      <w:rFonts w:ascii="ArialMT" w:hAnsi="ArialMT" w:cs="ArialMT"/>
      <w:caps/>
      <w:color w:val="4BACC6"/>
      <w:sz w:val="20"/>
      <w:szCs w:val="20"/>
      <w:lang w:val="en-GB"/>
    </w:rPr>
  </w:style>
  <w:style w:type="paragraph" w:customStyle="1" w:styleId="Subtitle1">
    <w:name w:val="Subtitle1"/>
    <w:basedOn w:val="Normal"/>
    <w:uiPriority w:val="99"/>
    <w:rsid w:val="005F64F6"/>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text">
    <w:name w:val="text"/>
    <w:basedOn w:val="Normal"/>
    <w:uiPriority w:val="99"/>
    <w:rsid w:val="005F64F6"/>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cyan">
    <w:name w:val="bullets_cyan"/>
    <w:basedOn w:val="Normal"/>
    <w:uiPriority w:val="99"/>
    <w:rsid w:val="005F64F6"/>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character" w:styleId="PageNumber">
    <w:name w:val="page number"/>
    <w:basedOn w:val="DefaultParagraphFont"/>
    <w:rsid w:val="00256EF1"/>
  </w:style>
  <w:style w:type="paragraph" w:styleId="BalloonText">
    <w:name w:val="Balloon Text"/>
    <w:basedOn w:val="Normal"/>
    <w:link w:val="BalloonTextChar"/>
    <w:rsid w:val="00882E38"/>
    <w:rPr>
      <w:rFonts w:ascii="Lucida Grande" w:hAnsi="Lucida Grande" w:cs="Lucida Grande"/>
      <w:sz w:val="18"/>
      <w:szCs w:val="18"/>
    </w:rPr>
  </w:style>
  <w:style w:type="character" w:customStyle="1" w:styleId="BalloonTextChar">
    <w:name w:val="Balloon Text Char"/>
    <w:basedOn w:val="DefaultParagraphFont"/>
    <w:link w:val="BalloonText"/>
    <w:rsid w:val="00882E38"/>
    <w:rPr>
      <w:rFonts w:ascii="Lucida Grande" w:hAnsi="Lucida Grande" w:cs="Lucida Grande"/>
      <w:sz w:val="18"/>
      <w:szCs w:val="18"/>
      <w:lang w:val="en-US"/>
    </w:rPr>
  </w:style>
  <w:style w:type="paragraph" w:customStyle="1" w:styleId="Title1">
    <w:name w:val="Title1"/>
    <w:basedOn w:val="Normal"/>
    <w:rsid w:val="00120A6F"/>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Date1">
    <w:name w:val="Date1"/>
    <w:basedOn w:val="Normal"/>
    <w:rsid w:val="00120A6F"/>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table" w:styleId="TableGrid">
    <w:name w:val="Table Grid"/>
    <w:basedOn w:val="TableNormal"/>
    <w:uiPriority w:val="59"/>
    <w:rsid w:val="00DF6B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F4DEF"/>
    <w:rPr>
      <w:color w:val="0000FF" w:themeColor="hyperlink"/>
      <w:u w:val="single"/>
    </w:rPr>
  </w:style>
  <w:style w:type="character" w:styleId="FollowedHyperlink">
    <w:name w:val="FollowedHyperlink"/>
    <w:basedOn w:val="DefaultParagraphFont"/>
    <w:rsid w:val="00CE386E"/>
    <w:rPr>
      <w:color w:val="800080" w:themeColor="followedHyperlink"/>
      <w:u w:val="single"/>
    </w:rPr>
  </w:style>
  <w:style w:type="paragraph" w:styleId="ListParagraph">
    <w:name w:val="List Paragraph"/>
    <w:aliases w:val="List Paragraph11,1 heading,Bullet point,Dot point 1.5 line spacing,L,List Paragraph - bullets,List Paragraph1,NFP GP Bulleted List,Recommendation,bullet point list"/>
    <w:basedOn w:val="Normal"/>
    <w:link w:val="ListParagraphChar"/>
    <w:uiPriority w:val="34"/>
    <w:qFormat/>
    <w:rsid w:val="00B837AD"/>
    <w:pPr>
      <w:spacing w:after="200" w:line="276" w:lineRule="auto"/>
      <w:ind w:left="720"/>
      <w:contextualSpacing/>
    </w:pPr>
    <w:rPr>
      <w:rFonts w:asciiTheme="minorHAnsi" w:eastAsiaTheme="minorHAnsi" w:hAnsiTheme="minorHAnsi" w:cstheme="minorBidi"/>
      <w:sz w:val="22"/>
      <w:szCs w:val="22"/>
      <w:lang w:val="en-AU"/>
    </w:rPr>
  </w:style>
  <w:style w:type="paragraph" w:customStyle="1" w:styleId="BasicParagraph">
    <w:name w:val="[Basic Paragraph]"/>
    <w:basedOn w:val="Normal"/>
    <w:uiPriority w:val="99"/>
    <w:rsid w:val="00B837AD"/>
    <w:pPr>
      <w:widowControl w:val="0"/>
      <w:autoSpaceDE w:val="0"/>
      <w:autoSpaceDN w:val="0"/>
      <w:adjustRightInd w:val="0"/>
      <w:spacing w:line="288" w:lineRule="auto"/>
    </w:pPr>
    <w:rPr>
      <w:rFonts w:ascii="MinionPro-Regular" w:hAnsi="MinionPro-Regular" w:cs="MinionPro-Regular"/>
      <w:color w:val="000000"/>
      <w:lang w:val="en-GB"/>
    </w:rPr>
  </w:style>
  <w:style w:type="character" w:styleId="CommentReference">
    <w:name w:val="annotation reference"/>
    <w:basedOn w:val="DefaultParagraphFont"/>
    <w:uiPriority w:val="99"/>
    <w:unhideWhenUsed/>
    <w:rsid w:val="00B837AD"/>
    <w:rPr>
      <w:sz w:val="16"/>
      <w:szCs w:val="16"/>
    </w:rPr>
  </w:style>
  <w:style w:type="paragraph" w:styleId="CommentText">
    <w:name w:val="annotation text"/>
    <w:basedOn w:val="Normal"/>
    <w:link w:val="CommentTextChar"/>
    <w:uiPriority w:val="99"/>
    <w:unhideWhenUsed/>
    <w:rsid w:val="00B837AD"/>
    <w:pPr>
      <w:spacing w:after="20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rsid w:val="00B837AD"/>
    <w:rPr>
      <w:rFonts w:asciiTheme="minorHAnsi" w:eastAsiaTheme="minorHAnsi" w:hAnsiTheme="minorHAnsi" w:cstheme="minorBidi"/>
    </w:rPr>
  </w:style>
  <w:style w:type="paragraph" w:styleId="CommentSubject">
    <w:name w:val="annotation subject"/>
    <w:basedOn w:val="CommentText"/>
    <w:next w:val="CommentText"/>
    <w:link w:val="CommentSubjectChar"/>
    <w:rsid w:val="00876999"/>
    <w:pPr>
      <w:spacing w:after="0"/>
    </w:pPr>
    <w:rPr>
      <w:rFonts w:ascii="Cambria" w:eastAsia="Cambria" w:hAnsi="Cambria" w:cs="Times New Roman"/>
      <w:b/>
      <w:bCs/>
      <w:lang w:val="en-US"/>
    </w:rPr>
  </w:style>
  <w:style w:type="character" w:customStyle="1" w:styleId="CommentSubjectChar">
    <w:name w:val="Comment Subject Char"/>
    <w:basedOn w:val="CommentTextChar"/>
    <w:link w:val="CommentSubject"/>
    <w:rsid w:val="00876999"/>
    <w:rPr>
      <w:rFonts w:asciiTheme="minorHAnsi" w:eastAsiaTheme="minorHAnsi" w:hAnsiTheme="minorHAnsi" w:cstheme="minorBidi"/>
      <w:b/>
      <w:bCs/>
      <w:lang w:val="en-US"/>
    </w:rPr>
  </w:style>
  <w:style w:type="paragraph" w:styleId="Revision">
    <w:name w:val="Revision"/>
    <w:hidden/>
    <w:rsid w:val="00876999"/>
    <w:rPr>
      <w:sz w:val="24"/>
      <w:szCs w:val="24"/>
      <w:lang w:val="en-US"/>
    </w:rPr>
  </w:style>
  <w:style w:type="character" w:customStyle="1" w:styleId="ListParagraphChar">
    <w:name w:val="List Paragraph Char"/>
    <w:aliases w:val="List Paragraph11 Char,1 heading Char,Bullet point Char,Dot point 1.5 line spacing Char,L Char,List Paragraph - bullets Char,List Paragraph1 Char,NFP GP Bulleted List Char,Recommendation Char,bullet point list Char"/>
    <w:basedOn w:val="DefaultParagraphFont"/>
    <w:link w:val="ListParagraph"/>
    <w:uiPriority w:val="34"/>
    <w:rsid w:val="00A60B2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annotation text" w:uiPriority="99"/>
    <w:lsdException w:name="header" w:uiPriority="99"/>
    <w:lsdException w:name="annotation reference" w:uiPriority="99"/>
    <w:lsdException w:name="Table Grid" w:uiPriority="59"/>
    <w:lsdException w:name="List Paragraph" w:uiPriority="34" w:qFormat="1"/>
  </w:latentStyles>
  <w:style w:type="paragraph" w:default="1" w:styleId="Normal">
    <w:name w:val="Normal"/>
    <w:qFormat/>
    <w:rsid w:val="00A65875"/>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4F6"/>
    <w:pPr>
      <w:tabs>
        <w:tab w:val="center" w:pos="4320"/>
        <w:tab w:val="right" w:pos="8640"/>
      </w:tabs>
    </w:pPr>
  </w:style>
  <w:style w:type="character" w:customStyle="1" w:styleId="HeaderChar">
    <w:name w:val="Header Char"/>
    <w:basedOn w:val="DefaultParagraphFont"/>
    <w:link w:val="Header"/>
    <w:uiPriority w:val="99"/>
    <w:rsid w:val="005F64F6"/>
  </w:style>
  <w:style w:type="paragraph" w:styleId="Footer">
    <w:name w:val="footer"/>
    <w:basedOn w:val="Normal"/>
    <w:link w:val="FooterChar"/>
    <w:uiPriority w:val="99"/>
    <w:unhideWhenUsed/>
    <w:rsid w:val="005F64F6"/>
    <w:pPr>
      <w:tabs>
        <w:tab w:val="center" w:pos="4320"/>
        <w:tab w:val="right" w:pos="8640"/>
      </w:tabs>
    </w:pPr>
  </w:style>
  <w:style w:type="character" w:customStyle="1" w:styleId="FooterChar">
    <w:name w:val="Footer Char"/>
    <w:basedOn w:val="DefaultParagraphFont"/>
    <w:link w:val="Footer"/>
    <w:uiPriority w:val="99"/>
    <w:rsid w:val="005F64F6"/>
  </w:style>
  <w:style w:type="paragraph" w:customStyle="1" w:styleId="introcyan">
    <w:name w:val="intro_cyan"/>
    <w:basedOn w:val="Normal"/>
    <w:uiPriority w:val="99"/>
    <w:rsid w:val="005F64F6"/>
    <w:pPr>
      <w:widowControl w:val="0"/>
      <w:suppressAutoHyphens/>
      <w:autoSpaceDE w:val="0"/>
      <w:autoSpaceDN w:val="0"/>
      <w:adjustRightInd w:val="0"/>
      <w:spacing w:after="170" w:line="220" w:lineRule="atLeast"/>
      <w:textAlignment w:val="center"/>
    </w:pPr>
    <w:rPr>
      <w:rFonts w:ascii="ArialMT" w:hAnsi="ArialMT" w:cs="ArialMT"/>
      <w:caps/>
      <w:color w:val="4BACC6"/>
      <w:sz w:val="20"/>
      <w:szCs w:val="20"/>
      <w:lang w:val="en-GB"/>
    </w:rPr>
  </w:style>
  <w:style w:type="paragraph" w:customStyle="1" w:styleId="Subtitle1">
    <w:name w:val="Subtitle1"/>
    <w:basedOn w:val="Normal"/>
    <w:uiPriority w:val="99"/>
    <w:rsid w:val="005F64F6"/>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text">
    <w:name w:val="text"/>
    <w:basedOn w:val="Normal"/>
    <w:uiPriority w:val="99"/>
    <w:rsid w:val="005F64F6"/>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cyan">
    <w:name w:val="bullets_cyan"/>
    <w:basedOn w:val="Normal"/>
    <w:uiPriority w:val="99"/>
    <w:rsid w:val="005F64F6"/>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character" w:styleId="PageNumber">
    <w:name w:val="page number"/>
    <w:basedOn w:val="DefaultParagraphFont"/>
    <w:rsid w:val="00256EF1"/>
  </w:style>
  <w:style w:type="paragraph" w:styleId="BalloonText">
    <w:name w:val="Balloon Text"/>
    <w:basedOn w:val="Normal"/>
    <w:link w:val="BalloonTextChar"/>
    <w:rsid w:val="00882E38"/>
    <w:rPr>
      <w:rFonts w:ascii="Lucida Grande" w:hAnsi="Lucida Grande" w:cs="Lucida Grande"/>
      <w:sz w:val="18"/>
      <w:szCs w:val="18"/>
    </w:rPr>
  </w:style>
  <w:style w:type="character" w:customStyle="1" w:styleId="BalloonTextChar">
    <w:name w:val="Balloon Text Char"/>
    <w:basedOn w:val="DefaultParagraphFont"/>
    <w:link w:val="BalloonText"/>
    <w:rsid w:val="00882E38"/>
    <w:rPr>
      <w:rFonts w:ascii="Lucida Grande" w:hAnsi="Lucida Grande" w:cs="Lucida Grande"/>
      <w:sz w:val="18"/>
      <w:szCs w:val="18"/>
      <w:lang w:val="en-US"/>
    </w:rPr>
  </w:style>
  <w:style w:type="paragraph" w:customStyle="1" w:styleId="Title1">
    <w:name w:val="Title1"/>
    <w:basedOn w:val="Normal"/>
    <w:rsid w:val="00120A6F"/>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Date1">
    <w:name w:val="Date1"/>
    <w:basedOn w:val="Normal"/>
    <w:rsid w:val="00120A6F"/>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table" w:styleId="TableGrid">
    <w:name w:val="Table Grid"/>
    <w:basedOn w:val="TableNormal"/>
    <w:uiPriority w:val="59"/>
    <w:rsid w:val="00DF6B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F4DEF"/>
    <w:rPr>
      <w:color w:val="0000FF" w:themeColor="hyperlink"/>
      <w:u w:val="single"/>
    </w:rPr>
  </w:style>
  <w:style w:type="character" w:styleId="FollowedHyperlink">
    <w:name w:val="FollowedHyperlink"/>
    <w:basedOn w:val="DefaultParagraphFont"/>
    <w:rsid w:val="00CE386E"/>
    <w:rPr>
      <w:color w:val="800080" w:themeColor="followedHyperlink"/>
      <w:u w:val="single"/>
    </w:rPr>
  </w:style>
  <w:style w:type="paragraph" w:styleId="ListParagraph">
    <w:name w:val="List Paragraph"/>
    <w:aliases w:val="List Paragraph11,1 heading,Bullet point,Dot point 1.5 line spacing,L,List Paragraph - bullets,List Paragraph1,NFP GP Bulleted List,Recommendation,bullet point list"/>
    <w:basedOn w:val="Normal"/>
    <w:link w:val="ListParagraphChar"/>
    <w:uiPriority w:val="34"/>
    <w:qFormat/>
    <w:rsid w:val="00B837AD"/>
    <w:pPr>
      <w:spacing w:after="200" w:line="276" w:lineRule="auto"/>
      <w:ind w:left="720"/>
      <w:contextualSpacing/>
    </w:pPr>
    <w:rPr>
      <w:rFonts w:asciiTheme="minorHAnsi" w:eastAsiaTheme="minorHAnsi" w:hAnsiTheme="minorHAnsi" w:cstheme="minorBidi"/>
      <w:sz w:val="22"/>
      <w:szCs w:val="22"/>
      <w:lang w:val="en-AU"/>
    </w:rPr>
  </w:style>
  <w:style w:type="paragraph" w:customStyle="1" w:styleId="BasicParagraph">
    <w:name w:val="[Basic Paragraph]"/>
    <w:basedOn w:val="Normal"/>
    <w:uiPriority w:val="99"/>
    <w:rsid w:val="00B837AD"/>
    <w:pPr>
      <w:widowControl w:val="0"/>
      <w:autoSpaceDE w:val="0"/>
      <w:autoSpaceDN w:val="0"/>
      <w:adjustRightInd w:val="0"/>
      <w:spacing w:line="288" w:lineRule="auto"/>
    </w:pPr>
    <w:rPr>
      <w:rFonts w:ascii="MinionPro-Regular" w:hAnsi="MinionPro-Regular" w:cs="MinionPro-Regular"/>
      <w:color w:val="000000"/>
      <w:lang w:val="en-GB"/>
    </w:rPr>
  </w:style>
  <w:style w:type="character" w:styleId="CommentReference">
    <w:name w:val="annotation reference"/>
    <w:basedOn w:val="DefaultParagraphFont"/>
    <w:uiPriority w:val="99"/>
    <w:unhideWhenUsed/>
    <w:rsid w:val="00B837AD"/>
    <w:rPr>
      <w:sz w:val="16"/>
      <w:szCs w:val="16"/>
    </w:rPr>
  </w:style>
  <w:style w:type="paragraph" w:styleId="CommentText">
    <w:name w:val="annotation text"/>
    <w:basedOn w:val="Normal"/>
    <w:link w:val="CommentTextChar"/>
    <w:uiPriority w:val="99"/>
    <w:unhideWhenUsed/>
    <w:rsid w:val="00B837AD"/>
    <w:pPr>
      <w:spacing w:after="20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rsid w:val="00B837AD"/>
    <w:rPr>
      <w:rFonts w:asciiTheme="minorHAnsi" w:eastAsiaTheme="minorHAnsi" w:hAnsiTheme="minorHAnsi" w:cstheme="minorBidi"/>
    </w:rPr>
  </w:style>
  <w:style w:type="paragraph" w:styleId="CommentSubject">
    <w:name w:val="annotation subject"/>
    <w:basedOn w:val="CommentText"/>
    <w:next w:val="CommentText"/>
    <w:link w:val="CommentSubjectChar"/>
    <w:rsid w:val="00876999"/>
    <w:pPr>
      <w:spacing w:after="0"/>
    </w:pPr>
    <w:rPr>
      <w:rFonts w:ascii="Cambria" w:eastAsia="Cambria" w:hAnsi="Cambria" w:cs="Times New Roman"/>
      <w:b/>
      <w:bCs/>
      <w:lang w:val="en-US"/>
    </w:rPr>
  </w:style>
  <w:style w:type="character" w:customStyle="1" w:styleId="CommentSubjectChar">
    <w:name w:val="Comment Subject Char"/>
    <w:basedOn w:val="CommentTextChar"/>
    <w:link w:val="CommentSubject"/>
    <w:rsid w:val="00876999"/>
    <w:rPr>
      <w:rFonts w:asciiTheme="minorHAnsi" w:eastAsiaTheme="minorHAnsi" w:hAnsiTheme="minorHAnsi" w:cstheme="minorBidi"/>
      <w:b/>
      <w:bCs/>
      <w:lang w:val="en-US"/>
    </w:rPr>
  </w:style>
  <w:style w:type="paragraph" w:styleId="Revision">
    <w:name w:val="Revision"/>
    <w:hidden/>
    <w:rsid w:val="00876999"/>
    <w:rPr>
      <w:sz w:val="24"/>
      <w:szCs w:val="24"/>
      <w:lang w:val="en-US"/>
    </w:rPr>
  </w:style>
  <w:style w:type="character" w:customStyle="1" w:styleId="ListParagraphChar">
    <w:name w:val="List Paragraph Char"/>
    <w:aliases w:val="List Paragraph11 Char,1 heading Char,Bullet point Char,Dot point 1.5 line spacing Char,L Char,List Paragraph - bullets Char,List Paragraph1 Char,NFP GP Bulleted List Char,Recommendation Char,bullet point list Char"/>
    <w:basedOn w:val="DefaultParagraphFont"/>
    <w:link w:val="ListParagraph"/>
    <w:uiPriority w:val="34"/>
    <w:rsid w:val="00A60B2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3656">
      <w:bodyDiv w:val="1"/>
      <w:marLeft w:val="0"/>
      <w:marRight w:val="0"/>
      <w:marTop w:val="0"/>
      <w:marBottom w:val="0"/>
      <w:divBdr>
        <w:top w:val="none" w:sz="0" w:space="0" w:color="auto"/>
        <w:left w:val="none" w:sz="0" w:space="0" w:color="auto"/>
        <w:bottom w:val="none" w:sz="0" w:space="0" w:color="auto"/>
        <w:right w:val="none" w:sz="0" w:space="0" w:color="auto"/>
      </w:divBdr>
      <w:divsChild>
        <w:div w:id="2004771100">
          <w:marLeft w:val="0"/>
          <w:marRight w:val="0"/>
          <w:marTop w:val="120"/>
          <w:marBottom w:val="240"/>
          <w:divBdr>
            <w:top w:val="none" w:sz="0" w:space="0" w:color="auto"/>
            <w:left w:val="none" w:sz="0" w:space="0" w:color="auto"/>
            <w:bottom w:val="none" w:sz="0" w:space="0" w:color="auto"/>
            <w:right w:val="none" w:sz="0" w:space="0" w:color="auto"/>
          </w:divBdr>
        </w:div>
      </w:divsChild>
    </w:div>
    <w:div w:id="264116137">
      <w:bodyDiv w:val="1"/>
      <w:marLeft w:val="0"/>
      <w:marRight w:val="0"/>
      <w:marTop w:val="0"/>
      <w:marBottom w:val="0"/>
      <w:divBdr>
        <w:top w:val="none" w:sz="0" w:space="0" w:color="auto"/>
        <w:left w:val="none" w:sz="0" w:space="0" w:color="auto"/>
        <w:bottom w:val="none" w:sz="0" w:space="0" w:color="auto"/>
        <w:right w:val="none" w:sz="0" w:space="0" w:color="auto"/>
      </w:divBdr>
      <w:divsChild>
        <w:div w:id="385689734">
          <w:marLeft w:val="288"/>
          <w:marRight w:val="0"/>
          <w:marTop w:val="120"/>
          <w:marBottom w:val="240"/>
          <w:divBdr>
            <w:top w:val="none" w:sz="0" w:space="0" w:color="auto"/>
            <w:left w:val="none" w:sz="0" w:space="0" w:color="auto"/>
            <w:bottom w:val="none" w:sz="0" w:space="0" w:color="auto"/>
            <w:right w:val="none" w:sz="0" w:space="0" w:color="auto"/>
          </w:divBdr>
        </w:div>
        <w:div w:id="1198784756">
          <w:marLeft w:val="288"/>
          <w:marRight w:val="0"/>
          <w:marTop w:val="120"/>
          <w:marBottom w:val="240"/>
          <w:divBdr>
            <w:top w:val="none" w:sz="0" w:space="0" w:color="auto"/>
            <w:left w:val="none" w:sz="0" w:space="0" w:color="auto"/>
            <w:bottom w:val="none" w:sz="0" w:space="0" w:color="auto"/>
            <w:right w:val="none" w:sz="0" w:space="0" w:color="auto"/>
          </w:divBdr>
        </w:div>
      </w:divsChild>
    </w:div>
    <w:div w:id="311564656">
      <w:bodyDiv w:val="1"/>
      <w:marLeft w:val="0"/>
      <w:marRight w:val="0"/>
      <w:marTop w:val="0"/>
      <w:marBottom w:val="0"/>
      <w:divBdr>
        <w:top w:val="none" w:sz="0" w:space="0" w:color="auto"/>
        <w:left w:val="none" w:sz="0" w:space="0" w:color="auto"/>
        <w:bottom w:val="none" w:sz="0" w:space="0" w:color="auto"/>
        <w:right w:val="none" w:sz="0" w:space="0" w:color="auto"/>
      </w:divBdr>
      <w:divsChild>
        <w:div w:id="545722853">
          <w:marLeft w:val="0"/>
          <w:marRight w:val="0"/>
          <w:marTop w:val="120"/>
          <w:marBottom w:val="120"/>
          <w:divBdr>
            <w:top w:val="none" w:sz="0" w:space="0" w:color="auto"/>
            <w:left w:val="none" w:sz="0" w:space="0" w:color="auto"/>
            <w:bottom w:val="none" w:sz="0" w:space="0" w:color="auto"/>
            <w:right w:val="none" w:sz="0" w:space="0" w:color="auto"/>
          </w:divBdr>
        </w:div>
      </w:divsChild>
    </w:div>
    <w:div w:id="322633745">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sChild>
        <w:div w:id="1578512522">
          <w:marLeft w:val="0"/>
          <w:marRight w:val="0"/>
          <w:marTop w:val="120"/>
          <w:marBottom w:val="120"/>
          <w:divBdr>
            <w:top w:val="none" w:sz="0" w:space="0" w:color="auto"/>
            <w:left w:val="none" w:sz="0" w:space="0" w:color="auto"/>
            <w:bottom w:val="none" w:sz="0" w:space="0" w:color="auto"/>
            <w:right w:val="none" w:sz="0" w:space="0" w:color="auto"/>
          </w:divBdr>
        </w:div>
        <w:div w:id="174534763">
          <w:marLeft w:val="0"/>
          <w:marRight w:val="0"/>
          <w:marTop w:val="120"/>
          <w:marBottom w:val="120"/>
          <w:divBdr>
            <w:top w:val="none" w:sz="0" w:space="0" w:color="auto"/>
            <w:left w:val="none" w:sz="0" w:space="0" w:color="auto"/>
            <w:bottom w:val="none" w:sz="0" w:space="0" w:color="auto"/>
            <w:right w:val="none" w:sz="0" w:space="0" w:color="auto"/>
          </w:divBdr>
        </w:div>
      </w:divsChild>
    </w:div>
    <w:div w:id="467282006">
      <w:bodyDiv w:val="1"/>
      <w:marLeft w:val="0"/>
      <w:marRight w:val="0"/>
      <w:marTop w:val="0"/>
      <w:marBottom w:val="0"/>
      <w:divBdr>
        <w:top w:val="none" w:sz="0" w:space="0" w:color="auto"/>
        <w:left w:val="none" w:sz="0" w:space="0" w:color="auto"/>
        <w:bottom w:val="none" w:sz="0" w:space="0" w:color="auto"/>
        <w:right w:val="none" w:sz="0" w:space="0" w:color="auto"/>
      </w:divBdr>
      <w:divsChild>
        <w:div w:id="1783265089">
          <w:marLeft w:val="0"/>
          <w:marRight w:val="0"/>
          <w:marTop w:val="0"/>
          <w:marBottom w:val="120"/>
          <w:divBdr>
            <w:top w:val="none" w:sz="0" w:space="0" w:color="auto"/>
            <w:left w:val="none" w:sz="0" w:space="0" w:color="auto"/>
            <w:bottom w:val="none" w:sz="0" w:space="0" w:color="auto"/>
            <w:right w:val="none" w:sz="0" w:space="0" w:color="auto"/>
          </w:divBdr>
        </w:div>
        <w:div w:id="349651783">
          <w:marLeft w:val="446"/>
          <w:marRight w:val="0"/>
          <w:marTop w:val="0"/>
          <w:marBottom w:val="120"/>
          <w:divBdr>
            <w:top w:val="none" w:sz="0" w:space="0" w:color="auto"/>
            <w:left w:val="none" w:sz="0" w:space="0" w:color="auto"/>
            <w:bottom w:val="none" w:sz="0" w:space="0" w:color="auto"/>
            <w:right w:val="none" w:sz="0" w:space="0" w:color="auto"/>
          </w:divBdr>
        </w:div>
        <w:div w:id="455028969">
          <w:marLeft w:val="446"/>
          <w:marRight w:val="0"/>
          <w:marTop w:val="0"/>
          <w:marBottom w:val="120"/>
          <w:divBdr>
            <w:top w:val="none" w:sz="0" w:space="0" w:color="auto"/>
            <w:left w:val="none" w:sz="0" w:space="0" w:color="auto"/>
            <w:bottom w:val="none" w:sz="0" w:space="0" w:color="auto"/>
            <w:right w:val="none" w:sz="0" w:space="0" w:color="auto"/>
          </w:divBdr>
        </w:div>
        <w:div w:id="1723282643">
          <w:marLeft w:val="446"/>
          <w:marRight w:val="0"/>
          <w:marTop w:val="0"/>
          <w:marBottom w:val="120"/>
          <w:divBdr>
            <w:top w:val="none" w:sz="0" w:space="0" w:color="auto"/>
            <w:left w:val="none" w:sz="0" w:space="0" w:color="auto"/>
            <w:bottom w:val="none" w:sz="0" w:space="0" w:color="auto"/>
            <w:right w:val="none" w:sz="0" w:space="0" w:color="auto"/>
          </w:divBdr>
        </w:div>
      </w:divsChild>
    </w:div>
    <w:div w:id="1110513585">
      <w:bodyDiv w:val="1"/>
      <w:marLeft w:val="0"/>
      <w:marRight w:val="0"/>
      <w:marTop w:val="0"/>
      <w:marBottom w:val="0"/>
      <w:divBdr>
        <w:top w:val="none" w:sz="0" w:space="0" w:color="auto"/>
        <w:left w:val="none" w:sz="0" w:space="0" w:color="auto"/>
        <w:bottom w:val="none" w:sz="0" w:space="0" w:color="auto"/>
        <w:right w:val="none" w:sz="0" w:space="0" w:color="auto"/>
      </w:divBdr>
      <w:divsChild>
        <w:div w:id="890190043">
          <w:marLeft w:val="0"/>
          <w:marRight w:val="0"/>
          <w:marTop w:val="120"/>
          <w:marBottom w:val="120"/>
          <w:divBdr>
            <w:top w:val="none" w:sz="0" w:space="0" w:color="auto"/>
            <w:left w:val="none" w:sz="0" w:space="0" w:color="auto"/>
            <w:bottom w:val="none" w:sz="0" w:space="0" w:color="auto"/>
            <w:right w:val="none" w:sz="0" w:space="0" w:color="auto"/>
          </w:divBdr>
        </w:div>
      </w:divsChild>
    </w:div>
    <w:div w:id="1669013750">
      <w:bodyDiv w:val="1"/>
      <w:marLeft w:val="0"/>
      <w:marRight w:val="0"/>
      <w:marTop w:val="0"/>
      <w:marBottom w:val="0"/>
      <w:divBdr>
        <w:top w:val="none" w:sz="0" w:space="0" w:color="auto"/>
        <w:left w:val="none" w:sz="0" w:space="0" w:color="auto"/>
        <w:bottom w:val="none" w:sz="0" w:space="0" w:color="auto"/>
        <w:right w:val="none" w:sz="0" w:space="0" w:color="auto"/>
      </w:divBdr>
      <w:divsChild>
        <w:div w:id="230845702">
          <w:marLeft w:val="274"/>
          <w:marRight w:val="0"/>
          <w:marTop w:val="0"/>
          <w:marBottom w:val="120"/>
          <w:divBdr>
            <w:top w:val="none" w:sz="0" w:space="0" w:color="auto"/>
            <w:left w:val="none" w:sz="0" w:space="0" w:color="auto"/>
            <w:bottom w:val="none" w:sz="0" w:space="0" w:color="auto"/>
            <w:right w:val="none" w:sz="0" w:space="0" w:color="auto"/>
          </w:divBdr>
        </w:div>
        <w:div w:id="893933678">
          <w:marLeft w:val="274"/>
          <w:marRight w:val="0"/>
          <w:marTop w:val="0"/>
          <w:marBottom w:val="120"/>
          <w:divBdr>
            <w:top w:val="none" w:sz="0" w:space="0" w:color="auto"/>
            <w:left w:val="none" w:sz="0" w:space="0" w:color="auto"/>
            <w:bottom w:val="none" w:sz="0" w:space="0" w:color="auto"/>
            <w:right w:val="none" w:sz="0" w:space="0" w:color="auto"/>
          </w:divBdr>
        </w:div>
        <w:div w:id="92482267">
          <w:marLeft w:val="274"/>
          <w:marRight w:val="0"/>
          <w:marTop w:val="0"/>
          <w:marBottom w:val="120"/>
          <w:divBdr>
            <w:top w:val="none" w:sz="0" w:space="0" w:color="auto"/>
            <w:left w:val="none" w:sz="0" w:space="0" w:color="auto"/>
            <w:bottom w:val="none" w:sz="0" w:space="0" w:color="auto"/>
            <w:right w:val="none" w:sz="0" w:space="0" w:color="auto"/>
          </w:divBdr>
        </w:div>
        <w:div w:id="800801693">
          <w:marLeft w:val="274"/>
          <w:marRight w:val="0"/>
          <w:marTop w:val="0"/>
          <w:marBottom w:val="120"/>
          <w:divBdr>
            <w:top w:val="none" w:sz="0" w:space="0" w:color="auto"/>
            <w:left w:val="none" w:sz="0" w:space="0" w:color="auto"/>
            <w:bottom w:val="none" w:sz="0" w:space="0" w:color="auto"/>
            <w:right w:val="none" w:sz="0" w:space="0" w:color="auto"/>
          </w:divBdr>
        </w:div>
        <w:div w:id="666396395">
          <w:marLeft w:val="274"/>
          <w:marRight w:val="0"/>
          <w:marTop w:val="0"/>
          <w:marBottom w:val="120"/>
          <w:divBdr>
            <w:top w:val="none" w:sz="0" w:space="0" w:color="auto"/>
            <w:left w:val="none" w:sz="0" w:space="0" w:color="auto"/>
            <w:bottom w:val="none" w:sz="0" w:space="0" w:color="auto"/>
            <w:right w:val="none" w:sz="0" w:space="0" w:color="auto"/>
          </w:divBdr>
        </w:div>
        <w:div w:id="1375544272">
          <w:marLeft w:val="274"/>
          <w:marRight w:val="0"/>
          <w:marTop w:val="0"/>
          <w:marBottom w:val="120"/>
          <w:divBdr>
            <w:top w:val="none" w:sz="0" w:space="0" w:color="auto"/>
            <w:left w:val="none" w:sz="0" w:space="0" w:color="auto"/>
            <w:bottom w:val="none" w:sz="0" w:space="0" w:color="auto"/>
            <w:right w:val="none" w:sz="0" w:space="0" w:color="auto"/>
          </w:divBdr>
        </w:div>
        <w:div w:id="1440023049">
          <w:marLeft w:val="274"/>
          <w:marRight w:val="0"/>
          <w:marTop w:val="0"/>
          <w:marBottom w:val="120"/>
          <w:divBdr>
            <w:top w:val="none" w:sz="0" w:space="0" w:color="auto"/>
            <w:left w:val="none" w:sz="0" w:space="0" w:color="auto"/>
            <w:bottom w:val="none" w:sz="0" w:space="0" w:color="auto"/>
            <w:right w:val="none" w:sz="0" w:space="0" w:color="auto"/>
          </w:divBdr>
        </w:div>
        <w:div w:id="439449985">
          <w:marLeft w:val="274"/>
          <w:marRight w:val="0"/>
          <w:marTop w:val="0"/>
          <w:marBottom w:val="120"/>
          <w:divBdr>
            <w:top w:val="none" w:sz="0" w:space="0" w:color="auto"/>
            <w:left w:val="none" w:sz="0" w:space="0" w:color="auto"/>
            <w:bottom w:val="none" w:sz="0" w:space="0" w:color="auto"/>
            <w:right w:val="none" w:sz="0" w:space="0" w:color="auto"/>
          </w:divBdr>
        </w:div>
      </w:divsChild>
    </w:div>
    <w:div w:id="2089228757">
      <w:bodyDiv w:val="1"/>
      <w:marLeft w:val="0"/>
      <w:marRight w:val="0"/>
      <w:marTop w:val="0"/>
      <w:marBottom w:val="0"/>
      <w:divBdr>
        <w:top w:val="none" w:sz="0" w:space="0" w:color="auto"/>
        <w:left w:val="none" w:sz="0" w:space="0" w:color="auto"/>
        <w:bottom w:val="none" w:sz="0" w:space="0" w:color="auto"/>
        <w:right w:val="none" w:sz="0" w:space="0" w:color="auto"/>
      </w:divBdr>
      <w:divsChild>
        <w:div w:id="1308515291">
          <w:marLeft w:val="0"/>
          <w:marRight w:val="0"/>
          <w:marTop w:val="120"/>
          <w:marBottom w:val="240"/>
          <w:divBdr>
            <w:top w:val="none" w:sz="0" w:space="0" w:color="auto"/>
            <w:left w:val="none" w:sz="0" w:space="0" w:color="auto"/>
            <w:bottom w:val="none" w:sz="0" w:space="0" w:color="auto"/>
            <w:right w:val="none" w:sz="0" w:space="0" w:color="auto"/>
          </w:divBdr>
        </w:div>
        <w:div w:id="1874344453">
          <w:marLeft w:val="0"/>
          <w:marRight w:val="0"/>
          <w:marTop w:val="120"/>
          <w:marBottom w:val="120"/>
          <w:divBdr>
            <w:top w:val="none" w:sz="0" w:space="0" w:color="auto"/>
            <w:left w:val="none" w:sz="0" w:space="0" w:color="auto"/>
            <w:bottom w:val="none" w:sz="0" w:space="0" w:color="auto"/>
            <w:right w:val="none" w:sz="0" w:space="0" w:color="auto"/>
          </w:divBdr>
        </w:div>
      </w:divsChild>
    </w:div>
    <w:div w:id="2102987562">
      <w:bodyDiv w:val="1"/>
      <w:marLeft w:val="0"/>
      <w:marRight w:val="0"/>
      <w:marTop w:val="0"/>
      <w:marBottom w:val="0"/>
      <w:divBdr>
        <w:top w:val="none" w:sz="0" w:space="0" w:color="auto"/>
        <w:left w:val="none" w:sz="0" w:space="0" w:color="auto"/>
        <w:bottom w:val="none" w:sz="0" w:space="0" w:color="auto"/>
        <w:right w:val="none" w:sz="0" w:space="0" w:color="auto"/>
      </w:divBdr>
      <w:divsChild>
        <w:div w:id="1968007115">
          <w:marLeft w:val="0"/>
          <w:marRight w:val="0"/>
          <w:marTop w:val="120"/>
          <w:marBottom w:val="240"/>
          <w:divBdr>
            <w:top w:val="none" w:sz="0" w:space="0" w:color="auto"/>
            <w:left w:val="none" w:sz="0" w:space="0" w:color="auto"/>
            <w:bottom w:val="none" w:sz="0" w:space="0" w:color="auto"/>
            <w:right w:val="none" w:sz="0" w:space="0" w:color="auto"/>
          </w:divBdr>
        </w:div>
        <w:div w:id="1467435330">
          <w:marLeft w:val="0"/>
          <w:marRight w:val="0"/>
          <w:marTop w:val="12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cer.govspace.gov.au/workstreams/energy-market-reform/review-of-governance-arrangement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scer.govspace.gov.au/workstreams/energy-market-reform/national-energy-productivity-plan/" TargetMode="External"/><Relationship Id="rId10" Type="http://schemas.openxmlformats.org/officeDocument/2006/relationships/hyperlink" Target="https://scer.govspace.gov.au/workstreams/energy-market-reform/gas-market-development/coag-energy-council-gas-supply-strategy/"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s://scer.govspace.gov.au/workstreams/energy-market-reform/gas-market-development/coag-energy-council-gas-supply-strategy/" TargetMode="External"/><Relationship Id="rId14" Type="http://schemas.openxmlformats.org/officeDocument/2006/relationships/hyperlink" Target="https://scer.govspace.gov.au/workstreams/land-access/coal-seam-ga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D1721-9A46-46FB-84D9-AB91C278F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1902</Words>
  <Characters>11936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Swell Design Group</Company>
  <LinksUpToDate>false</LinksUpToDate>
  <CharactersWithSpaces>13811</CharactersWithSpaces>
  <SharedDoc>false</SharedDoc>
  <HLinks>
    <vt:vector size="18" baseType="variant">
      <vt:variant>
        <vt:i4>524298</vt:i4>
      </vt:variant>
      <vt:variant>
        <vt:i4>-1</vt:i4>
      </vt:variant>
      <vt:variant>
        <vt:i4>1028</vt:i4>
      </vt:variant>
      <vt:variant>
        <vt:i4>1</vt:i4>
      </vt:variant>
      <vt:variant>
        <vt:lpwstr>Communique_P2</vt:lpwstr>
      </vt:variant>
      <vt:variant>
        <vt:lpwstr/>
      </vt:variant>
      <vt:variant>
        <vt:i4>3801160</vt:i4>
      </vt:variant>
      <vt:variant>
        <vt:i4>-1</vt:i4>
      </vt:variant>
      <vt:variant>
        <vt:i4>1033</vt:i4>
      </vt:variant>
      <vt:variant>
        <vt:i4>1</vt:i4>
      </vt:variant>
      <vt:variant>
        <vt:lpwstr>Communique_pp2</vt:lpwstr>
      </vt:variant>
      <vt:variant>
        <vt:lpwstr/>
      </vt:variant>
      <vt:variant>
        <vt:i4>3735624</vt:i4>
      </vt:variant>
      <vt:variant>
        <vt:i4>-1</vt:i4>
      </vt:variant>
      <vt:variant>
        <vt:i4>1034</vt:i4>
      </vt:variant>
      <vt:variant>
        <vt:i4>1</vt:i4>
      </vt:variant>
      <vt:variant>
        <vt:lpwstr>Communique_pp1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Swell</dc:creator>
  <cp:lastModifiedBy>Chu, Anna</cp:lastModifiedBy>
  <cp:revision>9</cp:revision>
  <cp:lastPrinted>2015-12-04T03:25:00Z</cp:lastPrinted>
  <dcterms:created xsi:type="dcterms:W3CDTF">2015-12-04T02:58:00Z</dcterms:created>
  <dcterms:modified xsi:type="dcterms:W3CDTF">2015-12-04T03:40:00Z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