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pPr w:leftFromText="180" w:rightFromText="180" w:vertAnchor="page" w:horzAnchor="margin" w:tblpY="1966"/>
        <w:tblW w:w="98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198"/>
        <w:gridCol w:w="4"/>
      </w:tblGrid>
      <w:tr w:rsidR="00F42A8D" w:rsidRPr="00046E00" w14:paraId="4B97CF2C" w14:textId="77777777" w:rsidTr="003A3F0C">
        <w:trPr>
          <w:trHeight w:val="1134"/>
        </w:trPr>
        <w:tc>
          <w:tcPr>
            <w:tcW w:w="5387" w:type="dxa"/>
          </w:tcPr>
          <w:tbl>
            <w:tblPr>
              <w:tblStyle w:val="TableGrid"/>
              <w:tblW w:w="14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926"/>
              <w:gridCol w:w="4926"/>
              <w:gridCol w:w="4926"/>
            </w:tblGrid>
            <w:tr w:rsidR="00920191" w:rsidRPr="00046E00" w14:paraId="5D54BE87" w14:textId="77777777" w:rsidTr="001A4F03">
              <w:tc>
                <w:tcPr>
                  <w:tcW w:w="4926" w:type="dxa"/>
                </w:tcPr>
                <w:p w14:paraId="6EA12901" w14:textId="297F30DA" w:rsidR="00046E00" w:rsidRPr="00046E00" w:rsidRDefault="00046E00" w:rsidP="007C1F71">
                  <w:pPr>
                    <w:pStyle w:val="Default"/>
                    <w:framePr w:hSpace="180" w:wrap="around" w:vAnchor="page" w:hAnchor="margin" w:y="1966"/>
                    <w:spacing w:before="120" w:line="340" w:lineRule="exact"/>
                    <w:rPr>
                      <w:color w:val="auto"/>
                      <w:sz w:val="22"/>
                      <w:szCs w:val="22"/>
                      <w:lang w:eastAsia="fr-FR"/>
                    </w:rPr>
                  </w:pPr>
                  <w:bookmarkStart w:id="0" w:name="_Hlk53148231"/>
                  <w:r w:rsidRPr="00046E00">
                    <w:rPr>
                      <w:color w:val="auto"/>
                      <w:sz w:val="22"/>
                      <w:szCs w:val="22"/>
                      <w:lang w:eastAsia="fr-FR"/>
                    </w:rPr>
                    <w:t>Dr Kerry Schott</w:t>
                  </w:r>
                  <w:r>
                    <w:rPr>
                      <w:color w:val="auto"/>
                      <w:sz w:val="22"/>
                      <w:szCs w:val="22"/>
                      <w:lang w:eastAsia="fr-FR"/>
                    </w:rPr>
                    <w:br/>
                  </w:r>
                  <w:r w:rsidRPr="00046E00">
                    <w:rPr>
                      <w:color w:val="auto"/>
                      <w:sz w:val="22"/>
                      <w:szCs w:val="22"/>
                      <w:lang w:eastAsia="fr-FR"/>
                    </w:rPr>
                    <w:t>Chair</w:t>
                  </w:r>
                  <w:r w:rsidR="00FE6536">
                    <w:rPr>
                      <w:color w:val="auto"/>
                      <w:sz w:val="22"/>
                      <w:szCs w:val="22"/>
                      <w:lang w:eastAsia="fr-FR"/>
                    </w:rPr>
                    <w:t xml:space="preserve">, </w:t>
                  </w:r>
                  <w:r w:rsidRPr="00046E00">
                    <w:rPr>
                      <w:color w:val="auto"/>
                      <w:sz w:val="22"/>
                      <w:szCs w:val="22"/>
                      <w:lang w:eastAsia="fr-FR"/>
                    </w:rPr>
                    <w:t>Energy Security Board</w:t>
                  </w:r>
                </w:p>
                <w:bookmarkEnd w:id="0"/>
                <w:p w14:paraId="061E5A13" w14:textId="77777777" w:rsidR="006B40E5" w:rsidRPr="00046E00" w:rsidRDefault="006B40E5" w:rsidP="007C1F71">
                  <w:pPr>
                    <w:pStyle w:val="Default"/>
                    <w:framePr w:hSpace="180" w:wrap="around" w:vAnchor="page" w:hAnchor="margin" w:y="1966"/>
                    <w:spacing w:line="340" w:lineRule="exact"/>
                    <w:rPr>
                      <w:sz w:val="22"/>
                      <w:szCs w:val="22"/>
                      <w:lang w:eastAsia="fr-FR"/>
                    </w:rPr>
                  </w:pPr>
                </w:p>
                <w:p w14:paraId="5BB4F527" w14:textId="37D72108" w:rsidR="00920191" w:rsidRPr="00046E00" w:rsidRDefault="00046E00" w:rsidP="007C1F71">
                  <w:pPr>
                    <w:pStyle w:val="Default"/>
                    <w:framePr w:hSpace="180" w:wrap="around" w:vAnchor="page" w:hAnchor="margin" w:y="1966"/>
                    <w:spacing w:line="340" w:lineRule="exact"/>
                    <w:rPr>
                      <w:color w:val="auto"/>
                      <w:sz w:val="22"/>
                      <w:szCs w:val="22"/>
                      <w:lang w:eastAsia="fr-FR"/>
                    </w:rPr>
                  </w:pPr>
                  <w:r w:rsidRPr="00046E00">
                    <w:rPr>
                      <w:color w:val="auto"/>
                      <w:sz w:val="22"/>
                      <w:szCs w:val="22"/>
                      <w:lang w:eastAsia="fr-FR"/>
                    </w:rPr>
                    <w:t>By email:</w:t>
                  </w:r>
                  <w:hyperlink r:id="rId8" w:history="1">
                    <w:r w:rsidRPr="00046E00">
                      <w:rPr>
                        <w:rStyle w:val="Hyperlink"/>
                        <w:sz w:val="22"/>
                        <w:szCs w:val="22"/>
                      </w:rPr>
                      <w:t xml:space="preserve"> info@esb.org.au</w:t>
                    </w:r>
                  </w:hyperlink>
                </w:p>
              </w:tc>
              <w:tc>
                <w:tcPr>
                  <w:tcW w:w="4926" w:type="dxa"/>
                </w:tcPr>
                <w:p w14:paraId="482DC045" w14:textId="77777777" w:rsidR="00920191" w:rsidRPr="00046E00" w:rsidRDefault="00920191" w:rsidP="007C1F71">
                  <w:pPr>
                    <w:pStyle w:val="AddressBlock"/>
                    <w:framePr w:hSpace="180" w:wrap="around" w:vAnchor="page" w:hAnchor="margin" w:y="1966"/>
                    <w:spacing w:before="120" w:after="120" w:line="340" w:lineRule="exact"/>
                    <w:rPr>
                      <w:rFonts w:ascii="Calibri" w:hAnsi="Calibri" w:cs="Calibri"/>
                      <w:sz w:val="22"/>
                      <w:szCs w:val="22"/>
                    </w:rPr>
                  </w:pPr>
                </w:p>
                <w:p w14:paraId="1E35EE83" w14:textId="77777777" w:rsidR="00920191" w:rsidRPr="00046E00" w:rsidRDefault="00920191" w:rsidP="007C1F71">
                  <w:pPr>
                    <w:pStyle w:val="AddressBlock"/>
                    <w:framePr w:hSpace="180" w:wrap="around" w:vAnchor="page" w:hAnchor="margin" w:y="1966"/>
                    <w:spacing w:before="120" w:after="120" w:line="340" w:lineRule="exact"/>
                    <w:rPr>
                      <w:rFonts w:ascii="Calibri" w:hAnsi="Calibri" w:cs="Calibri"/>
                      <w:sz w:val="22"/>
                      <w:szCs w:val="22"/>
                    </w:rPr>
                  </w:pPr>
                </w:p>
              </w:tc>
              <w:tc>
                <w:tcPr>
                  <w:tcW w:w="4926" w:type="dxa"/>
                </w:tcPr>
                <w:p w14:paraId="160BCA18" w14:textId="77777777" w:rsidR="00920191" w:rsidRPr="00046E00" w:rsidRDefault="00920191" w:rsidP="007C1F71">
                  <w:pPr>
                    <w:pStyle w:val="AddressBlock"/>
                    <w:framePr w:hSpace="180" w:wrap="around" w:vAnchor="page" w:hAnchor="margin" w:y="1966"/>
                    <w:spacing w:before="120" w:after="120" w:line="340" w:lineRule="exact"/>
                    <w:rPr>
                      <w:rFonts w:ascii="Calibri" w:hAnsi="Calibri" w:cs="Calibri"/>
                      <w:sz w:val="22"/>
                      <w:szCs w:val="22"/>
                    </w:rPr>
                  </w:pPr>
                </w:p>
              </w:tc>
            </w:tr>
          </w:tbl>
          <w:p w14:paraId="148EE0FF" w14:textId="2378D17D" w:rsidR="00C86D87" w:rsidRPr="00046E00" w:rsidRDefault="00C86D87" w:rsidP="007C1F71">
            <w:pPr>
              <w:pStyle w:val="AddressBlock"/>
              <w:spacing w:after="120" w:line="340" w:lineRule="exact"/>
              <w:rPr>
                <w:rFonts w:ascii="Calibri" w:hAnsi="Calibri" w:cs="Calibri"/>
                <w:sz w:val="22"/>
                <w:szCs w:val="22"/>
              </w:rPr>
            </w:pPr>
          </w:p>
        </w:tc>
        <w:tc>
          <w:tcPr>
            <w:tcW w:w="4465" w:type="dxa"/>
          </w:tcPr>
          <w:p w14:paraId="485A4F0F" w14:textId="77777777" w:rsidR="00F42A8D" w:rsidRPr="00046E00" w:rsidRDefault="00F42A8D" w:rsidP="007C1F71">
            <w:pPr>
              <w:pStyle w:val="AddressBlock"/>
              <w:spacing w:after="120" w:line="340" w:lineRule="exact"/>
              <w:rPr>
                <w:rFonts w:ascii="Calibri" w:hAnsi="Calibri" w:cs="Calibri"/>
                <w:sz w:val="22"/>
                <w:szCs w:val="22"/>
              </w:rPr>
            </w:pPr>
          </w:p>
        </w:tc>
      </w:tr>
    </w:tbl>
    <w:p w14:paraId="62472D7A" w14:textId="04319E07" w:rsidR="005574F5" w:rsidRPr="00046E00" w:rsidRDefault="005574F5" w:rsidP="007C1F71">
      <w:pPr>
        <w:pStyle w:val="SpaceLarge"/>
        <w:spacing w:before="0" w:after="120" w:line="340" w:lineRule="exact"/>
        <w:rPr>
          <w:rFonts w:ascii="Calibri" w:hAnsi="Calibri" w:cs="Calibri"/>
          <w:sz w:val="22"/>
          <w:szCs w:val="22"/>
        </w:rPr>
        <w:sectPr w:rsidR="005574F5" w:rsidRPr="00046E00" w:rsidSect="00E02433">
          <w:headerReference w:type="default" r:id="rId9"/>
          <w:footerReference w:type="default" r:id="rId10"/>
          <w:headerReference w:type="first" r:id="rId11"/>
          <w:footerReference w:type="first" r:id="rId12"/>
          <w:type w:val="continuous"/>
          <w:pgSz w:w="11904" w:h="16838" w:code="9"/>
          <w:pgMar w:top="3119" w:right="851" w:bottom="3261" w:left="851" w:header="567" w:footer="850" w:gutter="0"/>
          <w:cols w:space="709"/>
          <w:formProt w:val="0"/>
          <w:titlePg/>
          <w:docGrid w:linePitch="326"/>
        </w:sectPr>
      </w:pPr>
    </w:p>
    <w:p w14:paraId="29283337" w14:textId="77777777" w:rsidR="00FE6536" w:rsidRDefault="00046E00" w:rsidP="007C1F71">
      <w:pPr>
        <w:pStyle w:val="SpaceLarge"/>
        <w:spacing w:before="120" w:after="120" w:line="340" w:lineRule="exact"/>
        <w:rPr>
          <w:rFonts w:ascii="Calibri" w:hAnsi="Calibri" w:cs="Calibri"/>
          <w:sz w:val="22"/>
          <w:szCs w:val="22"/>
        </w:rPr>
      </w:pPr>
      <w:r>
        <w:rPr>
          <w:rFonts w:ascii="Calibri" w:hAnsi="Calibri" w:cs="Calibri"/>
          <w:sz w:val="22"/>
          <w:szCs w:val="22"/>
        </w:rPr>
        <w:t>12 February 2020</w:t>
      </w:r>
    </w:p>
    <w:p w14:paraId="1DD89714" w14:textId="77777777" w:rsidR="00FE6536" w:rsidRDefault="00FE6536" w:rsidP="007C1F71">
      <w:pPr>
        <w:pStyle w:val="SpaceLarge"/>
        <w:spacing w:before="120" w:after="120" w:line="340" w:lineRule="exact"/>
        <w:rPr>
          <w:rFonts w:ascii="Calibri" w:hAnsi="Calibri" w:cs="Calibri"/>
          <w:sz w:val="22"/>
          <w:szCs w:val="22"/>
        </w:rPr>
      </w:pPr>
    </w:p>
    <w:p w14:paraId="358BE06D" w14:textId="06419AB4" w:rsidR="00046E00" w:rsidRPr="00046E00" w:rsidRDefault="00046E00" w:rsidP="007C1F71">
      <w:pPr>
        <w:pStyle w:val="SpaceLarge"/>
        <w:spacing w:before="120" w:after="120" w:line="340" w:lineRule="exact"/>
        <w:rPr>
          <w:rFonts w:ascii="Calibri" w:hAnsi="Calibri" w:cs="Calibri"/>
          <w:sz w:val="22"/>
          <w:szCs w:val="22"/>
        </w:rPr>
      </w:pPr>
      <w:r w:rsidRPr="00046E00">
        <w:rPr>
          <w:rFonts w:ascii="Calibri" w:hAnsi="Calibri" w:cs="Calibri"/>
          <w:sz w:val="22"/>
          <w:szCs w:val="22"/>
        </w:rPr>
        <w:t>Dear Dr Schott,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8526"/>
      </w:tblGrid>
      <w:tr w:rsidR="00046E00" w:rsidRPr="00046E00" w14:paraId="35891407" w14:textId="77777777" w:rsidTr="00C27F2A">
        <w:trPr>
          <w:trHeight w:val="490"/>
        </w:trPr>
        <w:tc>
          <w:tcPr>
            <w:tcW w:w="8526" w:type="dxa"/>
          </w:tcPr>
          <w:p w14:paraId="522D7908" w14:textId="77777777" w:rsidR="00046E00" w:rsidRPr="00046E00" w:rsidRDefault="00046E00" w:rsidP="007C1F71">
            <w:pPr>
              <w:pStyle w:val="Default"/>
              <w:spacing w:before="120" w:line="340" w:lineRule="exact"/>
              <w:rPr>
                <w:b/>
                <w:bCs/>
                <w:color w:val="auto"/>
                <w:sz w:val="22"/>
                <w:szCs w:val="22"/>
              </w:rPr>
            </w:pPr>
            <w:r w:rsidRPr="00046E00">
              <w:rPr>
                <w:b/>
                <w:bCs/>
                <w:color w:val="auto"/>
                <w:sz w:val="22"/>
                <w:szCs w:val="22"/>
              </w:rPr>
              <w:t>Consultation Paper on interim REZ framework </w:t>
            </w:r>
          </w:p>
        </w:tc>
      </w:tr>
    </w:tbl>
    <w:p w14:paraId="66D22E80" w14:textId="1A83E2BB" w:rsidR="00046E00" w:rsidRPr="00046E00" w:rsidRDefault="00046E00" w:rsidP="007C1F71">
      <w:pPr>
        <w:pStyle w:val="SpaceRegular"/>
        <w:spacing w:before="120" w:line="340" w:lineRule="exact"/>
        <w:rPr>
          <w:rFonts w:ascii="Calibri" w:hAnsi="Calibri" w:cs="Calibri"/>
          <w:sz w:val="22"/>
          <w:szCs w:val="22"/>
          <w:lang w:eastAsia="en-US"/>
        </w:rPr>
      </w:pPr>
      <w:r w:rsidRPr="00046E00">
        <w:rPr>
          <w:rFonts w:ascii="Calibri" w:hAnsi="Calibri" w:cs="Calibri"/>
          <w:sz w:val="22"/>
          <w:szCs w:val="22"/>
          <w:lang w:eastAsia="en-US"/>
        </w:rPr>
        <w:t xml:space="preserve">ENGIE Australia &amp; New Zealand (ENGIE) appreciates the opportunity to respond to the Energy Security Board (“the Board”) in response to the Consultation Paper on interim </w:t>
      </w:r>
      <w:r w:rsidR="00FE6536">
        <w:rPr>
          <w:rFonts w:ascii="Calibri" w:hAnsi="Calibri" w:cs="Calibri"/>
          <w:sz w:val="22"/>
          <w:szCs w:val="22"/>
          <w:lang w:eastAsia="en-US"/>
        </w:rPr>
        <w:t>Renewable Energy Zone (REZ)</w:t>
      </w:r>
      <w:r w:rsidRPr="00046E00">
        <w:rPr>
          <w:rFonts w:ascii="Calibri" w:hAnsi="Calibri" w:cs="Calibri"/>
          <w:sz w:val="22"/>
          <w:szCs w:val="22"/>
          <w:lang w:eastAsia="en-US"/>
        </w:rPr>
        <w:t xml:space="preserve"> framework (“the consultation paper”).</w:t>
      </w:r>
    </w:p>
    <w:p w14:paraId="284EDC2A" w14:textId="77777777" w:rsidR="00046E00" w:rsidRPr="00046E00" w:rsidRDefault="00046E00" w:rsidP="007C1F71">
      <w:pPr>
        <w:pStyle w:val="SpaceRegular"/>
        <w:spacing w:before="120" w:after="120" w:line="340" w:lineRule="exact"/>
        <w:rPr>
          <w:rFonts w:ascii="Calibri" w:hAnsi="Calibri" w:cs="Calibri"/>
          <w:sz w:val="22"/>
          <w:szCs w:val="22"/>
          <w:lang w:eastAsia="en-US"/>
        </w:rPr>
      </w:pPr>
      <w:r w:rsidRPr="00046E00">
        <w:rPr>
          <w:rFonts w:ascii="Calibri" w:hAnsi="Calibri" w:cs="Calibri"/>
          <w:sz w:val="22"/>
          <w:szCs w:val="22"/>
          <w:lang w:eastAsia="en-US"/>
        </w:rPr>
        <w:t>The ENGIE Group is a global energy operator in the businesses of electricity, natural gas and energy services.  In Australia, ENGIE has interests in generation, renewable energy development, and energy services.  ENGIE also owns Simply Energy which provides electricity and gas to more than 730,000 retail customer accounts across Victoria, South Australia, New South Wales, Queensland, and Western Australia.</w:t>
      </w:r>
    </w:p>
    <w:p w14:paraId="7460EDCE" w14:textId="0B4C3EAF" w:rsidR="00046E00" w:rsidRPr="00046E00" w:rsidRDefault="00046E00" w:rsidP="007C1F71">
      <w:pPr>
        <w:pStyle w:val="SpaceRegular"/>
        <w:spacing w:before="120" w:after="120" w:line="340" w:lineRule="exact"/>
        <w:rPr>
          <w:rFonts w:ascii="Calibri" w:hAnsi="Calibri" w:cs="Calibri"/>
          <w:sz w:val="22"/>
          <w:szCs w:val="22"/>
          <w:lang w:eastAsia="en-US"/>
        </w:rPr>
      </w:pPr>
      <w:r w:rsidRPr="00046E00">
        <w:rPr>
          <w:rFonts w:ascii="Calibri" w:hAnsi="Calibri" w:cs="Calibri"/>
          <w:sz w:val="22"/>
          <w:szCs w:val="22"/>
          <w:lang w:eastAsia="en-US"/>
        </w:rPr>
        <w:t>ENGIE has interests in renewable energy projects that fall within and outside of proposed</w:t>
      </w:r>
      <w:r w:rsidR="00FE6536">
        <w:rPr>
          <w:rFonts w:ascii="Calibri" w:hAnsi="Calibri" w:cs="Calibri"/>
          <w:sz w:val="22"/>
          <w:szCs w:val="22"/>
          <w:lang w:eastAsia="en-US"/>
        </w:rPr>
        <w:t xml:space="preserve"> REZs</w:t>
      </w:r>
      <w:r w:rsidRPr="00046E00">
        <w:rPr>
          <w:rFonts w:ascii="Calibri" w:hAnsi="Calibri" w:cs="Calibri"/>
          <w:sz w:val="22"/>
          <w:szCs w:val="22"/>
          <w:lang w:eastAsia="en-US"/>
        </w:rPr>
        <w:t>.</w:t>
      </w:r>
    </w:p>
    <w:p w14:paraId="458FDAAB" w14:textId="77777777" w:rsidR="00046E00" w:rsidRPr="00046E00" w:rsidRDefault="00046E00" w:rsidP="007C1F71">
      <w:pPr>
        <w:pStyle w:val="SpaceRegular"/>
        <w:spacing w:before="120" w:after="120" w:line="340" w:lineRule="exact"/>
        <w:rPr>
          <w:rFonts w:ascii="Calibri" w:hAnsi="Calibri" w:cs="Calibri"/>
          <w:b/>
          <w:sz w:val="22"/>
          <w:szCs w:val="22"/>
        </w:rPr>
      </w:pPr>
      <w:r w:rsidRPr="00046E00">
        <w:rPr>
          <w:rFonts w:ascii="Calibri" w:hAnsi="Calibri" w:cs="Calibri"/>
          <w:b/>
          <w:sz w:val="22"/>
          <w:szCs w:val="22"/>
        </w:rPr>
        <w:t>Co-ordination of generator connections makes sense, piecemeal access reform does not</w:t>
      </w:r>
    </w:p>
    <w:p w14:paraId="3AC49C13" w14:textId="303D844F" w:rsidR="00046E00" w:rsidRPr="00046E00" w:rsidRDefault="00046E00" w:rsidP="007C1F71">
      <w:pPr>
        <w:spacing w:before="120" w:line="340" w:lineRule="exact"/>
        <w:rPr>
          <w:rFonts w:ascii="Calibri" w:hAnsi="Calibri" w:cs="Calibri"/>
          <w:sz w:val="22"/>
          <w:szCs w:val="22"/>
        </w:rPr>
      </w:pPr>
      <w:r w:rsidRPr="00046E00">
        <w:rPr>
          <w:rFonts w:ascii="Calibri" w:hAnsi="Calibri" w:cs="Calibri"/>
          <w:sz w:val="22"/>
          <w:szCs w:val="22"/>
        </w:rPr>
        <w:t xml:space="preserve">ENGIE is supportive of what it considers to be the core purpose of the </w:t>
      </w:r>
      <w:r w:rsidR="00FE6536">
        <w:rPr>
          <w:rFonts w:ascii="Calibri" w:hAnsi="Calibri" w:cs="Calibri"/>
          <w:sz w:val="22"/>
          <w:szCs w:val="22"/>
        </w:rPr>
        <w:t>REZ</w:t>
      </w:r>
      <w:r w:rsidRPr="00046E00">
        <w:rPr>
          <w:rFonts w:ascii="Calibri" w:hAnsi="Calibri" w:cs="Calibri"/>
          <w:sz w:val="22"/>
          <w:szCs w:val="22"/>
        </w:rPr>
        <w:t xml:space="preserve"> framework; that is to facilitate the co-ordinated connection of multiple generators to a network extension. To that extent</w:t>
      </w:r>
      <w:r w:rsidR="00FE6536">
        <w:rPr>
          <w:rFonts w:ascii="Calibri" w:hAnsi="Calibri" w:cs="Calibri"/>
          <w:sz w:val="22"/>
          <w:szCs w:val="22"/>
        </w:rPr>
        <w:t>,</w:t>
      </w:r>
      <w:r w:rsidRPr="00046E00">
        <w:rPr>
          <w:rFonts w:ascii="Calibri" w:hAnsi="Calibri" w:cs="Calibri"/>
          <w:sz w:val="22"/>
          <w:szCs w:val="22"/>
        </w:rPr>
        <w:t xml:space="preserve"> the arrangements set out in chapter three of the consultation paper appear broadly appropriate subject to the comments below. </w:t>
      </w:r>
    </w:p>
    <w:p w14:paraId="23A46975" w14:textId="77777777" w:rsidR="00046E00" w:rsidRPr="00046E00" w:rsidRDefault="00046E00" w:rsidP="007C1F71">
      <w:pPr>
        <w:spacing w:before="120" w:line="340" w:lineRule="exact"/>
        <w:rPr>
          <w:rFonts w:ascii="Calibri" w:hAnsi="Calibri" w:cs="Calibri"/>
          <w:sz w:val="22"/>
          <w:szCs w:val="22"/>
        </w:rPr>
      </w:pPr>
      <w:r w:rsidRPr="00046E00">
        <w:rPr>
          <w:rFonts w:ascii="Calibri" w:hAnsi="Calibri" w:cs="Calibri"/>
          <w:sz w:val="22"/>
          <w:szCs w:val="22"/>
        </w:rPr>
        <w:t xml:space="preserve">Conversely, ENGIE has serious reservations about the application of any of the four access models to REZs separately from enduring access reform that applies NEM-wide. </w:t>
      </w:r>
    </w:p>
    <w:p w14:paraId="328B19AF" w14:textId="77777777" w:rsidR="00FE6536" w:rsidRDefault="00046E00" w:rsidP="007C1F71">
      <w:pPr>
        <w:spacing w:before="120" w:line="340" w:lineRule="exact"/>
        <w:rPr>
          <w:rFonts w:ascii="Calibri" w:hAnsi="Calibri" w:cs="Calibri"/>
          <w:sz w:val="22"/>
          <w:szCs w:val="22"/>
        </w:rPr>
      </w:pPr>
      <w:r w:rsidRPr="00046E00">
        <w:rPr>
          <w:rFonts w:ascii="Calibri" w:hAnsi="Calibri" w:cs="Calibri"/>
          <w:sz w:val="22"/>
          <w:szCs w:val="22"/>
        </w:rPr>
        <w:t xml:space="preserve">ENGIE has been one of the few market participants to have consistently expressed in-principle support for transmission access reform, but this support has always been predicated on the application of access reform across the </w:t>
      </w:r>
      <w:r w:rsidR="00FE6536">
        <w:rPr>
          <w:rFonts w:ascii="Calibri" w:hAnsi="Calibri" w:cs="Calibri"/>
          <w:sz w:val="22"/>
          <w:szCs w:val="22"/>
        </w:rPr>
        <w:t>National Electricity Market (NEM)</w:t>
      </w:r>
      <w:r w:rsidRPr="00046E00">
        <w:rPr>
          <w:rFonts w:ascii="Calibri" w:hAnsi="Calibri" w:cs="Calibri"/>
          <w:sz w:val="22"/>
          <w:szCs w:val="22"/>
        </w:rPr>
        <w:t xml:space="preserve"> at the same time. </w:t>
      </w:r>
    </w:p>
    <w:p w14:paraId="756E7E33" w14:textId="1EF1FD19" w:rsidR="00046E00" w:rsidRDefault="00046E00" w:rsidP="007C1F71">
      <w:pPr>
        <w:spacing w:before="120" w:line="340" w:lineRule="exact"/>
        <w:rPr>
          <w:rFonts w:ascii="Calibri" w:hAnsi="Calibri" w:cs="Calibri"/>
          <w:sz w:val="22"/>
          <w:szCs w:val="22"/>
        </w:rPr>
      </w:pPr>
      <w:r w:rsidRPr="00046E00">
        <w:rPr>
          <w:rFonts w:ascii="Calibri" w:hAnsi="Calibri" w:cs="Calibri"/>
          <w:sz w:val="22"/>
          <w:szCs w:val="22"/>
        </w:rPr>
        <w:t xml:space="preserve">The perverse incentives and consequences of </w:t>
      </w:r>
      <w:r w:rsidR="00FE6536">
        <w:rPr>
          <w:rFonts w:ascii="Calibri" w:hAnsi="Calibri" w:cs="Calibri"/>
          <w:sz w:val="22"/>
          <w:szCs w:val="22"/>
        </w:rPr>
        <w:t xml:space="preserve">ad hoc </w:t>
      </w:r>
      <w:r w:rsidRPr="00046E00">
        <w:rPr>
          <w:rFonts w:ascii="Calibri" w:hAnsi="Calibri" w:cs="Calibri"/>
          <w:sz w:val="22"/>
          <w:szCs w:val="22"/>
        </w:rPr>
        <w:t xml:space="preserve">reform </w:t>
      </w:r>
      <w:r w:rsidR="00FE6536">
        <w:rPr>
          <w:rFonts w:ascii="Calibri" w:hAnsi="Calibri" w:cs="Calibri"/>
          <w:sz w:val="22"/>
          <w:szCs w:val="22"/>
        </w:rPr>
        <w:t>applying to</w:t>
      </w:r>
      <w:r w:rsidRPr="00046E00">
        <w:rPr>
          <w:rFonts w:ascii="Calibri" w:hAnsi="Calibri" w:cs="Calibri"/>
          <w:sz w:val="22"/>
          <w:szCs w:val="22"/>
        </w:rPr>
        <w:t xml:space="preserve"> parts of the NEM </w:t>
      </w:r>
      <w:r w:rsidR="00FE6536">
        <w:rPr>
          <w:rFonts w:ascii="Calibri" w:hAnsi="Calibri" w:cs="Calibri"/>
          <w:sz w:val="22"/>
          <w:szCs w:val="22"/>
        </w:rPr>
        <w:t>only,</w:t>
      </w:r>
      <w:r w:rsidRPr="00046E00">
        <w:rPr>
          <w:rFonts w:ascii="Calibri" w:hAnsi="Calibri" w:cs="Calibri"/>
          <w:sz w:val="22"/>
          <w:szCs w:val="22"/>
        </w:rPr>
        <w:t xml:space="preserve"> is likely to deliver limited benefits to REZ connecting generators and lead to widespread costs.</w:t>
      </w:r>
    </w:p>
    <w:p w14:paraId="44876154" w14:textId="58B9039E" w:rsidR="00FE6536" w:rsidRPr="00046E00" w:rsidRDefault="00FE6536" w:rsidP="007C1F71">
      <w:pPr>
        <w:spacing w:before="120" w:line="340" w:lineRule="exact"/>
        <w:rPr>
          <w:rFonts w:ascii="Calibri" w:hAnsi="Calibri" w:cs="Calibri"/>
          <w:sz w:val="22"/>
          <w:szCs w:val="22"/>
        </w:rPr>
      </w:pPr>
      <w:r>
        <w:rPr>
          <w:rFonts w:ascii="Calibri" w:hAnsi="Calibri" w:cs="Calibri"/>
          <w:sz w:val="22"/>
          <w:szCs w:val="22"/>
        </w:rPr>
        <w:lastRenderedPageBreak/>
        <w:t>This is especially the case if states were also minded</w:t>
      </w:r>
      <w:r w:rsidR="00BE26D1">
        <w:rPr>
          <w:rFonts w:ascii="Calibri" w:hAnsi="Calibri" w:cs="Calibri"/>
          <w:sz w:val="22"/>
          <w:szCs w:val="22"/>
        </w:rPr>
        <w:t xml:space="preserve"> to</w:t>
      </w:r>
      <w:r>
        <w:rPr>
          <w:rFonts w:ascii="Calibri" w:hAnsi="Calibri" w:cs="Calibri"/>
          <w:sz w:val="22"/>
          <w:szCs w:val="22"/>
        </w:rPr>
        <w:t xml:space="preserve"> </w:t>
      </w:r>
      <w:r w:rsidR="00BE26D1">
        <w:rPr>
          <w:rFonts w:ascii="Calibri" w:hAnsi="Calibri" w:cs="Calibri"/>
          <w:sz w:val="22"/>
          <w:szCs w:val="22"/>
        </w:rPr>
        <w:t>progress their own forms</w:t>
      </w:r>
      <w:r>
        <w:rPr>
          <w:rFonts w:ascii="Calibri" w:hAnsi="Calibri" w:cs="Calibri"/>
          <w:sz w:val="22"/>
          <w:szCs w:val="22"/>
        </w:rPr>
        <w:t xml:space="preserve"> of access reform.</w:t>
      </w:r>
    </w:p>
    <w:p w14:paraId="2AEC5C6C" w14:textId="77777777" w:rsidR="00046E00" w:rsidRPr="00046E00" w:rsidRDefault="00046E00" w:rsidP="007C1F71">
      <w:pPr>
        <w:spacing w:before="120" w:line="340" w:lineRule="exact"/>
        <w:rPr>
          <w:rFonts w:ascii="Calibri" w:hAnsi="Calibri" w:cs="Calibri"/>
          <w:b/>
          <w:bCs/>
          <w:sz w:val="22"/>
          <w:szCs w:val="22"/>
        </w:rPr>
      </w:pPr>
      <w:r w:rsidRPr="00046E00">
        <w:rPr>
          <w:rFonts w:ascii="Calibri" w:hAnsi="Calibri" w:cs="Calibri"/>
          <w:b/>
          <w:bCs/>
          <w:sz w:val="22"/>
          <w:szCs w:val="22"/>
        </w:rPr>
        <w:t>Accurate problem definition is an important starting point</w:t>
      </w:r>
    </w:p>
    <w:p w14:paraId="48A2524E" w14:textId="6455A089" w:rsidR="00046E00" w:rsidRPr="00046E00" w:rsidRDefault="00046E00" w:rsidP="007C1F71">
      <w:pPr>
        <w:spacing w:before="120" w:line="340" w:lineRule="exact"/>
        <w:rPr>
          <w:rFonts w:ascii="Calibri" w:hAnsi="Calibri" w:cs="Calibri"/>
          <w:sz w:val="22"/>
          <w:szCs w:val="22"/>
        </w:rPr>
      </w:pPr>
      <w:r w:rsidRPr="00046E00">
        <w:rPr>
          <w:rFonts w:ascii="Calibri" w:hAnsi="Calibri" w:cs="Calibri"/>
          <w:sz w:val="22"/>
          <w:szCs w:val="22"/>
        </w:rPr>
        <w:t xml:space="preserve">Care should be taken with defining the problems that </w:t>
      </w:r>
      <w:r w:rsidR="00FA2B74">
        <w:rPr>
          <w:rFonts w:ascii="Calibri" w:hAnsi="Calibri" w:cs="Calibri"/>
          <w:sz w:val="22"/>
          <w:szCs w:val="22"/>
        </w:rPr>
        <w:t>will</w:t>
      </w:r>
      <w:r w:rsidRPr="00046E00">
        <w:rPr>
          <w:rFonts w:ascii="Calibri" w:hAnsi="Calibri" w:cs="Calibri"/>
          <w:sz w:val="22"/>
          <w:szCs w:val="22"/>
        </w:rPr>
        <w:t xml:space="preserve"> be addressed by a REZ framework with or without access reform. While the consultation paper correctly cites low system strength, system curtailment and connection delays as challenges the NEM is facing, it is not clear that the reforms proposed in the consultation paper are either necessary or sufficient to address each of these.  Further, multiple options for improving system strength are currently under consideration.</w:t>
      </w:r>
    </w:p>
    <w:p w14:paraId="163C6796" w14:textId="77777777" w:rsidR="00046E00" w:rsidRPr="00046E00" w:rsidRDefault="00046E00" w:rsidP="007C1F71">
      <w:pPr>
        <w:spacing w:before="120" w:line="340" w:lineRule="exact"/>
        <w:rPr>
          <w:rFonts w:ascii="Calibri" w:hAnsi="Calibri" w:cs="Calibri"/>
          <w:sz w:val="22"/>
          <w:szCs w:val="22"/>
        </w:rPr>
      </w:pPr>
      <w:r w:rsidRPr="00046E00">
        <w:rPr>
          <w:rFonts w:ascii="Calibri" w:hAnsi="Calibri" w:cs="Calibri"/>
          <w:sz w:val="22"/>
          <w:szCs w:val="22"/>
        </w:rPr>
        <w:t>ENGIE notes the use of ISP analysis on congestion and curtailment to illustrate some of these issues. Notably, the amount of congestion (which presumes efficient development of appropriate REZs) is relatively low. Mostly the curtailment is either due to system management (including coal minima, which these proposals will do nothing to address) or low prices, which are simply economic signals working as they should, and thus the very opposite of a problem to be solved.</w:t>
      </w:r>
    </w:p>
    <w:p w14:paraId="265E9287" w14:textId="2E853537" w:rsidR="00046E00" w:rsidRPr="00046E00" w:rsidRDefault="00046E00" w:rsidP="007C1F71">
      <w:pPr>
        <w:spacing w:before="120" w:line="340" w:lineRule="exact"/>
        <w:rPr>
          <w:rFonts w:ascii="Calibri" w:hAnsi="Calibri" w:cs="Calibri"/>
          <w:sz w:val="22"/>
          <w:szCs w:val="22"/>
        </w:rPr>
      </w:pPr>
      <w:r w:rsidRPr="00046E00">
        <w:rPr>
          <w:rFonts w:ascii="Calibri" w:hAnsi="Calibri" w:cs="Calibri"/>
          <w:sz w:val="22"/>
          <w:szCs w:val="22"/>
        </w:rPr>
        <w:t xml:space="preserve">Another potential issue, disorderly bidding, has been a potential risk since market start. If it </w:t>
      </w:r>
      <w:r w:rsidR="00FA2B74">
        <w:rPr>
          <w:rFonts w:ascii="Calibri" w:hAnsi="Calibri" w:cs="Calibri"/>
          <w:sz w:val="22"/>
          <w:szCs w:val="22"/>
        </w:rPr>
        <w:t>is</w:t>
      </w:r>
      <w:r w:rsidRPr="00046E00">
        <w:rPr>
          <w:rFonts w:ascii="Calibri" w:hAnsi="Calibri" w:cs="Calibri"/>
          <w:sz w:val="22"/>
          <w:szCs w:val="22"/>
        </w:rPr>
        <w:t xml:space="preserve"> deemed a big enough issue, then it </w:t>
      </w:r>
      <w:r w:rsidR="00FA2B74">
        <w:rPr>
          <w:rFonts w:ascii="Calibri" w:hAnsi="Calibri" w:cs="Calibri"/>
          <w:sz w:val="22"/>
          <w:szCs w:val="22"/>
        </w:rPr>
        <w:t>sh</w:t>
      </w:r>
      <w:r w:rsidRPr="00046E00">
        <w:rPr>
          <w:rFonts w:ascii="Calibri" w:hAnsi="Calibri" w:cs="Calibri"/>
          <w:sz w:val="22"/>
          <w:szCs w:val="22"/>
        </w:rPr>
        <w:t xml:space="preserve">ould </w:t>
      </w:r>
      <w:r w:rsidR="00FA2B74">
        <w:rPr>
          <w:rFonts w:ascii="Calibri" w:hAnsi="Calibri" w:cs="Calibri"/>
          <w:sz w:val="22"/>
          <w:szCs w:val="22"/>
        </w:rPr>
        <w:t>be addressed separate to REZs</w:t>
      </w:r>
      <w:r w:rsidRPr="00046E00">
        <w:rPr>
          <w:rFonts w:ascii="Calibri" w:hAnsi="Calibri" w:cs="Calibri"/>
          <w:sz w:val="22"/>
          <w:szCs w:val="22"/>
        </w:rPr>
        <w:t>. Any access reform confined to REZs will not address instances of such that occur outside REZs. In any case both regulatory and commercial changes are seeking to mitigate the risks of the “race to the floor”, such as PPAs that don’t pay out on negative prices and the semi</w:t>
      </w:r>
      <w:r w:rsidR="00FA2B74">
        <w:rPr>
          <w:rFonts w:ascii="Calibri" w:hAnsi="Calibri" w:cs="Calibri"/>
          <w:sz w:val="22"/>
          <w:szCs w:val="22"/>
        </w:rPr>
        <w:t>-</w:t>
      </w:r>
      <w:r w:rsidRPr="00046E00">
        <w:rPr>
          <w:rFonts w:ascii="Calibri" w:hAnsi="Calibri" w:cs="Calibri"/>
          <w:sz w:val="22"/>
          <w:szCs w:val="22"/>
        </w:rPr>
        <w:t>scheduled generation rule change.</w:t>
      </w:r>
    </w:p>
    <w:p w14:paraId="1527FEE4" w14:textId="77777777" w:rsidR="00046E00" w:rsidRPr="00046E00" w:rsidRDefault="00046E00" w:rsidP="007C1F71">
      <w:pPr>
        <w:spacing w:before="120" w:line="340" w:lineRule="exact"/>
        <w:rPr>
          <w:rFonts w:ascii="Calibri" w:hAnsi="Calibri" w:cs="Calibri"/>
          <w:sz w:val="22"/>
          <w:szCs w:val="22"/>
        </w:rPr>
      </w:pPr>
      <w:r w:rsidRPr="00046E00">
        <w:rPr>
          <w:rFonts w:ascii="Calibri" w:hAnsi="Calibri" w:cs="Calibri"/>
          <w:sz w:val="22"/>
          <w:szCs w:val="22"/>
        </w:rPr>
        <w:t>ENGIE notes the reference to international cases of transmission expansion to cater for new renewables investment and the fact that the instances cited are combined either with nodal pricing or with firm access. However, ENGIE understands that in each case, these are the prevailing transmission access regimes in the relevant jurisdictions, and that they are thus applicable to all generators, not just those connecting to the new transmission assets.</w:t>
      </w:r>
    </w:p>
    <w:p w14:paraId="3A6A2CFF" w14:textId="63913CCB" w:rsidR="00046E00" w:rsidRPr="00046E00" w:rsidRDefault="00046E00" w:rsidP="007C1F71">
      <w:pPr>
        <w:spacing w:before="120" w:line="340" w:lineRule="exact"/>
        <w:rPr>
          <w:rFonts w:ascii="Calibri" w:hAnsi="Calibri" w:cs="Calibri"/>
          <w:sz w:val="22"/>
          <w:szCs w:val="22"/>
        </w:rPr>
      </w:pPr>
      <w:r w:rsidRPr="00046E00">
        <w:rPr>
          <w:rFonts w:ascii="Calibri" w:hAnsi="Calibri" w:cs="Calibri"/>
          <w:sz w:val="22"/>
          <w:szCs w:val="22"/>
        </w:rPr>
        <w:t xml:space="preserve">In any case the inclusion of Germany is a salutary reminder that locational decisions for both transmission and generation cannot simply be determined by electricity market rules that supposedly co-optimise the two. Germany’s access regime may well be best practice, but there have been significant delays in improving </w:t>
      </w:r>
      <w:r w:rsidR="00BE26D1">
        <w:rPr>
          <w:rFonts w:ascii="Calibri" w:hAnsi="Calibri" w:cs="Calibri"/>
          <w:sz w:val="22"/>
          <w:szCs w:val="22"/>
        </w:rPr>
        <w:t>n</w:t>
      </w:r>
      <w:r w:rsidRPr="00046E00">
        <w:rPr>
          <w:rFonts w:ascii="Calibri" w:hAnsi="Calibri" w:cs="Calibri"/>
          <w:sz w:val="22"/>
          <w:szCs w:val="22"/>
        </w:rPr>
        <w:t xml:space="preserve">orth-south transmission links to facilitate more renewables because of local concerns about the impact of new transmission infrastructure on their amenity. </w:t>
      </w:r>
    </w:p>
    <w:p w14:paraId="164D0702" w14:textId="77777777" w:rsidR="00046E00" w:rsidRPr="00046E00" w:rsidRDefault="00046E00" w:rsidP="007C1F71">
      <w:pPr>
        <w:spacing w:before="120" w:line="340" w:lineRule="exact"/>
        <w:rPr>
          <w:rFonts w:ascii="Calibri" w:hAnsi="Calibri" w:cs="Calibri"/>
          <w:sz w:val="22"/>
          <w:szCs w:val="22"/>
        </w:rPr>
      </w:pPr>
      <w:r w:rsidRPr="00046E00">
        <w:rPr>
          <w:rFonts w:ascii="Calibri" w:hAnsi="Calibri" w:cs="Calibri"/>
          <w:b/>
          <w:bCs/>
          <w:sz w:val="22"/>
          <w:szCs w:val="22"/>
        </w:rPr>
        <w:t>Improving co-ordination is a sensible reform</w:t>
      </w:r>
    </w:p>
    <w:p w14:paraId="24129F6F" w14:textId="3EE95156" w:rsidR="00046E00" w:rsidRPr="00046E00" w:rsidRDefault="00046E00" w:rsidP="007C1F71">
      <w:pPr>
        <w:spacing w:before="120" w:line="340" w:lineRule="exact"/>
        <w:rPr>
          <w:rFonts w:ascii="Calibri" w:hAnsi="Calibri" w:cs="Calibri"/>
          <w:sz w:val="22"/>
          <w:szCs w:val="22"/>
        </w:rPr>
      </w:pPr>
      <w:r w:rsidRPr="00046E00">
        <w:rPr>
          <w:rFonts w:ascii="Calibri" w:hAnsi="Calibri" w:cs="Calibri"/>
          <w:sz w:val="22"/>
          <w:szCs w:val="22"/>
        </w:rPr>
        <w:t xml:space="preserve">There is probably little need for the consultation paper to extol the virtues of a strategic, co-ordinated approach to network extensions for new renewable generation. Several state governments within the NEM </w:t>
      </w:r>
      <w:r w:rsidR="00BE26D1">
        <w:rPr>
          <w:rFonts w:ascii="Calibri" w:hAnsi="Calibri" w:cs="Calibri"/>
          <w:sz w:val="22"/>
          <w:szCs w:val="22"/>
        </w:rPr>
        <w:t xml:space="preserve">regions </w:t>
      </w:r>
      <w:r w:rsidRPr="00046E00">
        <w:rPr>
          <w:rFonts w:ascii="Calibri" w:hAnsi="Calibri" w:cs="Calibri"/>
          <w:sz w:val="22"/>
          <w:szCs w:val="22"/>
        </w:rPr>
        <w:t xml:space="preserve">have signalled their intention to promote such extensions in order to support meeting </w:t>
      </w:r>
      <w:r w:rsidR="00BE26D1">
        <w:rPr>
          <w:rFonts w:ascii="Calibri" w:hAnsi="Calibri" w:cs="Calibri"/>
          <w:sz w:val="22"/>
          <w:szCs w:val="22"/>
        </w:rPr>
        <w:t>jurisdictional</w:t>
      </w:r>
      <w:r w:rsidRPr="00046E00">
        <w:rPr>
          <w:rFonts w:ascii="Calibri" w:hAnsi="Calibri" w:cs="Calibri"/>
          <w:sz w:val="22"/>
          <w:szCs w:val="22"/>
        </w:rPr>
        <w:t xml:space="preserve"> renewable energy targets and so it makes sense for a consistent framework to be set up within the National Electricity Rules (“the Rules”).</w:t>
      </w:r>
    </w:p>
    <w:p w14:paraId="7BC68FAB" w14:textId="22C6356B" w:rsidR="00FA2B74" w:rsidRDefault="00046E00" w:rsidP="007C1F71">
      <w:pPr>
        <w:spacing w:before="120" w:line="340" w:lineRule="exact"/>
        <w:rPr>
          <w:rFonts w:ascii="Calibri" w:hAnsi="Calibri" w:cs="Calibri"/>
          <w:sz w:val="22"/>
          <w:szCs w:val="22"/>
        </w:rPr>
      </w:pPr>
      <w:r w:rsidRPr="00046E00">
        <w:rPr>
          <w:rFonts w:ascii="Calibri" w:hAnsi="Calibri" w:cs="Calibri"/>
          <w:sz w:val="22"/>
          <w:szCs w:val="22"/>
        </w:rPr>
        <w:lastRenderedPageBreak/>
        <w:t>The Actionable ISP framework that is largely in place will drive development of several of the initial REZs, along with state government policy. The consultation paper justifiably strikes a note of caution regarding the likelihood that customers will bear the full cost of REZ assets, just as they do with both interconnectors and intra-regional transmission augmentation. In all cases</w:t>
      </w:r>
      <w:r w:rsidR="00BE26D1">
        <w:rPr>
          <w:rFonts w:ascii="Calibri" w:hAnsi="Calibri" w:cs="Calibri"/>
          <w:sz w:val="22"/>
          <w:szCs w:val="22"/>
        </w:rPr>
        <w:t xml:space="preserve">, </w:t>
      </w:r>
      <w:r w:rsidRPr="00046E00">
        <w:rPr>
          <w:rFonts w:ascii="Calibri" w:hAnsi="Calibri" w:cs="Calibri"/>
          <w:sz w:val="22"/>
          <w:szCs w:val="22"/>
        </w:rPr>
        <w:t>there is a risk that the resultant assets will be underutilised and thus consumers pay more than the benefits they receive – this is not a risk unique to REZs, though it may be more obvious when it eventuates in a REZ</w:t>
      </w:r>
      <w:r w:rsidR="00FA2B74">
        <w:rPr>
          <w:rFonts w:ascii="Calibri" w:hAnsi="Calibri" w:cs="Calibri"/>
          <w:sz w:val="22"/>
          <w:szCs w:val="22"/>
        </w:rPr>
        <w:t>, and likely justifies a staged approach to REZ development.</w:t>
      </w:r>
    </w:p>
    <w:p w14:paraId="63702417" w14:textId="77777777" w:rsidR="00FA2B74" w:rsidRDefault="00FA2B74" w:rsidP="007C1F71">
      <w:pPr>
        <w:spacing w:before="120" w:line="340" w:lineRule="exact"/>
        <w:rPr>
          <w:rFonts w:ascii="Calibri" w:hAnsi="Calibri" w:cs="Calibri"/>
          <w:sz w:val="22"/>
          <w:szCs w:val="22"/>
        </w:rPr>
      </w:pPr>
      <w:r>
        <w:rPr>
          <w:rFonts w:ascii="Calibri" w:hAnsi="Calibri" w:cs="Calibri"/>
          <w:sz w:val="22"/>
          <w:szCs w:val="22"/>
        </w:rPr>
        <w:t>In any case, it has long been argued by many market participants and affected stakeholders, that t</w:t>
      </w:r>
      <w:r w:rsidR="00046E00" w:rsidRPr="00046E00">
        <w:rPr>
          <w:rFonts w:ascii="Calibri" w:hAnsi="Calibri" w:cs="Calibri"/>
          <w:sz w:val="22"/>
          <w:szCs w:val="22"/>
        </w:rPr>
        <w:t xml:space="preserve">he most economically efficient solutions to these risks entail exposing </w:t>
      </w:r>
      <w:r>
        <w:rPr>
          <w:rFonts w:ascii="Calibri" w:hAnsi="Calibri" w:cs="Calibri"/>
          <w:sz w:val="22"/>
          <w:szCs w:val="22"/>
        </w:rPr>
        <w:t>Transmission Network Service Providers</w:t>
      </w:r>
      <w:r w:rsidR="00046E00" w:rsidRPr="00046E00">
        <w:rPr>
          <w:rFonts w:ascii="Calibri" w:hAnsi="Calibri" w:cs="Calibri"/>
          <w:sz w:val="22"/>
          <w:szCs w:val="22"/>
        </w:rPr>
        <w:t xml:space="preserve"> to greater incentives to find efficient solutions, including non-network options to meet particular requirements, but this approach has largely been eschewed by the energy market bodies to date. </w:t>
      </w:r>
    </w:p>
    <w:p w14:paraId="786AC613" w14:textId="4979D769" w:rsidR="00FA2B74" w:rsidRDefault="00FA2B74" w:rsidP="007C1F71">
      <w:pPr>
        <w:spacing w:before="120" w:line="340" w:lineRule="exact"/>
        <w:rPr>
          <w:rFonts w:ascii="Calibri" w:hAnsi="Calibri" w:cs="Calibri"/>
          <w:sz w:val="22"/>
          <w:szCs w:val="22"/>
        </w:rPr>
      </w:pPr>
      <w:r>
        <w:rPr>
          <w:rFonts w:ascii="Calibri" w:hAnsi="Calibri" w:cs="Calibri"/>
          <w:sz w:val="22"/>
          <w:szCs w:val="22"/>
        </w:rPr>
        <w:t xml:space="preserve">As such, </w:t>
      </w:r>
      <w:r w:rsidR="00046E00" w:rsidRPr="00046E00">
        <w:rPr>
          <w:rFonts w:ascii="Calibri" w:hAnsi="Calibri" w:cs="Calibri"/>
          <w:sz w:val="22"/>
          <w:szCs w:val="22"/>
        </w:rPr>
        <w:t xml:space="preserve">access reforms that seek to extract greater contributions from generators are likely to be only a partial solution at best. </w:t>
      </w:r>
      <w:r>
        <w:rPr>
          <w:rFonts w:ascii="Calibri" w:hAnsi="Calibri" w:cs="Calibri"/>
          <w:sz w:val="22"/>
          <w:szCs w:val="22"/>
        </w:rPr>
        <w:t>Notwithstanding this,</w:t>
      </w:r>
      <w:r w:rsidR="00046E00" w:rsidRPr="00046E00">
        <w:rPr>
          <w:rFonts w:ascii="Calibri" w:hAnsi="Calibri" w:cs="Calibri"/>
          <w:sz w:val="22"/>
          <w:szCs w:val="22"/>
        </w:rPr>
        <w:t xml:space="preserve"> there is no reason not to </w:t>
      </w:r>
      <w:r>
        <w:rPr>
          <w:rFonts w:ascii="Calibri" w:hAnsi="Calibri" w:cs="Calibri"/>
          <w:sz w:val="22"/>
          <w:szCs w:val="22"/>
        </w:rPr>
        <w:t>expect</w:t>
      </w:r>
      <w:r w:rsidR="00046E00" w:rsidRPr="00046E00">
        <w:rPr>
          <w:rFonts w:ascii="Calibri" w:hAnsi="Calibri" w:cs="Calibri"/>
          <w:sz w:val="22"/>
          <w:szCs w:val="22"/>
        </w:rPr>
        <w:t xml:space="preserve"> that generators will pay to be connected inside a REZ, even if the access models below are not applied</w:t>
      </w:r>
      <w:r>
        <w:rPr>
          <w:rFonts w:ascii="Calibri" w:hAnsi="Calibri" w:cs="Calibri"/>
          <w:sz w:val="22"/>
          <w:szCs w:val="22"/>
        </w:rPr>
        <w:t xml:space="preserve">, because of other </w:t>
      </w:r>
      <w:r w:rsidR="00BE26D1">
        <w:rPr>
          <w:rFonts w:ascii="Calibri" w:hAnsi="Calibri" w:cs="Calibri"/>
          <w:sz w:val="22"/>
          <w:szCs w:val="22"/>
        </w:rPr>
        <w:t xml:space="preserve">desirable </w:t>
      </w:r>
      <w:r>
        <w:rPr>
          <w:rFonts w:ascii="Calibri" w:hAnsi="Calibri" w:cs="Calibri"/>
          <w:sz w:val="22"/>
          <w:szCs w:val="22"/>
        </w:rPr>
        <w:t>locational benefits – quality renewable energy resources</w:t>
      </w:r>
      <w:r w:rsidR="00BE26D1">
        <w:rPr>
          <w:rFonts w:ascii="Calibri" w:hAnsi="Calibri" w:cs="Calibri"/>
          <w:sz w:val="22"/>
          <w:szCs w:val="22"/>
        </w:rPr>
        <w:t>, community acceptance,</w:t>
      </w:r>
      <w:r>
        <w:rPr>
          <w:rFonts w:ascii="Calibri" w:hAnsi="Calibri" w:cs="Calibri"/>
          <w:sz w:val="22"/>
          <w:szCs w:val="22"/>
        </w:rPr>
        <w:t xml:space="preserve"> and coordinated connection.</w:t>
      </w:r>
    </w:p>
    <w:p w14:paraId="797B38A4" w14:textId="7A0E0D34" w:rsidR="00046E00" w:rsidRPr="00046E00" w:rsidRDefault="00046E00" w:rsidP="007C1F71">
      <w:pPr>
        <w:spacing w:before="120" w:line="340" w:lineRule="exact"/>
        <w:rPr>
          <w:rFonts w:ascii="Calibri" w:hAnsi="Calibri" w:cs="Calibri"/>
          <w:sz w:val="22"/>
          <w:szCs w:val="22"/>
        </w:rPr>
      </w:pPr>
      <w:r w:rsidRPr="00046E00">
        <w:rPr>
          <w:rFonts w:ascii="Calibri" w:hAnsi="Calibri" w:cs="Calibri"/>
          <w:sz w:val="22"/>
          <w:szCs w:val="22"/>
        </w:rPr>
        <w:t>In such cases,</w:t>
      </w:r>
      <w:r w:rsidR="00FA2B74">
        <w:rPr>
          <w:rFonts w:ascii="Calibri" w:hAnsi="Calibri" w:cs="Calibri"/>
          <w:sz w:val="22"/>
          <w:szCs w:val="22"/>
        </w:rPr>
        <w:t xml:space="preserve"> where generators have paid to connect,</w:t>
      </w:r>
      <w:r w:rsidRPr="00046E00">
        <w:rPr>
          <w:rFonts w:ascii="Calibri" w:hAnsi="Calibri" w:cs="Calibri"/>
          <w:sz w:val="22"/>
          <w:szCs w:val="22"/>
        </w:rPr>
        <w:t xml:space="preserve"> ENGIE agrees that any surplus should be returned to consumers through lower TUoS</w:t>
      </w:r>
      <w:r w:rsidR="00FA2B74">
        <w:rPr>
          <w:rFonts w:ascii="Calibri" w:hAnsi="Calibri" w:cs="Calibri"/>
          <w:sz w:val="22"/>
          <w:szCs w:val="22"/>
        </w:rPr>
        <w:t xml:space="preserve"> as the bearers of much of the investment risk.</w:t>
      </w:r>
    </w:p>
    <w:p w14:paraId="0738EB2F" w14:textId="77777777" w:rsidR="00046E00" w:rsidRPr="00046E00" w:rsidRDefault="00046E00" w:rsidP="007C1F71">
      <w:pPr>
        <w:spacing w:before="120" w:line="340" w:lineRule="exact"/>
        <w:rPr>
          <w:rFonts w:ascii="Calibri" w:hAnsi="Calibri" w:cs="Calibri"/>
          <w:b/>
          <w:bCs/>
          <w:sz w:val="22"/>
          <w:szCs w:val="22"/>
        </w:rPr>
      </w:pPr>
      <w:r w:rsidRPr="00046E00">
        <w:rPr>
          <w:rFonts w:ascii="Calibri" w:hAnsi="Calibri" w:cs="Calibri"/>
          <w:b/>
          <w:bCs/>
          <w:sz w:val="22"/>
          <w:szCs w:val="22"/>
        </w:rPr>
        <w:t xml:space="preserve">None of the proposed REZ-specific access regimes are fit for purpose </w:t>
      </w:r>
    </w:p>
    <w:p w14:paraId="2DA32A70" w14:textId="77777777" w:rsidR="00046E00" w:rsidRPr="00046E00" w:rsidRDefault="00046E00" w:rsidP="007C1F71">
      <w:pPr>
        <w:pStyle w:val="SpaceRegular"/>
        <w:spacing w:before="120" w:after="120" w:line="340" w:lineRule="exact"/>
        <w:rPr>
          <w:rFonts w:ascii="Calibri" w:hAnsi="Calibri" w:cs="Calibri"/>
          <w:sz w:val="22"/>
          <w:szCs w:val="22"/>
        </w:rPr>
      </w:pPr>
      <w:r w:rsidRPr="00046E00">
        <w:rPr>
          <w:rFonts w:ascii="Calibri" w:hAnsi="Calibri" w:cs="Calibri"/>
          <w:sz w:val="22"/>
          <w:szCs w:val="22"/>
        </w:rPr>
        <w:t xml:space="preserve">ENGIE does not consider that any of the four models are appropriate solutions when applied only to REZs. </w:t>
      </w:r>
    </w:p>
    <w:p w14:paraId="679FE5A6" w14:textId="3A4A308A" w:rsidR="00046E00" w:rsidRPr="00046E00" w:rsidRDefault="003233B8" w:rsidP="007C1F71">
      <w:pPr>
        <w:pStyle w:val="SpaceRegular"/>
        <w:spacing w:before="120" w:after="120" w:line="340" w:lineRule="exact"/>
        <w:rPr>
          <w:rFonts w:ascii="Calibri" w:hAnsi="Calibri" w:cs="Calibri"/>
          <w:sz w:val="22"/>
          <w:szCs w:val="22"/>
        </w:rPr>
      </w:pPr>
      <w:r>
        <w:rPr>
          <w:rFonts w:ascii="Calibri" w:hAnsi="Calibri" w:cs="Calibri"/>
          <w:sz w:val="22"/>
          <w:szCs w:val="22"/>
        </w:rPr>
        <w:t>All of the</w:t>
      </w:r>
      <w:r w:rsidR="00046E00" w:rsidRPr="00046E00">
        <w:rPr>
          <w:rFonts w:ascii="Calibri" w:hAnsi="Calibri" w:cs="Calibri"/>
          <w:sz w:val="22"/>
          <w:szCs w:val="22"/>
        </w:rPr>
        <w:t xml:space="preserve"> model</w:t>
      </w:r>
      <w:r>
        <w:rPr>
          <w:rFonts w:ascii="Calibri" w:hAnsi="Calibri" w:cs="Calibri"/>
          <w:sz w:val="22"/>
          <w:szCs w:val="22"/>
        </w:rPr>
        <w:t>s</w:t>
      </w:r>
      <w:r w:rsidR="00046E00" w:rsidRPr="00046E00">
        <w:rPr>
          <w:rFonts w:ascii="Calibri" w:hAnsi="Calibri" w:cs="Calibri"/>
          <w:sz w:val="22"/>
          <w:szCs w:val="22"/>
        </w:rPr>
        <w:t xml:space="preserve"> </w:t>
      </w:r>
      <w:r w:rsidRPr="00046E00">
        <w:rPr>
          <w:rFonts w:ascii="Calibri" w:hAnsi="Calibri" w:cs="Calibri"/>
          <w:sz w:val="22"/>
          <w:szCs w:val="22"/>
        </w:rPr>
        <w:t>provide</w:t>
      </w:r>
      <w:r w:rsidR="00046E00" w:rsidRPr="00046E00">
        <w:rPr>
          <w:rFonts w:ascii="Calibri" w:hAnsi="Calibri" w:cs="Calibri"/>
          <w:sz w:val="22"/>
          <w:szCs w:val="22"/>
        </w:rPr>
        <w:t xml:space="preserve"> limited value when </w:t>
      </w:r>
      <w:r>
        <w:rPr>
          <w:rFonts w:ascii="Calibri" w:hAnsi="Calibri" w:cs="Calibri"/>
          <w:sz w:val="22"/>
          <w:szCs w:val="22"/>
        </w:rPr>
        <w:t>they</w:t>
      </w:r>
      <w:r w:rsidR="00046E00" w:rsidRPr="00046E00">
        <w:rPr>
          <w:rFonts w:ascii="Calibri" w:hAnsi="Calibri" w:cs="Calibri"/>
          <w:sz w:val="22"/>
          <w:szCs w:val="22"/>
        </w:rPr>
        <w:t xml:space="preserve"> only can provide access to where the REZ joins the rest of the network. Naturally it would be inequitable to provide firm access through to the </w:t>
      </w:r>
      <w:r w:rsidR="00BE26D1">
        <w:rPr>
          <w:rFonts w:ascii="Calibri" w:hAnsi="Calibri" w:cs="Calibri"/>
          <w:sz w:val="22"/>
          <w:szCs w:val="22"/>
        </w:rPr>
        <w:t>Regional Reference Node</w:t>
      </w:r>
      <w:r w:rsidR="00046E00" w:rsidRPr="00046E00">
        <w:rPr>
          <w:rFonts w:ascii="Calibri" w:hAnsi="Calibri" w:cs="Calibri"/>
          <w:sz w:val="22"/>
          <w:szCs w:val="22"/>
        </w:rPr>
        <w:t xml:space="preserve">, when non-REZ generation does not enjoy the same right, unless the full augmentation costs were recovered </w:t>
      </w:r>
      <w:r w:rsidR="00BE26D1">
        <w:rPr>
          <w:rFonts w:ascii="Calibri" w:hAnsi="Calibri" w:cs="Calibri"/>
          <w:sz w:val="22"/>
          <w:szCs w:val="22"/>
        </w:rPr>
        <w:t>from</w:t>
      </w:r>
      <w:r w:rsidR="00046E00" w:rsidRPr="00046E00">
        <w:rPr>
          <w:rFonts w:ascii="Calibri" w:hAnsi="Calibri" w:cs="Calibri"/>
          <w:sz w:val="22"/>
          <w:szCs w:val="22"/>
        </w:rPr>
        <w:t xml:space="preserve"> REZ proponents. But this could both make REZ connection prohibitively expensive and represent a move to the kind of deep connection charge approach that was rejected at market start</w:t>
      </w:r>
      <w:r w:rsidR="00B40D1B">
        <w:rPr>
          <w:rFonts w:ascii="Calibri" w:hAnsi="Calibri" w:cs="Calibri"/>
          <w:sz w:val="22"/>
          <w:szCs w:val="22"/>
        </w:rPr>
        <w:t xml:space="preserve"> and again in subsequent AEMC reviews</w:t>
      </w:r>
      <w:r w:rsidR="00BE26D1">
        <w:rPr>
          <w:rFonts w:ascii="Calibri" w:hAnsi="Calibri" w:cs="Calibri"/>
          <w:sz w:val="22"/>
          <w:szCs w:val="22"/>
        </w:rPr>
        <w:t xml:space="preserve"> (see climate change policies review)</w:t>
      </w:r>
      <w:r w:rsidR="00046E00" w:rsidRPr="00046E00">
        <w:rPr>
          <w:rFonts w:ascii="Calibri" w:hAnsi="Calibri" w:cs="Calibri"/>
          <w:sz w:val="22"/>
          <w:szCs w:val="22"/>
        </w:rPr>
        <w:t xml:space="preserve">. It also creates an onerous situation for subsequent generators who wish to connect to the REZ. </w:t>
      </w:r>
    </w:p>
    <w:p w14:paraId="6ED426FC" w14:textId="5F2F0915" w:rsidR="00B40D1B" w:rsidRDefault="00046E00" w:rsidP="007C1F71">
      <w:pPr>
        <w:pStyle w:val="SpaceRegular"/>
        <w:spacing w:before="120" w:after="120" w:line="340" w:lineRule="exact"/>
        <w:rPr>
          <w:rFonts w:ascii="Calibri" w:hAnsi="Calibri" w:cs="Calibri"/>
          <w:sz w:val="22"/>
          <w:szCs w:val="22"/>
        </w:rPr>
      </w:pPr>
      <w:r w:rsidRPr="00046E00">
        <w:rPr>
          <w:rFonts w:ascii="Calibri" w:hAnsi="Calibri" w:cs="Calibri"/>
          <w:sz w:val="22"/>
          <w:szCs w:val="22"/>
        </w:rPr>
        <w:t xml:space="preserve">It is curious that the consultation paper appears to commend a “do no harm” approach, analogous to that applying to current connections for system strength. Those do no harm provisions are widely disliked and are a contributor to connection delays. The best that can be said of them is that they are a </w:t>
      </w:r>
      <w:r w:rsidR="003233B8" w:rsidRPr="00046E00">
        <w:rPr>
          <w:rFonts w:ascii="Calibri" w:hAnsi="Calibri" w:cs="Calibri"/>
          <w:sz w:val="22"/>
          <w:szCs w:val="22"/>
        </w:rPr>
        <w:t>stop</w:t>
      </w:r>
      <w:r w:rsidR="003233B8">
        <w:rPr>
          <w:rFonts w:ascii="Calibri" w:hAnsi="Calibri" w:cs="Calibri"/>
          <w:sz w:val="22"/>
          <w:szCs w:val="22"/>
        </w:rPr>
        <w:t>gap</w:t>
      </w:r>
      <w:r w:rsidRPr="00046E00">
        <w:rPr>
          <w:rFonts w:ascii="Calibri" w:hAnsi="Calibri" w:cs="Calibri"/>
          <w:sz w:val="22"/>
          <w:szCs w:val="22"/>
        </w:rPr>
        <w:t xml:space="preserve"> while enduring arrangements for ensuring adequate system strength are developed. </w:t>
      </w:r>
    </w:p>
    <w:p w14:paraId="7C39FEC6" w14:textId="7DE33CB9" w:rsidR="00046E00" w:rsidRPr="00046E00" w:rsidRDefault="00B40D1B" w:rsidP="007C1F71">
      <w:pPr>
        <w:pStyle w:val="SpaceRegular"/>
        <w:spacing w:before="120" w:after="120" w:line="340" w:lineRule="exact"/>
        <w:rPr>
          <w:rFonts w:ascii="Calibri" w:hAnsi="Calibri" w:cs="Calibri"/>
          <w:sz w:val="22"/>
          <w:szCs w:val="22"/>
        </w:rPr>
      </w:pPr>
      <w:r>
        <w:rPr>
          <w:rFonts w:ascii="Calibri" w:hAnsi="Calibri" w:cs="Calibri"/>
          <w:sz w:val="22"/>
          <w:szCs w:val="22"/>
        </w:rPr>
        <w:t xml:space="preserve">An interesting exercise is to consider how recent investment would have been impacted if </w:t>
      </w:r>
      <w:r w:rsidR="00046E00" w:rsidRPr="00046E00">
        <w:rPr>
          <w:rFonts w:ascii="Calibri" w:hAnsi="Calibri" w:cs="Calibri"/>
          <w:sz w:val="22"/>
          <w:szCs w:val="22"/>
        </w:rPr>
        <w:t xml:space="preserve">a firm access rights </w:t>
      </w:r>
      <w:r w:rsidR="003233B8">
        <w:rPr>
          <w:rFonts w:ascii="Calibri" w:hAnsi="Calibri" w:cs="Calibri"/>
          <w:sz w:val="22"/>
          <w:szCs w:val="22"/>
        </w:rPr>
        <w:t xml:space="preserve">or deep connection cost </w:t>
      </w:r>
      <w:r w:rsidR="00046E00" w:rsidRPr="00046E00">
        <w:rPr>
          <w:rFonts w:ascii="Calibri" w:hAnsi="Calibri" w:cs="Calibri"/>
          <w:sz w:val="22"/>
          <w:szCs w:val="22"/>
        </w:rPr>
        <w:t>model had been applied to the NEM at market start</w:t>
      </w:r>
      <w:r>
        <w:rPr>
          <w:rFonts w:ascii="Calibri" w:hAnsi="Calibri" w:cs="Calibri"/>
          <w:sz w:val="22"/>
          <w:szCs w:val="22"/>
        </w:rPr>
        <w:t xml:space="preserve"> but only within zones featuring large amounts of thermal generation.  Arguably,</w:t>
      </w:r>
      <w:r w:rsidR="00046E00" w:rsidRPr="00046E00">
        <w:rPr>
          <w:rFonts w:ascii="Calibri" w:hAnsi="Calibri" w:cs="Calibri"/>
          <w:sz w:val="22"/>
          <w:szCs w:val="22"/>
        </w:rPr>
        <w:t xml:space="preserve"> it would have significantly hampered the development of new generation, including new renewables</w:t>
      </w:r>
      <w:r>
        <w:rPr>
          <w:rFonts w:ascii="Calibri" w:hAnsi="Calibri" w:cs="Calibri"/>
          <w:sz w:val="22"/>
          <w:szCs w:val="22"/>
        </w:rPr>
        <w:t xml:space="preserve">, and would have been counter to the </w:t>
      </w:r>
      <w:r w:rsidR="003233B8">
        <w:rPr>
          <w:rFonts w:ascii="Calibri" w:hAnsi="Calibri" w:cs="Calibri"/>
          <w:sz w:val="22"/>
          <w:szCs w:val="22"/>
        </w:rPr>
        <w:t>long-term</w:t>
      </w:r>
      <w:r>
        <w:rPr>
          <w:rFonts w:ascii="Calibri" w:hAnsi="Calibri" w:cs="Calibri"/>
          <w:sz w:val="22"/>
          <w:szCs w:val="22"/>
        </w:rPr>
        <w:t xml:space="preserve"> interests of customers. </w:t>
      </w:r>
    </w:p>
    <w:p w14:paraId="2793DD48" w14:textId="622ABD13" w:rsidR="00046E00" w:rsidRPr="00046E00" w:rsidRDefault="00046E00" w:rsidP="007C1F71">
      <w:pPr>
        <w:pStyle w:val="SpaceRegular"/>
        <w:spacing w:before="120" w:after="120" w:line="340" w:lineRule="exact"/>
        <w:rPr>
          <w:rFonts w:ascii="Calibri" w:hAnsi="Calibri" w:cs="Calibri"/>
          <w:sz w:val="22"/>
          <w:szCs w:val="22"/>
        </w:rPr>
      </w:pPr>
      <w:r w:rsidRPr="00046E00">
        <w:rPr>
          <w:rFonts w:ascii="Calibri" w:hAnsi="Calibri" w:cs="Calibri"/>
          <w:sz w:val="22"/>
          <w:szCs w:val="22"/>
        </w:rPr>
        <w:lastRenderedPageBreak/>
        <w:t xml:space="preserve">The new region model is a puzzling option. Aside from the abolition of Snowy region, the NEM regions have been stable since market start. It’s not clear what value is added by </w:t>
      </w:r>
      <w:r w:rsidR="00BE26D1">
        <w:rPr>
          <w:rFonts w:ascii="Calibri" w:hAnsi="Calibri" w:cs="Calibri"/>
          <w:sz w:val="22"/>
          <w:szCs w:val="22"/>
        </w:rPr>
        <w:t>creating</w:t>
      </w:r>
      <w:r w:rsidRPr="00046E00">
        <w:rPr>
          <w:rFonts w:ascii="Calibri" w:hAnsi="Calibri" w:cs="Calibri"/>
          <w:sz w:val="22"/>
          <w:szCs w:val="22"/>
        </w:rPr>
        <w:t xml:space="preserve"> new </w:t>
      </w:r>
      <w:r w:rsidR="00BE26D1">
        <w:rPr>
          <w:rFonts w:ascii="Calibri" w:hAnsi="Calibri" w:cs="Calibri"/>
          <w:sz w:val="22"/>
          <w:szCs w:val="22"/>
        </w:rPr>
        <w:t>z</w:t>
      </w:r>
      <w:r w:rsidRPr="00046E00">
        <w:rPr>
          <w:rFonts w:ascii="Calibri" w:hAnsi="Calibri" w:cs="Calibri"/>
          <w:sz w:val="22"/>
          <w:szCs w:val="22"/>
        </w:rPr>
        <w:t xml:space="preserve">ones each time a REZ is created. It doesn’t improve physical congestion in any way, and so underlying constraints are not addressed. It threatens to disrupt the contract market, especially given the loads served will largely be outside these new regions. Of course, interregional settlement revenue will help, but only up to a point. </w:t>
      </w:r>
    </w:p>
    <w:p w14:paraId="6E9CD072" w14:textId="27C5699A" w:rsidR="00046E00" w:rsidRPr="00046E00" w:rsidRDefault="00046E00" w:rsidP="007C1F71">
      <w:pPr>
        <w:pStyle w:val="SpaceRegular"/>
        <w:spacing w:before="120" w:after="120" w:line="340" w:lineRule="exact"/>
        <w:rPr>
          <w:rFonts w:ascii="Calibri" w:hAnsi="Calibri" w:cs="Calibri"/>
          <w:sz w:val="22"/>
          <w:szCs w:val="22"/>
        </w:rPr>
      </w:pPr>
      <w:r w:rsidRPr="00046E00">
        <w:rPr>
          <w:rFonts w:ascii="Calibri" w:hAnsi="Calibri" w:cs="Calibri"/>
          <w:sz w:val="22"/>
          <w:szCs w:val="22"/>
        </w:rPr>
        <w:t xml:space="preserve">Thus, if there was a push to create additional zones, these should be </w:t>
      </w:r>
      <w:r w:rsidR="003233B8" w:rsidRPr="00046E00">
        <w:rPr>
          <w:rFonts w:ascii="Calibri" w:hAnsi="Calibri" w:cs="Calibri"/>
          <w:sz w:val="22"/>
          <w:szCs w:val="22"/>
        </w:rPr>
        <w:t>determined</w:t>
      </w:r>
      <w:r w:rsidRPr="00046E00">
        <w:rPr>
          <w:rFonts w:ascii="Calibri" w:hAnsi="Calibri" w:cs="Calibri"/>
          <w:sz w:val="22"/>
          <w:szCs w:val="22"/>
        </w:rPr>
        <w:t xml:space="preserve"> by the physics that applies to the entire network, regardless of state boundaries, not the </w:t>
      </w:r>
      <w:r w:rsidR="00BE26D1">
        <w:rPr>
          <w:rFonts w:ascii="Calibri" w:hAnsi="Calibri" w:cs="Calibri"/>
          <w:sz w:val="22"/>
          <w:szCs w:val="22"/>
        </w:rPr>
        <w:t>arbitrary</w:t>
      </w:r>
      <w:r w:rsidRPr="00046E00">
        <w:rPr>
          <w:rFonts w:ascii="Calibri" w:hAnsi="Calibri" w:cs="Calibri"/>
          <w:sz w:val="22"/>
          <w:szCs w:val="22"/>
        </w:rPr>
        <w:t xml:space="preserve"> boundaries </w:t>
      </w:r>
      <w:r w:rsidR="00BE26D1">
        <w:rPr>
          <w:rFonts w:ascii="Calibri" w:hAnsi="Calibri" w:cs="Calibri"/>
          <w:sz w:val="22"/>
          <w:szCs w:val="22"/>
        </w:rPr>
        <w:t>created for</w:t>
      </w:r>
      <w:r w:rsidRPr="00046E00">
        <w:rPr>
          <w:rFonts w:ascii="Calibri" w:hAnsi="Calibri" w:cs="Calibri"/>
          <w:sz w:val="22"/>
          <w:szCs w:val="22"/>
        </w:rPr>
        <w:t xml:space="preserve"> REZs.</w:t>
      </w:r>
    </w:p>
    <w:p w14:paraId="10F59596" w14:textId="4FDF7D47" w:rsidR="00046E00" w:rsidRPr="00046E00" w:rsidRDefault="00046E00" w:rsidP="007C1F71">
      <w:pPr>
        <w:pStyle w:val="SpaceRegular"/>
        <w:spacing w:before="120" w:after="120" w:line="340" w:lineRule="exact"/>
        <w:rPr>
          <w:rFonts w:ascii="Calibri" w:hAnsi="Calibri" w:cs="Calibri"/>
          <w:sz w:val="22"/>
          <w:szCs w:val="22"/>
        </w:rPr>
      </w:pPr>
      <w:r w:rsidRPr="00046E00">
        <w:rPr>
          <w:rFonts w:ascii="Calibri" w:hAnsi="Calibri" w:cs="Calibri"/>
          <w:sz w:val="22"/>
          <w:szCs w:val="22"/>
        </w:rPr>
        <w:t>Finally, the</w:t>
      </w:r>
      <w:r w:rsidR="003233B8">
        <w:rPr>
          <w:rFonts w:ascii="Calibri" w:hAnsi="Calibri" w:cs="Calibri"/>
          <w:sz w:val="22"/>
          <w:szCs w:val="22"/>
        </w:rPr>
        <w:t xml:space="preserve"> financial transmission rights</w:t>
      </w:r>
      <w:r w:rsidRPr="00046E00">
        <w:rPr>
          <w:rFonts w:ascii="Calibri" w:hAnsi="Calibri" w:cs="Calibri"/>
          <w:sz w:val="22"/>
          <w:szCs w:val="22"/>
        </w:rPr>
        <w:t xml:space="preserve"> model, is as the consultation paper notes, the most complex. The attractions and issues wi</w:t>
      </w:r>
      <w:r w:rsidR="003233B8">
        <w:rPr>
          <w:rFonts w:ascii="Calibri" w:hAnsi="Calibri" w:cs="Calibri"/>
          <w:sz w:val="22"/>
          <w:szCs w:val="22"/>
        </w:rPr>
        <w:t>th this model r</w:t>
      </w:r>
      <w:r w:rsidRPr="00046E00">
        <w:rPr>
          <w:rFonts w:ascii="Calibri" w:hAnsi="Calibri" w:cs="Calibri"/>
          <w:sz w:val="22"/>
          <w:szCs w:val="22"/>
        </w:rPr>
        <w:t xml:space="preserve">emain the same as when </w:t>
      </w:r>
      <w:r w:rsidR="003233B8">
        <w:rPr>
          <w:rFonts w:ascii="Calibri" w:hAnsi="Calibri" w:cs="Calibri"/>
          <w:sz w:val="22"/>
          <w:szCs w:val="22"/>
        </w:rPr>
        <w:t>it</w:t>
      </w:r>
      <w:r w:rsidRPr="00046E00">
        <w:rPr>
          <w:rFonts w:ascii="Calibri" w:hAnsi="Calibri" w:cs="Calibri"/>
          <w:sz w:val="22"/>
          <w:szCs w:val="22"/>
        </w:rPr>
        <w:t xml:space="preserve"> was canvased as a NEM-wide solution by the AEMC under COGATI, and so there is no need to rehearse them here. However, the proposal to implement them only in REZs means that most of the cost and the disruption to contracting arrangements will be incurred, with only a portion of the benefits, since the reforms will only apply to a portion of the grid, and then potentially only for a transitional period if they are superseded by revised NEM-wide access arrangements.</w:t>
      </w:r>
    </w:p>
    <w:p w14:paraId="38784BD2" w14:textId="77777777" w:rsidR="00046E00" w:rsidRPr="00046E00" w:rsidRDefault="00046E00" w:rsidP="007C1F71">
      <w:pPr>
        <w:pStyle w:val="SpaceRegular"/>
        <w:spacing w:before="120" w:after="120" w:line="340" w:lineRule="exact"/>
        <w:rPr>
          <w:rFonts w:ascii="Calibri" w:hAnsi="Calibri" w:cs="Calibri"/>
          <w:sz w:val="22"/>
          <w:szCs w:val="22"/>
        </w:rPr>
      </w:pPr>
      <w:r w:rsidRPr="00046E00">
        <w:rPr>
          <w:rFonts w:ascii="Calibri" w:hAnsi="Calibri" w:cs="Calibri"/>
          <w:sz w:val="22"/>
          <w:szCs w:val="22"/>
        </w:rPr>
        <w:t>ENGIE is still under the impression that there is an intent to implement NEM-wide access reform post 2025. Given the time it will take to develop REZs, there may be little if any gap between REZs becoming operational and access reform. In this case, bespoke transitional arrangements for REZs seem of little value. Conversely, if the Board now considers access reform to be delayed for some time, then these transitional arrangements risk becoming enduring by default, and there will be an ongoing mismatch between the treatment of generators inside REZs and those outside.</w:t>
      </w:r>
    </w:p>
    <w:p w14:paraId="2A124630" w14:textId="77777777" w:rsidR="00046E00" w:rsidRPr="00046E00" w:rsidRDefault="00046E00" w:rsidP="007C1F71">
      <w:pPr>
        <w:pStyle w:val="SpaceRegular"/>
        <w:spacing w:before="120" w:after="120" w:line="340" w:lineRule="exact"/>
        <w:rPr>
          <w:rFonts w:ascii="Calibri" w:hAnsi="Calibri" w:cs="Calibri"/>
          <w:b/>
          <w:bCs/>
          <w:sz w:val="22"/>
          <w:szCs w:val="22"/>
        </w:rPr>
      </w:pPr>
      <w:r w:rsidRPr="00046E00">
        <w:rPr>
          <w:rFonts w:ascii="Calibri" w:hAnsi="Calibri" w:cs="Calibri"/>
          <w:b/>
          <w:bCs/>
          <w:sz w:val="22"/>
          <w:szCs w:val="22"/>
        </w:rPr>
        <w:t>Preferred approach</w:t>
      </w:r>
    </w:p>
    <w:p w14:paraId="1A1B5E01" w14:textId="307CB27C" w:rsidR="00046E00" w:rsidRPr="00046E00" w:rsidRDefault="00046E00" w:rsidP="007C1F71">
      <w:pPr>
        <w:pStyle w:val="SpaceRegular"/>
        <w:spacing w:before="120" w:after="120" w:line="340" w:lineRule="exact"/>
        <w:rPr>
          <w:rFonts w:ascii="Calibri" w:hAnsi="Calibri" w:cs="Calibri"/>
          <w:sz w:val="22"/>
          <w:szCs w:val="22"/>
        </w:rPr>
      </w:pPr>
      <w:r w:rsidRPr="00046E00">
        <w:rPr>
          <w:rFonts w:ascii="Calibri" w:hAnsi="Calibri" w:cs="Calibri"/>
          <w:sz w:val="22"/>
          <w:szCs w:val="22"/>
        </w:rPr>
        <w:t>The open access regime should continue until enduring transmission reform can be implemented NEM-wide. This means project proponents will be subject to the same risks, and be required to assess those risks, in the same manner as renewable energy projects outside of REZs but with the benefits of expected lower connection costs and more coordinated connection processe</w:t>
      </w:r>
      <w:r w:rsidR="007C1F71">
        <w:rPr>
          <w:rFonts w:ascii="Calibri" w:hAnsi="Calibri" w:cs="Calibri"/>
          <w:sz w:val="22"/>
          <w:szCs w:val="22"/>
        </w:rPr>
        <w:t>s</w:t>
      </w:r>
      <w:r w:rsidRPr="00046E00">
        <w:rPr>
          <w:rFonts w:ascii="Calibri" w:hAnsi="Calibri" w:cs="Calibri"/>
          <w:sz w:val="22"/>
          <w:szCs w:val="22"/>
        </w:rPr>
        <w:t>.  This is consistent with the open access regime and also the desire to expedite REZ development.</w:t>
      </w:r>
    </w:p>
    <w:p w14:paraId="26F2198B" w14:textId="3AD80D7F" w:rsidR="00046E00" w:rsidRPr="00046E00" w:rsidRDefault="00046E00" w:rsidP="007C1F71">
      <w:pPr>
        <w:pStyle w:val="SpaceRegular"/>
        <w:spacing w:before="120" w:after="120" w:line="340" w:lineRule="exact"/>
        <w:rPr>
          <w:rFonts w:ascii="Calibri" w:hAnsi="Calibri" w:cs="Calibri"/>
          <w:sz w:val="22"/>
          <w:szCs w:val="22"/>
        </w:rPr>
      </w:pPr>
      <w:r w:rsidRPr="00046E00">
        <w:rPr>
          <w:rFonts w:ascii="Calibri" w:hAnsi="Calibri" w:cs="Calibri"/>
          <w:sz w:val="22"/>
          <w:szCs w:val="22"/>
        </w:rPr>
        <w:t>The exception is the current process to implement shared dedicated network connection assets. This approach -even if it is not applicable to all REZ configurations – more neatly solves many of the issues than any of the four models, including sparing customers the risk of funding underutilised assets; allowing generators to pay for the access they desire (at least to the shared network boundary, which is all the other models can offer); streamlining connection; and</w:t>
      </w:r>
      <w:r w:rsidR="007C1F71">
        <w:rPr>
          <w:rFonts w:ascii="Calibri" w:hAnsi="Calibri" w:cs="Calibri"/>
          <w:sz w:val="22"/>
          <w:szCs w:val="22"/>
        </w:rPr>
        <w:t>,</w:t>
      </w:r>
      <w:r w:rsidRPr="00046E00">
        <w:rPr>
          <w:rFonts w:ascii="Calibri" w:hAnsi="Calibri" w:cs="Calibri"/>
          <w:sz w:val="22"/>
          <w:szCs w:val="22"/>
        </w:rPr>
        <w:t xml:space="preserve"> facilitating a co-ordinated approach.</w:t>
      </w:r>
    </w:p>
    <w:p w14:paraId="30CAA06B" w14:textId="77777777" w:rsidR="00046E00" w:rsidRPr="00046E00" w:rsidRDefault="00046E00" w:rsidP="007C1F71">
      <w:pPr>
        <w:pStyle w:val="SpaceRegular"/>
        <w:spacing w:before="120" w:after="120" w:line="340" w:lineRule="exact"/>
        <w:rPr>
          <w:rFonts w:ascii="Calibri" w:hAnsi="Calibri" w:cs="Calibri"/>
          <w:b/>
          <w:bCs/>
          <w:sz w:val="22"/>
          <w:szCs w:val="22"/>
        </w:rPr>
      </w:pPr>
      <w:r w:rsidRPr="00046E00">
        <w:rPr>
          <w:rFonts w:ascii="Calibri" w:hAnsi="Calibri" w:cs="Calibri"/>
          <w:b/>
          <w:bCs/>
          <w:sz w:val="22"/>
          <w:szCs w:val="22"/>
        </w:rPr>
        <w:t>Transitional arrangements should not disadvantage committed projects</w:t>
      </w:r>
    </w:p>
    <w:p w14:paraId="2C2BDFB9" w14:textId="7231B995" w:rsidR="00046E00" w:rsidRPr="00046E00" w:rsidRDefault="00046E00" w:rsidP="007C1F71">
      <w:pPr>
        <w:pStyle w:val="SpaceRegular"/>
        <w:spacing w:before="120" w:after="120" w:line="340" w:lineRule="exact"/>
        <w:rPr>
          <w:rFonts w:ascii="Calibri" w:hAnsi="Calibri" w:cs="Calibri"/>
          <w:sz w:val="22"/>
          <w:szCs w:val="22"/>
        </w:rPr>
      </w:pPr>
      <w:r w:rsidRPr="00046E00">
        <w:rPr>
          <w:rFonts w:ascii="Calibri" w:hAnsi="Calibri" w:cs="Calibri"/>
          <w:sz w:val="22"/>
          <w:szCs w:val="22"/>
        </w:rPr>
        <w:t xml:space="preserve">ENGIE agrees that there needs to be a cut-off point for the application of any new arrangements. The proposal in the consultation paper that “Generators that have already reached a certain level of certainty (for instance, they </w:t>
      </w:r>
      <w:r w:rsidRPr="00046E00">
        <w:rPr>
          <w:rFonts w:ascii="Calibri" w:hAnsi="Calibri" w:cs="Calibri"/>
          <w:sz w:val="22"/>
          <w:szCs w:val="22"/>
        </w:rPr>
        <w:lastRenderedPageBreak/>
        <w:t>are a committed project) at the time that the decision to proceed with a REZ stage is made would be treated as if they are already there for the purposes of the REZ planning framework</w:t>
      </w:r>
      <w:r w:rsidRPr="00046E00">
        <w:rPr>
          <w:rStyle w:val="FootnoteReference"/>
          <w:rFonts w:ascii="Calibri" w:hAnsi="Calibri" w:cs="Calibri"/>
          <w:sz w:val="22"/>
          <w:szCs w:val="22"/>
        </w:rPr>
        <w:footnoteReference w:id="1"/>
      </w:r>
      <w:r w:rsidRPr="00046E00">
        <w:rPr>
          <w:rFonts w:ascii="Calibri" w:hAnsi="Calibri" w:cs="Calibri"/>
          <w:sz w:val="22"/>
          <w:szCs w:val="22"/>
        </w:rPr>
        <w:t>”.</w:t>
      </w:r>
    </w:p>
    <w:p w14:paraId="4A4B60E2" w14:textId="678CFB3F" w:rsidR="00920191" w:rsidRPr="00046E00" w:rsidRDefault="00920191" w:rsidP="007C1F71">
      <w:pPr>
        <w:pStyle w:val="SpaceLarge"/>
        <w:spacing w:before="120" w:after="120" w:line="340" w:lineRule="exact"/>
        <w:rPr>
          <w:rFonts w:ascii="Calibri" w:hAnsi="Calibri" w:cs="Calibri"/>
          <w:sz w:val="22"/>
          <w:szCs w:val="22"/>
        </w:rPr>
      </w:pPr>
      <w:r w:rsidRPr="00046E00">
        <w:rPr>
          <w:rFonts w:ascii="Calibri" w:hAnsi="Calibri" w:cs="Calibri"/>
          <w:sz w:val="22"/>
          <w:szCs w:val="22"/>
        </w:rPr>
        <w:t>Should you have any queries in relation to this submission please do not hesitate to contact me on</w:t>
      </w:r>
      <w:r w:rsidR="000B3139" w:rsidRPr="00046E00">
        <w:rPr>
          <w:rFonts w:ascii="Calibri" w:hAnsi="Calibri" w:cs="Calibri"/>
          <w:sz w:val="22"/>
          <w:szCs w:val="22"/>
        </w:rPr>
        <w:t>, telephone,</w:t>
      </w:r>
      <w:r w:rsidRPr="00046E00">
        <w:rPr>
          <w:rFonts w:ascii="Calibri" w:hAnsi="Calibri" w:cs="Calibri"/>
          <w:sz w:val="22"/>
          <w:szCs w:val="22"/>
        </w:rPr>
        <w:t xml:space="preserve"> (03) 9617 8415.</w:t>
      </w:r>
    </w:p>
    <w:p w14:paraId="48D0A26E" w14:textId="3C98279B" w:rsidR="00920191" w:rsidRPr="00046E00" w:rsidRDefault="00920191" w:rsidP="007C1F71">
      <w:pPr>
        <w:spacing w:before="120" w:line="340" w:lineRule="exact"/>
        <w:rPr>
          <w:rFonts w:ascii="Calibri" w:hAnsi="Calibri" w:cs="Calibri"/>
          <w:sz w:val="22"/>
          <w:szCs w:val="22"/>
          <w:lang w:val="en-US"/>
        </w:rPr>
      </w:pPr>
      <w:r w:rsidRPr="00046E00">
        <w:rPr>
          <w:rFonts w:ascii="Calibri" w:hAnsi="Calibri" w:cs="Calibri"/>
          <w:sz w:val="22"/>
          <w:szCs w:val="22"/>
        </w:rPr>
        <w:t>Yours sincerely,</w:t>
      </w:r>
    </w:p>
    <w:p w14:paraId="06F4381F" w14:textId="34344418" w:rsidR="00920191" w:rsidRPr="00046E00" w:rsidRDefault="00DD45FA" w:rsidP="007C1F71">
      <w:pPr>
        <w:pStyle w:val="SpaceLarge"/>
        <w:spacing w:before="120" w:after="120" w:line="340" w:lineRule="exact"/>
        <w:rPr>
          <w:rFonts w:ascii="Calibri" w:hAnsi="Calibri" w:cs="Calibri"/>
          <w:sz w:val="22"/>
          <w:szCs w:val="22"/>
        </w:rPr>
      </w:pPr>
      <w:r w:rsidRPr="00046E00">
        <w:rPr>
          <w:rFonts w:ascii="Calibri" w:hAnsi="Calibri" w:cs="Calibri"/>
          <w:noProof/>
          <w:sz w:val="22"/>
          <w:szCs w:val="22"/>
        </w:rPr>
        <w:drawing>
          <wp:anchor distT="0" distB="0" distL="114300" distR="114300" simplePos="0" relativeHeight="251658240" behindDoc="0" locked="0" layoutInCell="1" allowOverlap="1" wp14:anchorId="529BA5EA" wp14:editId="506EA69A">
            <wp:simplePos x="0" y="0"/>
            <wp:positionH relativeFrom="margin">
              <wp:align>left</wp:align>
            </wp:positionH>
            <wp:positionV relativeFrom="paragraph">
              <wp:posOffset>44450</wp:posOffset>
            </wp:positionV>
            <wp:extent cx="1343660" cy="781050"/>
            <wp:effectExtent l="0" t="0" r="8890" b="0"/>
            <wp:wrapSquare wrapText="bothSides"/>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ignature.bmp"/>
                    <pic:cNvPicPr/>
                  </pic:nvPicPr>
                  <pic:blipFill>
                    <a:blip r:embed="rId13"/>
                    <a:stretch>
                      <a:fillRect/>
                    </a:stretch>
                  </pic:blipFill>
                  <pic:spPr>
                    <a:xfrm>
                      <a:off x="0" y="0"/>
                      <a:ext cx="1343660" cy="781050"/>
                    </a:xfrm>
                    <a:prstGeom prst="rect">
                      <a:avLst/>
                    </a:prstGeom>
                  </pic:spPr>
                </pic:pic>
              </a:graphicData>
            </a:graphic>
            <wp14:sizeRelH relativeFrom="margin">
              <wp14:pctWidth>0</wp14:pctWidth>
            </wp14:sizeRelH>
            <wp14:sizeRelV relativeFrom="margin">
              <wp14:pctHeight>0</wp14:pctHeight>
            </wp14:sizeRelV>
          </wp:anchor>
        </w:drawing>
      </w:r>
    </w:p>
    <w:p w14:paraId="0E5357B3" w14:textId="0B637F92" w:rsidR="00920191" w:rsidRPr="00046E00" w:rsidRDefault="00920191" w:rsidP="007C1F71">
      <w:pPr>
        <w:pStyle w:val="SpaceLarge"/>
        <w:spacing w:before="120" w:after="120" w:line="340" w:lineRule="exact"/>
        <w:rPr>
          <w:rFonts w:ascii="Calibri" w:hAnsi="Calibri" w:cs="Calibri"/>
          <w:sz w:val="22"/>
          <w:szCs w:val="22"/>
        </w:rPr>
      </w:pPr>
    </w:p>
    <w:p w14:paraId="7EF33639" w14:textId="122C297F" w:rsidR="006C4744" w:rsidRPr="00046E00" w:rsidRDefault="007058EE" w:rsidP="007C1F71">
      <w:pPr>
        <w:spacing w:before="120" w:line="340" w:lineRule="exact"/>
        <w:rPr>
          <w:rFonts w:ascii="Calibri" w:hAnsi="Calibri" w:cs="Calibri"/>
          <w:b/>
          <w:sz w:val="22"/>
          <w:szCs w:val="22"/>
        </w:rPr>
      </w:pPr>
      <w:r w:rsidRPr="00046E00">
        <w:rPr>
          <w:rFonts w:ascii="Calibri" w:hAnsi="Calibri" w:cs="Calibri"/>
          <w:b/>
          <w:sz w:val="22"/>
          <w:szCs w:val="22"/>
        </w:rPr>
        <w:br/>
      </w:r>
      <w:r w:rsidRPr="00046E00">
        <w:rPr>
          <w:rFonts w:ascii="Calibri" w:hAnsi="Calibri" w:cs="Calibri"/>
          <w:b/>
          <w:sz w:val="22"/>
          <w:szCs w:val="22"/>
        </w:rPr>
        <w:br/>
      </w:r>
      <w:r w:rsidR="00920191" w:rsidRPr="00046E00">
        <w:rPr>
          <w:rFonts w:ascii="Calibri" w:hAnsi="Calibri" w:cs="Calibri"/>
          <w:b/>
          <w:sz w:val="22"/>
          <w:szCs w:val="22"/>
        </w:rPr>
        <w:t xml:space="preserve">Jamie Lowe </w:t>
      </w:r>
      <w:r w:rsidR="00920191" w:rsidRPr="00046E00">
        <w:rPr>
          <w:rFonts w:ascii="Calibri" w:hAnsi="Calibri" w:cs="Calibri"/>
          <w:b/>
          <w:sz w:val="22"/>
          <w:szCs w:val="22"/>
        </w:rPr>
        <w:br/>
      </w:r>
      <w:r w:rsidR="00920191" w:rsidRPr="00046E00">
        <w:rPr>
          <w:rFonts w:ascii="Calibri" w:hAnsi="Calibri" w:cs="Calibri"/>
          <w:sz w:val="22"/>
          <w:szCs w:val="22"/>
        </w:rPr>
        <w:t>Head of Regulation</w:t>
      </w:r>
      <w:r w:rsidR="004D386D" w:rsidRPr="00046E00">
        <w:rPr>
          <w:rFonts w:ascii="Calibri" w:hAnsi="Calibri" w:cs="Calibri"/>
          <w:sz w:val="22"/>
          <w:szCs w:val="22"/>
        </w:rPr>
        <w:t>,</w:t>
      </w:r>
      <w:r w:rsidR="004D386D" w:rsidRPr="00046E00">
        <w:rPr>
          <w:rFonts w:ascii="Calibri" w:hAnsi="Calibri" w:cs="Calibri"/>
          <w:sz w:val="22"/>
          <w:szCs w:val="22"/>
        </w:rPr>
        <w:br/>
        <w:t xml:space="preserve">Compliance and Sustainability </w:t>
      </w:r>
    </w:p>
    <w:sectPr w:rsidR="006C4744" w:rsidRPr="00046E00" w:rsidSect="00E32FB7">
      <w:footerReference w:type="default" r:id="rId14"/>
      <w:headerReference w:type="first" r:id="rId15"/>
      <w:footerReference w:type="first" r:id="rId16"/>
      <w:type w:val="continuous"/>
      <w:pgSz w:w="11904" w:h="16838" w:code="9"/>
      <w:pgMar w:top="1701" w:right="851" w:bottom="1560" w:left="851" w:header="2098" w:footer="909" w:gutter="0"/>
      <w:cols w:space="709"/>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721E85" w14:textId="77777777" w:rsidR="008D7043" w:rsidRDefault="008D7043">
      <w:pPr>
        <w:spacing w:line="240" w:lineRule="auto"/>
      </w:pPr>
      <w:r>
        <w:separator/>
      </w:r>
    </w:p>
  </w:endnote>
  <w:endnote w:type="continuationSeparator" w:id="0">
    <w:p w14:paraId="102E51E7" w14:textId="77777777" w:rsidR="008D7043" w:rsidRDefault="008D70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DelargoDTInformal">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70B50B" w14:textId="77777777" w:rsidR="00F41BD7" w:rsidRPr="004A40F3" w:rsidRDefault="00F41BD7" w:rsidP="006D09E7">
    <w:pPr>
      <w:pStyle w:val="Reference"/>
      <w:tabs>
        <w:tab w:val="right" w:pos="9639"/>
      </w:tabs>
      <w:rPr>
        <w:sz w:val="12"/>
        <w:szCs w:val="12"/>
        <w:lang w:val="en-US"/>
      </w:rPr>
    </w:pPr>
    <w:r>
      <w:rPr>
        <w:sz w:val="12"/>
        <w:szCs w:val="12"/>
        <w:lang w:val="en-US"/>
      </w:rPr>
      <w:tab/>
    </w:r>
    <w:r w:rsidRPr="004A40F3">
      <w:rPr>
        <w:sz w:val="12"/>
        <w:szCs w:val="12"/>
        <w:lang w:val="en-US"/>
      </w:rPr>
      <w:t xml:space="preserve">Page </w:t>
    </w:r>
    <w:r w:rsidRPr="004A40F3">
      <w:rPr>
        <w:sz w:val="12"/>
        <w:szCs w:val="12"/>
        <w:lang w:val="en-US"/>
      </w:rPr>
      <w:fldChar w:fldCharType="begin"/>
    </w:r>
    <w:r w:rsidRPr="004A40F3">
      <w:rPr>
        <w:sz w:val="12"/>
        <w:szCs w:val="12"/>
        <w:lang w:val="en-US"/>
      </w:rPr>
      <w:instrText xml:space="preserve"> PAGE  \* Arabic  \* MERGEFORMAT </w:instrText>
    </w:r>
    <w:r w:rsidRPr="004A40F3">
      <w:rPr>
        <w:sz w:val="12"/>
        <w:szCs w:val="12"/>
        <w:lang w:val="en-US"/>
      </w:rPr>
      <w:fldChar w:fldCharType="separate"/>
    </w:r>
    <w:r>
      <w:rPr>
        <w:noProof/>
        <w:sz w:val="12"/>
        <w:szCs w:val="12"/>
        <w:lang w:val="en-US"/>
      </w:rPr>
      <w:t>2</w:t>
    </w:r>
    <w:r w:rsidRPr="004A40F3">
      <w:rPr>
        <w:sz w:val="12"/>
        <w:szCs w:val="12"/>
        <w:lang w:val="en-US"/>
      </w:rPr>
      <w:fldChar w:fldCharType="end"/>
    </w:r>
    <w:r w:rsidRPr="004A40F3">
      <w:rPr>
        <w:sz w:val="12"/>
        <w:szCs w:val="12"/>
        <w:lang w:val="en-US"/>
      </w:rPr>
      <w:t xml:space="preserve"> of </w:t>
    </w:r>
    <w:r w:rsidRPr="004A40F3">
      <w:rPr>
        <w:sz w:val="12"/>
        <w:szCs w:val="12"/>
        <w:lang w:val="en-US"/>
      </w:rPr>
      <w:fldChar w:fldCharType="begin"/>
    </w:r>
    <w:r w:rsidRPr="004A40F3">
      <w:rPr>
        <w:sz w:val="12"/>
        <w:szCs w:val="12"/>
        <w:lang w:val="en-US"/>
      </w:rPr>
      <w:instrText xml:space="preserve"> NUMPAGES  \* Arabic  \* MERGEFORMAT </w:instrText>
    </w:r>
    <w:r w:rsidRPr="004A40F3">
      <w:rPr>
        <w:sz w:val="12"/>
        <w:szCs w:val="12"/>
        <w:lang w:val="en-US"/>
      </w:rPr>
      <w:fldChar w:fldCharType="separate"/>
    </w:r>
    <w:r>
      <w:rPr>
        <w:noProof/>
        <w:sz w:val="12"/>
        <w:szCs w:val="12"/>
        <w:lang w:val="en-US"/>
      </w:rPr>
      <w:t>9</w:t>
    </w:r>
    <w:r w:rsidRPr="004A40F3">
      <w:rPr>
        <w:sz w:val="12"/>
        <w:szCs w:val="12"/>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B74F85" w14:textId="77777777" w:rsidR="00F41BD7" w:rsidRDefault="00F41BD7"/>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01"/>
      <w:gridCol w:w="5101"/>
    </w:tblGrid>
    <w:tr w:rsidR="00F41BD7" w14:paraId="5AF78844" w14:textId="77777777" w:rsidTr="00402B9D">
      <w:trPr>
        <w:trHeight w:val="918"/>
      </w:trPr>
      <w:tc>
        <w:tcPr>
          <w:tcW w:w="5101" w:type="dxa"/>
          <w:vMerge w:val="restart"/>
          <w:vAlign w:val="bottom"/>
        </w:tcPr>
        <w:p w14:paraId="01728640" w14:textId="77777777" w:rsidR="00F41BD7" w:rsidRPr="00E02433" w:rsidRDefault="00F41BD7" w:rsidP="00402B9D">
          <w:pPr>
            <w:pStyle w:val="Footer"/>
            <w:tabs>
              <w:tab w:val="clear" w:pos="4536"/>
              <w:tab w:val="clear" w:pos="9072"/>
            </w:tabs>
            <w:spacing w:after="0" w:line="200" w:lineRule="exact"/>
            <w:rPr>
              <w:rFonts w:ascii="Arial" w:hAnsi="Arial" w:cs="Arial"/>
              <w:b/>
              <w:color w:val="00AAFF"/>
              <w:sz w:val="18"/>
              <w:szCs w:val="18"/>
            </w:rPr>
          </w:pPr>
          <w:r w:rsidRPr="0052690D">
            <w:rPr>
              <w:rFonts w:ascii="Arial" w:hAnsi="Arial" w:cs="Arial"/>
              <w:b/>
              <w:color w:val="00AAFF"/>
              <w:sz w:val="18"/>
              <w:szCs w:val="18"/>
            </w:rPr>
            <w:t>Australia</w:t>
          </w:r>
        </w:p>
        <w:p w14:paraId="2194EC11" w14:textId="77777777" w:rsidR="00F41BD7" w:rsidRPr="0052690D" w:rsidRDefault="00F41BD7" w:rsidP="0052690D">
          <w:pPr>
            <w:pStyle w:val="Footer"/>
            <w:spacing w:after="0" w:line="200" w:lineRule="exact"/>
            <w:rPr>
              <w:rFonts w:ascii="Arial" w:hAnsi="Arial" w:cs="Arial"/>
              <w:color w:val="82A0AF"/>
              <w:sz w:val="16"/>
              <w:szCs w:val="16"/>
            </w:rPr>
          </w:pPr>
          <w:r w:rsidRPr="0052690D">
            <w:rPr>
              <w:rFonts w:ascii="Arial" w:hAnsi="Arial" w:cs="Arial"/>
              <w:color w:val="82A0AF"/>
              <w:sz w:val="16"/>
              <w:szCs w:val="16"/>
            </w:rPr>
            <w:t>Level 33, Rialto South Tower,</w:t>
          </w:r>
        </w:p>
        <w:p w14:paraId="6930FF19" w14:textId="77777777" w:rsidR="00F41BD7" w:rsidRPr="0052690D" w:rsidRDefault="00F41BD7" w:rsidP="0052690D">
          <w:pPr>
            <w:pStyle w:val="Footer"/>
            <w:spacing w:after="0" w:line="200" w:lineRule="exact"/>
            <w:rPr>
              <w:rFonts w:ascii="Arial" w:hAnsi="Arial" w:cs="Arial"/>
              <w:color w:val="82A0AF"/>
              <w:sz w:val="16"/>
              <w:szCs w:val="16"/>
            </w:rPr>
          </w:pPr>
          <w:r w:rsidRPr="0052690D">
            <w:rPr>
              <w:rFonts w:ascii="Arial" w:hAnsi="Arial" w:cs="Arial"/>
              <w:color w:val="82A0AF"/>
              <w:sz w:val="16"/>
              <w:szCs w:val="16"/>
            </w:rPr>
            <w:t>525 Collins Street Melbourne, Victoria 3000, Australia</w:t>
          </w:r>
        </w:p>
        <w:p w14:paraId="17B74CE5" w14:textId="3CF486FA" w:rsidR="00F41BD7" w:rsidRDefault="00F41BD7" w:rsidP="0052690D">
          <w:pPr>
            <w:pStyle w:val="Footer"/>
            <w:tabs>
              <w:tab w:val="clear" w:pos="4536"/>
              <w:tab w:val="clear" w:pos="9072"/>
            </w:tabs>
            <w:spacing w:after="0" w:line="200" w:lineRule="exact"/>
            <w:rPr>
              <w:rFonts w:ascii="Arial" w:hAnsi="Arial" w:cs="Arial"/>
              <w:color w:val="595959" w:themeColor="text1" w:themeTint="A6"/>
              <w:sz w:val="16"/>
            </w:rPr>
          </w:pPr>
          <w:r w:rsidRPr="0052690D">
            <w:rPr>
              <w:rFonts w:ascii="Arial" w:hAnsi="Arial" w:cs="Arial"/>
              <w:color w:val="82A0AF"/>
              <w:sz w:val="16"/>
              <w:szCs w:val="16"/>
            </w:rPr>
            <w:t>Tel. +61 (0)3 9617 8400</w:t>
          </w:r>
          <w:r>
            <w:rPr>
              <w:rFonts w:ascii="Arial" w:hAnsi="Arial" w:cs="Arial"/>
              <w:color w:val="82A0AF"/>
              <w:sz w:val="16"/>
              <w:szCs w:val="16"/>
            </w:rPr>
            <w:t xml:space="preserve"> </w:t>
          </w:r>
          <w:r w:rsidRPr="0052690D">
            <w:rPr>
              <w:rFonts w:ascii="Arial" w:hAnsi="Arial" w:cs="Arial"/>
              <w:color w:val="82A0AF"/>
              <w:sz w:val="16"/>
              <w:szCs w:val="16"/>
            </w:rPr>
            <w:t xml:space="preserve"> Fax +61 (0)3 9617 8401</w:t>
          </w:r>
          <w:r w:rsidRPr="00CB7BAF">
            <w:rPr>
              <w:rFonts w:ascii="Arial" w:hAnsi="Arial" w:cs="Arial"/>
              <w:color w:val="595959" w:themeColor="text1" w:themeTint="A6"/>
              <w:sz w:val="16"/>
              <w:szCs w:val="16"/>
            </w:rPr>
            <w:t xml:space="preserve">   </w:t>
          </w:r>
          <w:r w:rsidR="006211C6">
            <w:rPr>
              <w:rFonts w:ascii="Arial" w:hAnsi="Arial" w:cs="Arial"/>
              <w:color w:val="00AAFF"/>
              <w:sz w:val="16"/>
              <w:szCs w:val="16"/>
            </w:rPr>
            <w:t>ENGIE</w:t>
          </w:r>
          <w:r w:rsidRPr="00CB7BAF">
            <w:rPr>
              <w:rFonts w:ascii="Arial" w:hAnsi="Arial" w:cs="Arial"/>
              <w:color w:val="00AAFF"/>
              <w:sz w:val="16"/>
              <w:szCs w:val="16"/>
            </w:rPr>
            <w:t>.com</w:t>
          </w:r>
          <w:r>
            <w:rPr>
              <w:rFonts w:ascii="Arial" w:hAnsi="Arial" w:cs="Arial"/>
              <w:color w:val="00AAFF"/>
              <w:sz w:val="16"/>
              <w:szCs w:val="16"/>
            </w:rPr>
            <w:t>.au</w:t>
          </w:r>
        </w:p>
        <w:p w14:paraId="6E0DB113" w14:textId="77777777" w:rsidR="00F41BD7" w:rsidRPr="008F101A" w:rsidRDefault="00F41BD7" w:rsidP="00402B9D">
          <w:pPr>
            <w:pStyle w:val="Footer"/>
            <w:spacing w:after="0" w:line="240" w:lineRule="auto"/>
            <w:rPr>
              <w:rFonts w:ascii="Arial" w:hAnsi="Arial" w:cs="Arial"/>
              <w:b/>
              <w:color w:val="00AAFF" w:themeColor="accent5"/>
              <w:sz w:val="18"/>
              <w:szCs w:val="18"/>
            </w:rPr>
          </w:pPr>
        </w:p>
      </w:tc>
      <w:tc>
        <w:tcPr>
          <w:tcW w:w="5101" w:type="dxa"/>
          <w:vAlign w:val="bottom"/>
        </w:tcPr>
        <w:p w14:paraId="1E4F1579" w14:textId="504CB5AC" w:rsidR="00F41BD7" w:rsidRPr="001634E7" w:rsidRDefault="00F41BD7" w:rsidP="00402B9D">
          <w:pPr>
            <w:pStyle w:val="Footer"/>
            <w:tabs>
              <w:tab w:val="right" w:pos="9639"/>
            </w:tabs>
            <w:spacing w:after="80" w:line="160" w:lineRule="exact"/>
            <w:rPr>
              <w:rFonts w:ascii="Arial" w:hAnsi="Arial" w:cs="Arial"/>
              <w:color w:val="7297A9"/>
              <w:sz w:val="13"/>
              <w:szCs w:val="13"/>
            </w:rPr>
          </w:pPr>
          <w:r w:rsidRPr="00BA5480">
            <w:rPr>
              <w:rFonts w:ascii="Arial" w:hAnsi="Arial" w:cs="Arial"/>
              <w:color w:val="7297A9"/>
              <w:sz w:val="13"/>
              <w:szCs w:val="13"/>
            </w:rPr>
            <w:t>INTERNATIONAL POWER (AUSTRALIA) PTY LTD ABN 59 092 560 793</w:t>
          </w:r>
          <w:r>
            <w:rPr>
              <w:rFonts w:ascii="Arial" w:hAnsi="Arial" w:cs="Arial"/>
              <w:color w:val="7297A9"/>
              <w:sz w:val="13"/>
              <w:szCs w:val="13"/>
            </w:rPr>
            <w:br/>
            <w:t xml:space="preserve">is part of </w:t>
          </w:r>
          <w:r w:rsidRPr="00B36504">
            <w:rPr>
              <w:rFonts w:ascii="Arial" w:hAnsi="Arial" w:cs="Arial"/>
              <w:color w:val="7297A9"/>
              <w:sz w:val="13"/>
              <w:szCs w:val="13"/>
            </w:rPr>
            <w:t xml:space="preserve">a joint venture between </w:t>
          </w:r>
          <w:r w:rsidR="006211C6">
            <w:rPr>
              <w:rFonts w:ascii="Arial" w:hAnsi="Arial" w:cs="Arial"/>
              <w:color w:val="7297A9"/>
              <w:sz w:val="13"/>
              <w:szCs w:val="13"/>
            </w:rPr>
            <w:t>ENGIE</w:t>
          </w:r>
          <w:r w:rsidRPr="00B36504">
            <w:rPr>
              <w:rFonts w:ascii="Arial" w:hAnsi="Arial" w:cs="Arial"/>
              <w:color w:val="7297A9"/>
              <w:sz w:val="13"/>
              <w:szCs w:val="13"/>
            </w:rPr>
            <w:t xml:space="preserve"> S.A. and Mitsui &amp; Co., Ltd.</w:t>
          </w:r>
        </w:p>
      </w:tc>
    </w:tr>
    <w:tr w:rsidR="00F41BD7" w14:paraId="53F8D407" w14:textId="77777777" w:rsidTr="00CB7BAF">
      <w:tc>
        <w:tcPr>
          <w:tcW w:w="5101" w:type="dxa"/>
          <w:vMerge/>
        </w:tcPr>
        <w:p w14:paraId="65337337" w14:textId="77777777" w:rsidR="00F41BD7" w:rsidRPr="008F101A" w:rsidRDefault="00F41BD7" w:rsidP="00CA38CD">
          <w:pPr>
            <w:pStyle w:val="Footer"/>
            <w:tabs>
              <w:tab w:val="clear" w:pos="4536"/>
              <w:tab w:val="clear" w:pos="9072"/>
            </w:tabs>
            <w:spacing w:after="0" w:line="240" w:lineRule="auto"/>
            <w:rPr>
              <w:rFonts w:ascii="Arial" w:hAnsi="Arial" w:cs="Arial"/>
              <w:b/>
              <w:color w:val="00AAFF" w:themeColor="accent5"/>
              <w:sz w:val="18"/>
              <w:szCs w:val="18"/>
            </w:rPr>
          </w:pPr>
        </w:p>
      </w:tc>
      <w:tc>
        <w:tcPr>
          <w:tcW w:w="5101" w:type="dxa"/>
          <w:vAlign w:val="center"/>
        </w:tcPr>
        <w:p w14:paraId="01D7EF02" w14:textId="4BA7549B" w:rsidR="00F41BD7" w:rsidRPr="00642633" w:rsidRDefault="00F41BD7" w:rsidP="00420816">
          <w:pPr>
            <w:pStyle w:val="Footer"/>
            <w:tabs>
              <w:tab w:val="right" w:pos="9639"/>
            </w:tabs>
            <w:spacing w:after="0" w:line="240" w:lineRule="auto"/>
            <w:jc w:val="right"/>
            <w:rPr>
              <w:rFonts w:ascii="Arial" w:hAnsi="Arial" w:cs="Arial"/>
              <w:color w:val="595959" w:themeColor="text1" w:themeTint="A6"/>
              <w:sz w:val="12"/>
              <w:szCs w:val="12"/>
            </w:rPr>
          </w:pPr>
          <w:r>
            <w:rPr>
              <w:rFonts w:ascii="Arial" w:hAnsi="Arial" w:cs="Arial"/>
              <w:color w:val="595959" w:themeColor="text1" w:themeTint="A6"/>
              <w:sz w:val="12"/>
              <w:szCs w:val="12"/>
            </w:rPr>
            <w:t xml:space="preserve">Page </w:t>
          </w:r>
          <w:r>
            <w:rPr>
              <w:rFonts w:ascii="Arial" w:hAnsi="Arial" w:cs="Arial"/>
              <w:color w:val="595959" w:themeColor="text1" w:themeTint="A6"/>
              <w:sz w:val="12"/>
              <w:szCs w:val="12"/>
            </w:rPr>
            <w:fldChar w:fldCharType="begin"/>
          </w:r>
          <w:r>
            <w:rPr>
              <w:rFonts w:ascii="Arial" w:hAnsi="Arial" w:cs="Arial"/>
              <w:color w:val="595959" w:themeColor="text1" w:themeTint="A6"/>
              <w:sz w:val="12"/>
              <w:szCs w:val="12"/>
            </w:rPr>
            <w:instrText xml:space="preserve"> PAGE   \* MERGEFORMAT </w:instrText>
          </w:r>
          <w:r>
            <w:rPr>
              <w:rFonts w:ascii="Arial" w:hAnsi="Arial" w:cs="Arial"/>
              <w:color w:val="595959" w:themeColor="text1" w:themeTint="A6"/>
              <w:sz w:val="12"/>
              <w:szCs w:val="12"/>
            </w:rPr>
            <w:fldChar w:fldCharType="separate"/>
          </w:r>
          <w:r>
            <w:rPr>
              <w:rFonts w:ascii="Arial" w:hAnsi="Arial" w:cs="Arial"/>
              <w:noProof/>
              <w:color w:val="595959" w:themeColor="text1" w:themeTint="A6"/>
              <w:sz w:val="12"/>
              <w:szCs w:val="12"/>
            </w:rPr>
            <w:t>1</w:t>
          </w:r>
          <w:r>
            <w:rPr>
              <w:rFonts w:ascii="Arial" w:hAnsi="Arial" w:cs="Arial"/>
              <w:color w:val="595959" w:themeColor="text1" w:themeTint="A6"/>
              <w:sz w:val="12"/>
              <w:szCs w:val="12"/>
            </w:rPr>
            <w:fldChar w:fldCharType="end"/>
          </w:r>
          <w:r>
            <w:rPr>
              <w:rFonts w:ascii="Arial" w:hAnsi="Arial" w:cs="Arial"/>
              <w:color w:val="595959" w:themeColor="text1" w:themeTint="A6"/>
              <w:sz w:val="12"/>
              <w:szCs w:val="12"/>
            </w:rPr>
            <w:t xml:space="preserve"> of </w:t>
          </w:r>
          <w:r>
            <w:rPr>
              <w:rFonts w:ascii="Arial" w:hAnsi="Arial" w:cs="Arial"/>
              <w:color w:val="595959" w:themeColor="text1" w:themeTint="A6"/>
              <w:sz w:val="12"/>
              <w:szCs w:val="12"/>
            </w:rPr>
            <w:fldChar w:fldCharType="begin"/>
          </w:r>
          <w:r>
            <w:rPr>
              <w:rFonts w:ascii="Arial" w:hAnsi="Arial" w:cs="Arial"/>
              <w:color w:val="595959" w:themeColor="text1" w:themeTint="A6"/>
              <w:sz w:val="12"/>
              <w:szCs w:val="12"/>
            </w:rPr>
            <w:instrText xml:space="preserve"> NUMPAGES   \* MERGEFORMAT </w:instrText>
          </w:r>
          <w:r>
            <w:rPr>
              <w:rFonts w:ascii="Arial" w:hAnsi="Arial" w:cs="Arial"/>
              <w:color w:val="595959" w:themeColor="text1" w:themeTint="A6"/>
              <w:sz w:val="12"/>
              <w:szCs w:val="12"/>
            </w:rPr>
            <w:fldChar w:fldCharType="separate"/>
          </w:r>
          <w:r>
            <w:rPr>
              <w:rFonts w:ascii="Arial" w:hAnsi="Arial" w:cs="Arial"/>
              <w:noProof/>
              <w:color w:val="595959" w:themeColor="text1" w:themeTint="A6"/>
              <w:sz w:val="12"/>
              <w:szCs w:val="12"/>
            </w:rPr>
            <w:t>9</w:t>
          </w:r>
          <w:r>
            <w:rPr>
              <w:rFonts w:ascii="Arial" w:hAnsi="Arial" w:cs="Arial"/>
              <w:color w:val="595959" w:themeColor="text1" w:themeTint="A6"/>
              <w:sz w:val="12"/>
              <w:szCs w:val="12"/>
            </w:rPr>
            <w:fldChar w:fldCharType="end"/>
          </w:r>
        </w:p>
      </w:tc>
    </w:tr>
  </w:tbl>
  <w:p w14:paraId="0BEAE225" w14:textId="77777777" w:rsidR="00F41BD7" w:rsidRPr="00642633" w:rsidRDefault="00F41BD7" w:rsidP="00416CB7">
    <w:pPr>
      <w:pStyle w:val="Footer"/>
      <w:tabs>
        <w:tab w:val="clear" w:pos="4536"/>
        <w:tab w:val="clear" w:pos="9072"/>
        <w:tab w:val="right" w:pos="9639"/>
      </w:tabs>
      <w:spacing w:line="240" w:lineRule="auto"/>
      <w:rPr>
        <w:sz w:val="12"/>
        <w:szCs w:val="12"/>
      </w:rPr>
    </w:pPr>
    <w:r w:rsidRPr="000A6816">
      <w:rPr>
        <w:noProof/>
        <w:lang w:eastAsia="en-AU"/>
      </w:rPr>
      <w:drawing>
        <wp:anchor distT="0" distB="0" distL="114300" distR="114300" simplePos="0" relativeHeight="251655680" behindDoc="0" locked="0" layoutInCell="1" allowOverlap="1" wp14:anchorId="51391490" wp14:editId="15D6BF0B">
          <wp:simplePos x="0" y="0"/>
          <wp:positionH relativeFrom="margin">
            <wp:posOffset>-635</wp:posOffset>
          </wp:positionH>
          <wp:positionV relativeFrom="page">
            <wp:posOffset>9001125</wp:posOffset>
          </wp:positionV>
          <wp:extent cx="543600" cy="61200"/>
          <wp:effectExtent l="0" t="0" r="0" b="0"/>
          <wp:wrapTopAndBottom/>
          <wp:docPr id="2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rseur_td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3600" cy="61200"/>
                  </a:xfrm>
                  <a:prstGeom prst="rect">
                    <a:avLst/>
                  </a:prstGeom>
                </pic:spPr>
              </pic:pic>
            </a:graphicData>
          </a:graphic>
          <wp14:sizeRelH relativeFrom="margin">
            <wp14:pctWidth>0</wp14:pctWidth>
          </wp14:sizeRelH>
          <wp14:sizeRelV relativeFrom="margin">
            <wp14:pctHeight>0</wp14:pctHeight>
          </wp14:sizeRelV>
        </wp:anchor>
      </w:drawing>
    </w:r>
    <w:r w:rsidRPr="003E4EFA">
      <w:rPr>
        <w:noProof/>
        <w:lang w:eastAsia="en-AU"/>
      </w:rPr>
      <w:drawing>
        <wp:anchor distT="0" distB="0" distL="114300" distR="114300" simplePos="0" relativeHeight="251654656" behindDoc="1" locked="0" layoutInCell="1" allowOverlap="1" wp14:anchorId="6A6BBD98" wp14:editId="42555DB0">
          <wp:simplePos x="0" y="0"/>
          <wp:positionH relativeFrom="page">
            <wp:align>left</wp:align>
          </wp:positionH>
          <wp:positionV relativeFrom="page">
            <wp:align>bottom</wp:align>
          </wp:positionV>
          <wp:extent cx="7560000" cy="716400"/>
          <wp:effectExtent l="0" t="0" r="3175" b="7620"/>
          <wp:wrapTopAndBottom/>
          <wp:docPr id="24"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ux_td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60000" cy="71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101"/>
      <w:gridCol w:w="5101"/>
    </w:tblGrid>
    <w:tr w:rsidR="00F41BD7" w14:paraId="6E691FD5" w14:textId="77777777" w:rsidTr="00F41BD7">
      <w:tc>
        <w:tcPr>
          <w:tcW w:w="5101" w:type="dxa"/>
        </w:tcPr>
        <w:p w14:paraId="1EE8DEEB" w14:textId="77777777" w:rsidR="00F41BD7" w:rsidRPr="008F101A" w:rsidRDefault="00F41BD7" w:rsidP="00420816">
          <w:pPr>
            <w:pStyle w:val="Footer"/>
            <w:tabs>
              <w:tab w:val="clear" w:pos="4536"/>
              <w:tab w:val="clear" w:pos="9072"/>
            </w:tabs>
            <w:spacing w:after="0" w:line="240" w:lineRule="auto"/>
            <w:rPr>
              <w:rFonts w:ascii="Arial" w:hAnsi="Arial" w:cs="Arial"/>
              <w:b/>
              <w:color w:val="00AAFF" w:themeColor="accent5"/>
              <w:sz w:val="18"/>
              <w:szCs w:val="18"/>
            </w:rPr>
          </w:pPr>
        </w:p>
      </w:tc>
      <w:tc>
        <w:tcPr>
          <w:tcW w:w="5101" w:type="dxa"/>
          <w:vAlign w:val="center"/>
        </w:tcPr>
        <w:p w14:paraId="66BCA740" w14:textId="77777777" w:rsidR="00F41BD7" w:rsidRPr="00642633" w:rsidRDefault="00F41BD7" w:rsidP="00420816">
          <w:pPr>
            <w:pStyle w:val="Footer"/>
            <w:tabs>
              <w:tab w:val="right" w:pos="9639"/>
            </w:tabs>
            <w:spacing w:after="0" w:line="240" w:lineRule="auto"/>
            <w:jc w:val="right"/>
            <w:rPr>
              <w:rFonts w:ascii="Arial" w:hAnsi="Arial" w:cs="Arial"/>
              <w:color w:val="595959" w:themeColor="text1" w:themeTint="A6"/>
              <w:sz w:val="12"/>
              <w:szCs w:val="12"/>
            </w:rPr>
          </w:pPr>
          <w:r>
            <w:rPr>
              <w:rFonts w:ascii="Arial" w:hAnsi="Arial" w:cs="Arial"/>
              <w:color w:val="595959" w:themeColor="text1" w:themeTint="A6"/>
              <w:sz w:val="12"/>
              <w:szCs w:val="12"/>
            </w:rPr>
            <w:t xml:space="preserve">Page </w:t>
          </w:r>
          <w:r>
            <w:rPr>
              <w:rFonts w:ascii="Arial" w:hAnsi="Arial" w:cs="Arial"/>
              <w:color w:val="595959" w:themeColor="text1" w:themeTint="A6"/>
              <w:sz w:val="12"/>
              <w:szCs w:val="12"/>
            </w:rPr>
            <w:fldChar w:fldCharType="begin"/>
          </w:r>
          <w:r>
            <w:rPr>
              <w:rFonts w:ascii="Arial" w:hAnsi="Arial" w:cs="Arial"/>
              <w:color w:val="595959" w:themeColor="text1" w:themeTint="A6"/>
              <w:sz w:val="12"/>
              <w:szCs w:val="12"/>
            </w:rPr>
            <w:instrText xml:space="preserve"> PAGE   \* MERGEFORMAT </w:instrText>
          </w:r>
          <w:r>
            <w:rPr>
              <w:rFonts w:ascii="Arial" w:hAnsi="Arial" w:cs="Arial"/>
              <w:color w:val="595959" w:themeColor="text1" w:themeTint="A6"/>
              <w:sz w:val="12"/>
              <w:szCs w:val="12"/>
            </w:rPr>
            <w:fldChar w:fldCharType="separate"/>
          </w:r>
          <w:r>
            <w:rPr>
              <w:rFonts w:ascii="Arial" w:hAnsi="Arial" w:cs="Arial"/>
              <w:noProof/>
              <w:color w:val="595959" w:themeColor="text1" w:themeTint="A6"/>
              <w:sz w:val="12"/>
              <w:szCs w:val="12"/>
            </w:rPr>
            <w:t>4</w:t>
          </w:r>
          <w:r>
            <w:rPr>
              <w:rFonts w:ascii="Arial" w:hAnsi="Arial" w:cs="Arial"/>
              <w:color w:val="595959" w:themeColor="text1" w:themeTint="A6"/>
              <w:sz w:val="12"/>
              <w:szCs w:val="12"/>
            </w:rPr>
            <w:fldChar w:fldCharType="end"/>
          </w:r>
          <w:r>
            <w:rPr>
              <w:rFonts w:ascii="Arial" w:hAnsi="Arial" w:cs="Arial"/>
              <w:color w:val="595959" w:themeColor="text1" w:themeTint="A6"/>
              <w:sz w:val="12"/>
              <w:szCs w:val="12"/>
            </w:rPr>
            <w:t xml:space="preserve"> of </w:t>
          </w:r>
          <w:r>
            <w:rPr>
              <w:rFonts w:ascii="Arial" w:hAnsi="Arial" w:cs="Arial"/>
              <w:color w:val="595959" w:themeColor="text1" w:themeTint="A6"/>
              <w:sz w:val="12"/>
              <w:szCs w:val="12"/>
            </w:rPr>
            <w:fldChar w:fldCharType="begin"/>
          </w:r>
          <w:r>
            <w:rPr>
              <w:rFonts w:ascii="Arial" w:hAnsi="Arial" w:cs="Arial"/>
              <w:color w:val="595959" w:themeColor="text1" w:themeTint="A6"/>
              <w:sz w:val="12"/>
              <w:szCs w:val="12"/>
            </w:rPr>
            <w:instrText xml:space="preserve"> NUMPAGES   \* MERGEFORMAT </w:instrText>
          </w:r>
          <w:r>
            <w:rPr>
              <w:rFonts w:ascii="Arial" w:hAnsi="Arial" w:cs="Arial"/>
              <w:color w:val="595959" w:themeColor="text1" w:themeTint="A6"/>
              <w:sz w:val="12"/>
              <w:szCs w:val="12"/>
            </w:rPr>
            <w:fldChar w:fldCharType="separate"/>
          </w:r>
          <w:r>
            <w:rPr>
              <w:rFonts w:ascii="Arial" w:hAnsi="Arial" w:cs="Arial"/>
              <w:noProof/>
              <w:color w:val="595959" w:themeColor="text1" w:themeTint="A6"/>
              <w:sz w:val="12"/>
              <w:szCs w:val="12"/>
            </w:rPr>
            <w:t>4</w:t>
          </w:r>
          <w:r>
            <w:rPr>
              <w:rFonts w:ascii="Arial" w:hAnsi="Arial" w:cs="Arial"/>
              <w:color w:val="595959" w:themeColor="text1" w:themeTint="A6"/>
              <w:sz w:val="12"/>
              <w:szCs w:val="12"/>
            </w:rPr>
            <w:fldChar w:fldCharType="end"/>
          </w:r>
        </w:p>
      </w:tc>
    </w:tr>
  </w:tbl>
  <w:p w14:paraId="51F7298F" w14:textId="77777777" w:rsidR="00F41BD7" w:rsidRPr="004A40F3" w:rsidRDefault="00F41BD7" w:rsidP="00EE4537">
    <w:pPr>
      <w:pStyle w:val="Reference"/>
      <w:tabs>
        <w:tab w:val="right" w:pos="10065"/>
      </w:tabs>
      <w:rPr>
        <w:sz w:val="12"/>
        <w:szCs w:val="12"/>
        <w:lang w:val="en-US"/>
      </w:rPr>
    </w:pPr>
    <w:r w:rsidRPr="003E4EFA">
      <w:rPr>
        <w:noProof/>
        <w:lang w:eastAsia="en-AU"/>
      </w:rPr>
      <w:drawing>
        <wp:anchor distT="0" distB="0" distL="114300" distR="114300" simplePos="0" relativeHeight="251661824" behindDoc="1" locked="0" layoutInCell="1" allowOverlap="1" wp14:anchorId="1FDE8CD9" wp14:editId="37CE210C">
          <wp:simplePos x="0" y="0"/>
          <wp:positionH relativeFrom="page">
            <wp:align>left</wp:align>
          </wp:positionH>
          <wp:positionV relativeFrom="page">
            <wp:align>bottom</wp:align>
          </wp:positionV>
          <wp:extent cx="7560000" cy="716400"/>
          <wp:effectExtent l="0" t="0" r="3175" b="7620"/>
          <wp:wrapNone/>
          <wp:docPr id="2"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ux_sd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716400"/>
                  </a:xfrm>
                  <a:prstGeom prst="rect">
                    <a:avLst/>
                  </a:prstGeom>
                </pic:spPr>
              </pic:pic>
            </a:graphicData>
          </a:graphic>
          <wp14:sizeRelH relativeFrom="margin">
            <wp14:pctWidth>0</wp14:pctWidth>
          </wp14:sizeRelH>
          <wp14:sizeRelV relativeFrom="margin">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6CF2A0" w14:textId="77777777" w:rsidR="00F41BD7" w:rsidRPr="005B7670" w:rsidRDefault="00F41BD7" w:rsidP="003425DD">
    <w:pPr>
      <w:pStyle w:val="Footer"/>
      <w:tabs>
        <w:tab w:val="clear" w:pos="4536"/>
        <w:tab w:val="clear" w:pos="9072"/>
        <w:tab w:val="right" w:pos="9639"/>
      </w:tabs>
      <w:spacing w:line="240" w:lineRule="auto"/>
      <w:rPr>
        <w:rFonts w:ascii="Arial" w:hAnsi="Arial" w:cs="Arial"/>
        <w:sz w:val="12"/>
        <w:szCs w:val="12"/>
        <w:lang w:val="en-US"/>
      </w:rPr>
    </w:pPr>
    <w:r>
      <w:rPr>
        <w:sz w:val="12"/>
        <w:szCs w:val="12"/>
        <w:lang w:val="en-US"/>
      </w:rPr>
      <w:tab/>
    </w:r>
    <w:r w:rsidRPr="005B7670">
      <w:rPr>
        <w:rFonts w:ascii="Arial" w:hAnsi="Arial" w:cs="Arial"/>
        <w:sz w:val="12"/>
        <w:szCs w:val="12"/>
        <w:lang w:val="en-US"/>
      </w:rPr>
      <w:t xml:space="preserve">Page </w:t>
    </w:r>
    <w:r w:rsidRPr="005B7670">
      <w:rPr>
        <w:rFonts w:ascii="Arial" w:hAnsi="Arial" w:cs="Arial"/>
        <w:sz w:val="12"/>
        <w:szCs w:val="12"/>
        <w:lang w:val="en-US"/>
      </w:rPr>
      <w:fldChar w:fldCharType="begin"/>
    </w:r>
    <w:r w:rsidRPr="005B7670">
      <w:rPr>
        <w:rFonts w:ascii="Arial" w:hAnsi="Arial" w:cs="Arial"/>
        <w:sz w:val="12"/>
        <w:szCs w:val="12"/>
        <w:lang w:val="en-US"/>
      </w:rPr>
      <w:instrText xml:space="preserve"> PAGE  \* Arabic  \* MERGEFORMAT </w:instrText>
    </w:r>
    <w:r w:rsidRPr="005B7670">
      <w:rPr>
        <w:rFonts w:ascii="Arial" w:hAnsi="Arial" w:cs="Arial"/>
        <w:sz w:val="12"/>
        <w:szCs w:val="12"/>
        <w:lang w:val="en-US"/>
      </w:rPr>
      <w:fldChar w:fldCharType="separate"/>
    </w:r>
    <w:r>
      <w:rPr>
        <w:rFonts w:ascii="Arial" w:hAnsi="Arial" w:cs="Arial"/>
        <w:noProof/>
        <w:sz w:val="12"/>
        <w:szCs w:val="12"/>
        <w:lang w:val="en-US"/>
      </w:rPr>
      <w:t>1</w:t>
    </w:r>
    <w:r w:rsidRPr="005B7670">
      <w:rPr>
        <w:rFonts w:ascii="Arial" w:hAnsi="Arial" w:cs="Arial"/>
        <w:sz w:val="12"/>
        <w:szCs w:val="12"/>
        <w:lang w:val="en-US"/>
      </w:rPr>
      <w:fldChar w:fldCharType="end"/>
    </w:r>
    <w:r w:rsidRPr="005B7670">
      <w:rPr>
        <w:rFonts w:ascii="Arial" w:hAnsi="Arial" w:cs="Arial"/>
        <w:sz w:val="12"/>
        <w:szCs w:val="12"/>
        <w:lang w:val="en-US"/>
      </w:rPr>
      <w:t xml:space="preserve"> of </w:t>
    </w:r>
    <w:r w:rsidRPr="005B7670">
      <w:rPr>
        <w:rFonts w:ascii="Arial" w:hAnsi="Arial" w:cs="Arial"/>
        <w:sz w:val="12"/>
        <w:szCs w:val="12"/>
        <w:lang w:val="en-US"/>
      </w:rPr>
      <w:fldChar w:fldCharType="begin"/>
    </w:r>
    <w:r w:rsidRPr="005B7670">
      <w:rPr>
        <w:rFonts w:ascii="Arial" w:hAnsi="Arial" w:cs="Arial"/>
        <w:sz w:val="12"/>
        <w:szCs w:val="12"/>
        <w:lang w:val="en-US"/>
      </w:rPr>
      <w:instrText xml:space="preserve"> NUMPAGES  \* Arabic  \* MERGEFORMAT </w:instrText>
    </w:r>
    <w:r w:rsidRPr="005B7670">
      <w:rPr>
        <w:rFonts w:ascii="Arial" w:hAnsi="Arial" w:cs="Arial"/>
        <w:sz w:val="12"/>
        <w:szCs w:val="12"/>
        <w:lang w:val="en-US"/>
      </w:rPr>
      <w:fldChar w:fldCharType="separate"/>
    </w:r>
    <w:r>
      <w:rPr>
        <w:rFonts w:ascii="Arial" w:hAnsi="Arial" w:cs="Arial"/>
        <w:noProof/>
        <w:sz w:val="12"/>
        <w:szCs w:val="12"/>
        <w:lang w:val="en-US"/>
      </w:rPr>
      <w:t>4</w:t>
    </w:r>
    <w:r w:rsidRPr="005B7670">
      <w:rPr>
        <w:rFonts w:ascii="Arial" w:hAnsi="Arial" w:cs="Arial"/>
        <w:sz w:val="12"/>
        <w:szCs w:val="12"/>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6F7F7E" w14:textId="77777777" w:rsidR="008D7043" w:rsidRDefault="008D7043">
      <w:pPr>
        <w:spacing w:line="240" w:lineRule="auto"/>
      </w:pPr>
      <w:r>
        <w:separator/>
      </w:r>
    </w:p>
  </w:footnote>
  <w:footnote w:type="continuationSeparator" w:id="0">
    <w:p w14:paraId="3CD45B17" w14:textId="77777777" w:rsidR="008D7043" w:rsidRDefault="008D7043">
      <w:pPr>
        <w:spacing w:line="240" w:lineRule="auto"/>
      </w:pPr>
      <w:r>
        <w:continuationSeparator/>
      </w:r>
    </w:p>
  </w:footnote>
  <w:footnote w:id="1">
    <w:p w14:paraId="2A329021" w14:textId="77777777" w:rsidR="00046E00" w:rsidRPr="00046E00" w:rsidRDefault="00046E00" w:rsidP="00046E00">
      <w:pPr>
        <w:pStyle w:val="FootnoteText"/>
        <w:rPr>
          <w:rFonts w:ascii="Calibri" w:hAnsi="Calibri" w:cs="Calibri"/>
        </w:rPr>
      </w:pPr>
      <w:r w:rsidRPr="00046E00">
        <w:rPr>
          <w:rStyle w:val="FootnoteReference"/>
          <w:rFonts w:ascii="Calibri" w:hAnsi="Calibri" w:cs="Calibri"/>
        </w:rPr>
        <w:footnoteRef/>
      </w:r>
      <w:r w:rsidRPr="00046E00">
        <w:rPr>
          <w:rFonts w:ascii="Calibri" w:hAnsi="Calibri" w:cs="Calibri"/>
        </w:rPr>
        <w:t xml:space="preserve"> Consultation paper, p33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6EB280" w14:textId="77777777" w:rsidR="00F41BD7" w:rsidRPr="004B56C3" w:rsidRDefault="00F41BD7" w:rsidP="004B56C3">
    <w:r w:rsidRPr="00BC26A5">
      <w:rPr>
        <w:noProof/>
        <w:lang w:eastAsia="en-AU"/>
      </w:rPr>
      <w:drawing>
        <wp:anchor distT="0" distB="0" distL="114300" distR="114300" simplePos="0" relativeHeight="251659776" behindDoc="1" locked="0" layoutInCell="1" allowOverlap="1" wp14:anchorId="3C309C6A" wp14:editId="2FED535E">
          <wp:simplePos x="0" y="0"/>
          <wp:positionH relativeFrom="column">
            <wp:posOffset>-73660</wp:posOffset>
          </wp:positionH>
          <wp:positionV relativeFrom="paragraph">
            <wp:posOffset>-627380</wp:posOffset>
          </wp:positionV>
          <wp:extent cx="1600000" cy="542857"/>
          <wp:effectExtent l="0" t="0" r="63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600000" cy="542857"/>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348AEE" w14:textId="77777777" w:rsidR="00F41BD7" w:rsidRDefault="00F41BD7" w:rsidP="004B56C3">
    <w:pPr>
      <w:rPr>
        <w:lang w:val="en-US"/>
      </w:rPr>
    </w:pPr>
    <w:r w:rsidRPr="003E4EFA">
      <w:rPr>
        <w:noProof/>
        <w:lang w:eastAsia="en-AU"/>
      </w:rPr>
      <w:drawing>
        <wp:anchor distT="0" distB="0" distL="114300" distR="114300" simplePos="0" relativeHeight="251658752" behindDoc="1" locked="0" layoutInCell="1" allowOverlap="1" wp14:anchorId="3EA41437" wp14:editId="63C6A56B">
          <wp:simplePos x="0" y="0"/>
          <wp:positionH relativeFrom="margin">
            <wp:posOffset>-48260</wp:posOffset>
          </wp:positionH>
          <wp:positionV relativeFrom="page">
            <wp:posOffset>399415</wp:posOffset>
          </wp:positionV>
          <wp:extent cx="1604210" cy="542575"/>
          <wp:effectExtent l="0" t="0" r="0" b="0"/>
          <wp:wrapNone/>
          <wp:docPr id="2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png"/>
                  <pic:cNvPicPr/>
                </pic:nvPicPr>
                <pic:blipFill>
                  <a:blip r:embed="rId1"/>
                  <a:stretch>
                    <a:fillRect/>
                  </a:stretch>
                </pic:blipFill>
                <pic:spPr>
                  <a:xfrm>
                    <a:off x="0" y="0"/>
                    <a:ext cx="1604210" cy="54257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pPr w:leftFromText="181" w:rightFromText="181" w:vertAnchor="page" w:horzAnchor="margin" w:tblpXSpec="right" w:tblpY="1084"/>
      <w:tblOverlap w:val="never"/>
      <w:tblW w:w="29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82"/>
      <w:gridCol w:w="1491"/>
    </w:tblGrid>
    <w:tr w:rsidR="00F41BD7" w14:paraId="57E6EBB2" w14:textId="77777777" w:rsidTr="005574F5">
      <w:tc>
        <w:tcPr>
          <w:tcW w:w="1482" w:type="dxa"/>
          <w:hideMark/>
        </w:tcPr>
        <w:bookmarkStart w:id="1" w:name="Text4"/>
        <w:p w14:paraId="7C096A2F" w14:textId="77777777" w:rsidR="00F41BD7" w:rsidRDefault="007C1F71" w:rsidP="005574F5">
          <w:pPr>
            <w:pStyle w:val="Content"/>
            <w:spacing w:after="0" w:line="240" w:lineRule="auto"/>
            <w:rPr>
              <w:rFonts w:ascii="Arial" w:hAnsi="Arial" w:cs="Arial"/>
              <w:sz w:val="16"/>
              <w:szCs w:val="16"/>
            </w:rPr>
          </w:pPr>
          <w:sdt>
            <w:sdtPr>
              <w:rPr>
                <w:rFonts w:ascii="Arial" w:hAnsi="Arial" w:cs="Arial"/>
                <w:sz w:val="18"/>
                <w:szCs w:val="16"/>
              </w:rPr>
              <w:id w:val="-1624143962"/>
              <w:lock w:val="sdtLocked"/>
              <w14:checkbox>
                <w14:checked w14:val="0"/>
                <w14:checkedState w14:val="0052" w14:font="Times New Roman"/>
                <w14:uncheckedState w14:val="00A3" w14:font="Times New Roman"/>
              </w14:checkbox>
            </w:sdtPr>
            <w:sdtEndPr/>
            <w:sdtContent>
              <w:r w:rsidR="00F41BD7">
                <w:rPr>
                  <w:rFonts w:ascii="Arial" w:hAnsi="Arial" w:cs="Arial"/>
                  <w:sz w:val="18"/>
                  <w:szCs w:val="16"/>
                </w:rPr>
                <w:sym w:font="Wingdings 2" w:char="F0A3"/>
              </w:r>
            </w:sdtContent>
          </w:sdt>
          <w:r w:rsidR="00F41BD7">
            <w:rPr>
              <w:rFonts w:ascii="Arial" w:hAnsi="Arial" w:cs="Arial"/>
              <w:sz w:val="18"/>
              <w:szCs w:val="16"/>
            </w:rPr>
            <w:t xml:space="preserve"> </w:t>
          </w:r>
          <w:r w:rsidR="00F41BD7">
            <w:rPr>
              <w:rFonts w:ascii="Arial" w:hAnsi="Arial" w:cs="Arial"/>
              <w:sz w:val="16"/>
              <w:szCs w:val="16"/>
            </w:rPr>
            <w:t>UNCLASSIFIED</w:t>
          </w:r>
        </w:p>
      </w:tc>
      <w:tc>
        <w:tcPr>
          <w:tcW w:w="1491" w:type="dxa"/>
          <w:hideMark/>
        </w:tcPr>
        <w:p w14:paraId="103B8EEE" w14:textId="77777777" w:rsidR="00F41BD7" w:rsidRDefault="007C1F71" w:rsidP="005574F5">
          <w:pPr>
            <w:pStyle w:val="Content"/>
            <w:spacing w:after="0" w:line="240" w:lineRule="auto"/>
            <w:rPr>
              <w:rFonts w:ascii="Arial" w:hAnsi="Arial" w:cs="Arial"/>
              <w:sz w:val="16"/>
              <w:szCs w:val="16"/>
            </w:rPr>
          </w:pPr>
          <w:sdt>
            <w:sdtPr>
              <w:rPr>
                <w:rFonts w:ascii="Arial" w:hAnsi="Arial" w:cs="Arial"/>
                <w:sz w:val="18"/>
                <w:szCs w:val="16"/>
              </w:rPr>
              <w:id w:val="931791352"/>
              <w:lock w:val="sdtLocked"/>
              <w14:checkbox>
                <w14:checked w14:val="0"/>
                <w14:checkedState w14:val="0052" w14:font="Times New Roman"/>
                <w14:uncheckedState w14:val="00A3" w14:font="Times New Roman"/>
              </w14:checkbox>
            </w:sdtPr>
            <w:sdtEndPr/>
            <w:sdtContent>
              <w:r w:rsidR="00F41BD7">
                <w:rPr>
                  <w:rFonts w:ascii="Arial" w:hAnsi="Arial" w:cs="Arial"/>
                  <w:sz w:val="18"/>
                  <w:szCs w:val="16"/>
                </w:rPr>
                <w:sym w:font="Wingdings 2" w:char="F0A3"/>
              </w:r>
            </w:sdtContent>
          </w:sdt>
          <w:r w:rsidR="00F41BD7">
            <w:rPr>
              <w:rFonts w:ascii="Arial" w:hAnsi="Arial" w:cs="Arial"/>
              <w:sz w:val="18"/>
              <w:szCs w:val="16"/>
            </w:rPr>
            <w:t xml:space="preserve"> </w:t>
          </w:r>
          <w:r w:rsidR="00F41BD7">
            <w:rPr>
              <w:rFonts w:ascii="Arial" w:hAnsi="Arial" w:cs="Arial"/>
              <w:sz w:val="16"/>
              <w:szCs w:val="16"/>
            </w:rPr>
            <w:t>INTERNAL</w:t>
          </w:r>
        </w:p>
      </w:tc>
    </w:tr>
    <w:tr w:rsidR="00F41BD7" w14:paraId="604908FB" w14:textId="77777777" w:rsidTr="005574F5">
      <w:tc>
        <w:tcPr>
          <w:tcW w:w="1482" w:type="dxa"/>
          <w:hideMark/>
        </w:tcPr>
        <w:p w14:paraId="50ECDE16" w14:textId="77777777" w:rsidR="00F41BD7" w:rsidRDefault="007C1F71" w:rsidP="005574F5">
          <w:pPr>
            <w:pStyle w:val="Content"/>
            <w:spacing w:after="0" w:line="240" w:lineRule="auto"/>
            <w:rPr>
              <w:rFonts w:ascii="Arial" w:hAnsi="Arial" w:cs="Arial"/>
              <w:sz w:val="16"/>
              <w:szCs w:val="16"/>
            </w:rPr>
          </w:pPr>
          <w:sdt>
            <w:sdtPr>
              <w:rPr>
                <w:rFonts w:ascii="Arial" w:hAnsi="Arial" w:cs="Arial"/>
                <w:sz w:val="18"/>
                <w:szCs w:val="16"/>
              </w:rPr>
              <w:id w:val="-526488323"/>
              <w:lock w:val="sdtLocked"/>
              <w14:checkbox>
                <w14:checked w14:val="0"/>
                <w14:checkedState w14:val="0052" w14:font="Times New Roman"/>
                <w14:uncheckedState w14:val="00A3" w14:font="Times New Roman"/>
              </w14:checkbox>
            </w:sdtPr>
            <w:sdtEndPr/>
            <w:sdtContent>
              <w:r w:rsidR="00F41BD7">
                <w:rPr>
                  <w:rFonts w:ascii="Arial" w:hAnsi="Arial" w:cs="Arial"/>
                  <w:sz w:val="18"/>
                  <w:szCs w:val="16"/>
                </w:rPr>
                <w:sym w:font="Wingdings 2" w:char="F0A3"/>
              </w:r>
            </w:sdtContent>
          </w:sdt>
          <w:r w:rsidR="00F41BD7">
            <w:rPr>
              <w:rFonts w:ascii="Arial" w:hAnsi="Arial" w:cs="Arial"/>
              <w:sz w:val="18"/>
              <w:szCs w:val="16"/>
            </w:rPr>
            <w:t xml:space="preserve"> </w:t>
          </w:r>
          <w:r w:rsidR="00F41BD7">
            <w:rPr>
              <w:rFonts w:ascii="Arial" w:hAnsi="Arial" w:cs="Arial"/>
              <w:sz w:val="16"/>
              <w:szCs w:val="16"/>
            </w:rPr>
            <w:t>RESTRICTED</w:t>
          </w:r>
        </w:p>
      </w:tc>
      <w:tc>
        <w:tcPr>
          <w:tcW w:w="1491" w:type="dxa"/>
          <w:hideMark/>
        </w:tcPr>
        <w:p w14:paraId="2A10C457" w14:textId="77777777" w:rsidR="00F41BD7" w:rsidRDefault="007C1F71" w:rsidP="005574F5">
          <w:pPr>
            <w:pStyle w:val="Content"/>
            <w:spacing w:after="0" w:line="240" w:lineRule="auto"/>
            <w:rPr>
              <w:rFonts w:ascii="Arial" w:hAnsi="Arial" w:cs="Arial"/>
              <w:sz w:val="16"/>
              <w:szCs w:val="16"/>
            </w:rPr>
          </w:pPr>
          <w:sdt>
            <w:sdtPr>
              <w:rPr>
                <w:rFonts w:ascii="Arial" w:hAnsi="Arial" w:cs="Arial"/>
                <w:sz w:val="18"/>
                <w:szCs w:val="16"/>
              </w:rPr>
              <w:id w:val="-1925185826"/>
              <w:lock w:val="sdtLocked"/>
              <w14:checkbox>
                <w14:checked w14:val="1"/>
                <w14:checkedState w14:val="0052" w14:font="Times New Roman"/>
                <w14:uncheckedState w14:val="00A3" w14:font="Times New Roman"/>
              </w14:checkbox>
            </w:sdtPr>
            <w:sdtEndPr/>
            <w:sdtContent>
              <w:r w:rsidR="00F41BD7">
                <w:rPr>
                  <w:rFonts w:ascii="Arial" w:hAnsi="Arial" w:cs="Arial"/>
                  <w:sz w:val="18"/>
                  <w:szCs w:val="16"/>
                </w:rPr>
                <w:sym w:font="Wingdings 2" w:char="F052"/>
              </w:r>
            </w:sdtContent>
          </w:sdt>
          <w:r w:rsidR="00F41BD7">
            <w:rPr>
              <w:rFonts w:ascii="Arial" w:hAnsi="Arial" w:cs="Arial"/>
              <w:sz w:val="18"/>
              <w:szCs w:val="16"/>
            </w:rPr>
            <w:t xml:space="preserve"> </w:t>
          </w:r>
          <w:r w:rsidR="00F41BD7">
            <w:rPr>
              <w:rFonts w:ascii="Arial" w:hAnsi="Arial" w:cs="Arial"/>
              <w:sz w:val="16"/>
              <w:szCs w:val="16"/>
            </w:rPr>
            <w:t>CONFIDENTIAL</w:t>
          </w:r>
        </w:p>
      </w:tc>
    </w:tr>
    <w:bookmarkEnd w:id="1"/>
  </w:tbl>
  <w:p w14:paraId="6CEA7B0B" w14:textId="77777777" w:rsidR="00F41BD7" w:rsidRDefault="00F41BD7">
    <w:pPr>
      <w:pStyle w:val="Header"/>
      <w:tabs>
        <w:tab w:val="clear" w:pos="4536"/>
        <w:tab w:val="clear" w:pos="9072"/>
      </w:tabs>
      <w:spacing w:line="240" w:lineRule="exact"/>
      <w:rPr>
        <w:lang w:val="en-US"/>
      </w:rPr>
    </w:pPr>
  </w:p>
  <w:p w14:paraId="7A7F4A7B" w14:textId="77777777" w:rsidR="00F41BD7" w:rsidRDefault="00F41BD7">
    <w:pPr>
      <w:pStyle w:val="Header"/>
      <w:tabs>
        <w:tab w:val="clear" w:pos="4536"/>
        <w:tab w:val="clear" w:pos="9072"/>
      </w:tabs>
      <w:spacing w:line="240" w:lineRule="exact"/>
      <w:rPr>
        <w:lang w:val="en-US"/>
      </w:rPr>
    </w:pPr>
    <w:r>
      <w:rPr>
        <w:noProof/>
        <w:lang w:eastAsia="en-AU"/>
      </w:rPr>
      <w:drawing>
        <wp:anchor distT="0" distB="0" distL="114300" distR="114300" simplePos="0" relativeHeight="251662848" behindDoc="1" locked="0" layoutInCell="1" allowOverlap="1" wp14:anchorId="79D69662" wp14:editId="38542351">
          <wp:simplePos x="0" y="0"/>
          <wp:positionH relativeFrom="page">
            <wp:posOffset>737235</wp:posOffset>
          </wp:positionH>
          <wp:positionV relativeFrom="page">
            <wp:posOffset>688340</wp:posOffset>
          </wp:positionV>
          <wp:extent cx="2050920" cy="320020"/>
          <wp:effectExtent l="0" t="0" r="0" b="4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DF SUEZ Logo Letterhead Template.jpg"/>
                  <pic:cNvPicPr/>
                </pic:nvPicPr>
                <pic:blipFill>
                  <a:blip r:embed="rId1">
                    <a:extLst>
                      <a:ext uri="{28A0092B-C50C-407E-A947-70E740481C1C}">
                        <a14:useLocalDpi xmlns:a14="http://schemas.microsoft.com/office/drawing/2010/main" val="0"/>
                      </a:ext>
                    </a:extLst>
                  </a:blip>
                  <a:stretch>
                    <a:fillRect/>
                  </a:stretch>
                </pic:blipFill>
                <pic:spPr>
                  <a:xfrm>
                    <a:off x="0" y="0"/>
                    <a:ext cx="2050920" cy="32002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31952"/>
    <w:multiLevelType w:val="hybridMultilevel"/>
    <w:tmpl w:val="38FEC1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1461320"/>
    <w:multiLevelType w:val="hybridMultilevel"/>
    <w:tmpl w:val="B420CD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753A1F"/>
    <w:multiLevelType w:val="hybridMultilevel"/>
    <w:tmpl w:val="F4C83984"/>
    <w:lvl w:ilvl="0" w:tplc="0C090019">
      <w:start w:val="1"/>
      <w:numFmt w:val="lowerLetter"/>
      <w:lvlText w:val="%1."/>
      <w:lvlJc w:val="left"/>
      <w:pPr>
        <w:ind w:left="1778" w:hanging="360"/>
      </w:pPr>
    </w:lvl>
    <w:lvl w:ilvl="1" w:tplc="D7D0E7AE">
      <w:start w:val="1"/>
      <w:numFmt w:val="decimal"/>
      <w:lvlText w:val="%2."/>
      <w:lvlJc w:val="left"/>
      <w:pPr>
        <w:ind w:left="2498" w:hanging="360"/>
      </w:pPr>
      <w:rPr>
        <w:rFonts w:hint="default"/>
      </w:rPr>
    </w:lvl>
    <w:lvl w:ilvl="2" w:tplc="0C09001B" w:tentative="1">
      <w:start w:val="1"/>
      <w:numFmt w:val="lowerRoman"/>
      <w:lvlText w:val="%3."/>
      <w:lvlJc w:val="right"/>
      <w:pPr>
        <w:ind w:left="3218" w:hanging="180"/>
      </w:pPr>
    </w:lvl>
    <w:lvl w:ilvl="3" w:tplc="0C09000F" w:tentative="1">
      <w:start w:val="1"/>
      <w:numFmt w:val="decimal"/>
      <w:lvlText w:val="%4."/>
      <w:lvlJc w:val="left"/>
      <w:pPr>
        <w:ind w:left="3938" w:hanging="360"/>
      </w:pPr>
    </w:lvl>
    <w:lvl w:ilvl="4" w:tplc="0C090019" w:tentative="1">
      <w:start w:val="1"/>
      <w:numFmt w:val="lowerLetter"/>
      <w:lvlText w:val="%5."/>
      <w:lvlJc w:val="left"/>
      <w:pPr>
        <w:ind w:left="4658" w:hanging="360"/>
      </w:pPr>
    </w:lvl>
    <w:lvl w:ilvl="5" w:tplc="0C09001B" w:tentative="1">
      <w:start w:val="1"/>
      <w:numFmt w:val="lowerRoman"/>
      <w:lvlText w:val="%6."/>
      <w:lvlJc w:val="right"/>
      <w:pPr>
        <w:ind w:left="5378" w:hanging="180"/>
      </w:pPr>
    </w:lvl>
    <w:lvl w:ilvl="6" w:tplc="0C09000F" w:tentative="1">
      <w:start w:val="1"/>
      <w:numFmt w:val="decimal"/>
      <w:lvlText w:val="%7."/>
      <w:lvlJc w:val="left"/>
      <w:pPr>
        <w:ind w:left="6098" w:hanging="360"/>
      </w:pPr>
    </w:lvl>
    <w:lvl w:ilvl="7" w:tplc="0C090019" w:tentative="1">
      <w:start w:val="1"/>
      <w:numFmt w:val="lowerLetter"/>
      <w:lvlText w:val="%8."/>
      <w:lvlJc w:val="left"/>
      <w:pPr>
        <w:ind w:left="6818" w:hanging="360"/>
      </w:pPr>
    </w:lvl>
    <w:lvl w:ilvl="8" w:tplc="0C09001B" w:tentative="1">
      <w:start w:val="1"/>
      <w:numFmt w:val="lowerRoman"/>
      <w:lvlText w:val="%9."/>
      <w:lvlJc w:val="right"/>
      <w:pPr>
        <w:ind w:left="7538" w:hanging="180"/>
      </w:pPr>
    </w:lvl>
  </w:abstractNum>
  <w:abstractNum w:abstractNumId="3" w15:restartNumberingAfterBreak="0">
    <w:nsid w:val="056C3616"/>
    <w:multiLevelType w:val="hybridMultilevel"/>
    <w:tmpl w:val="4442113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72266CC"/>
    <w:multiLevelType w:val="hybridMultilevel"/>
    <w:tmpl w:val="D3E0E0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76849FB"/>
    <w:multiLevelType w:val="hybridMultilevel"/>
    <w:tmpl w:val="D4869146"/>
    <w:lvl w:ilvl="0" w:tplc="C68C5E52">
      <w:start w:val="1"/>
      <w:numFmt w:val="lowerLetter"/>
      <w:lvlText w:val="(%1)"/>
      <w:lvlJc w:val="left"/>
      <w:pPr>
        <w:ind w:left="1778" w:hanging="360"/>
      </w:pPr>
      <w:rPr>
        <w:rFonts w:ascii="Arial" w:hAnsi="Arial" w:cs="Arial" w:hint="default"/>
        <w:i/>
        <w:sz w:val="20"/>
      </w:rPr>
    </w:lvl>
    <w:lvl w:ilvl="1" w:tplc="0C090019" w:tentative="1">
      <w:start w:val="1"/>
      <w:numFmt w:val="lowerLetter"/>
      <w:lvlText w:val="%2."/>
      <w:lvlJc w:val="left"/>
      <w:pPr>
        <w:ind w:left="2498" w:hanging="360"/>
      </w:pPr>
    </w:lvl>
    <w:lvl w:ilvl="2" w:tplc="0C09001B" w:tentative="1">
      <w:start w:val="1"/>
      <w:numFmt w:val="lowerRoman"/>
      <w:lvlText w:val="%3."/>
      <w:lvlJc w:val="right"/>
      <w:pPr>
        <w:ind w:left="3218" w:hanging="180"/>
      </w:pPr>
    </w:lvl>
    <w:lvl w:ilvl="3" w:tplc="0C09000F" w:tentative="1">
      <w:start w:val="1"/>
      <w:numFmt w:val="decimal"/>
      <w:lvlText w:val="%4."/>
      <w:lvlJc w:val="left"/>
      <w:pPr>
        <w:ind w:left="3938" w:hanging="360"/>
      </w:pPr>
    </w:lvl>
    <w:lvl w:ilvl="4" w:tplc="0C090019" w:tentative="1">
      <w:start w:val="1"/>
      <w:numFmt w:val="lowerLetter"/>
      <w:lvlText w:val="%5."/>
      <w:lvlJc w:val="left"/>
      <w:pPr>
        <w:ind w:left="4658" w:hanging="360"/>
      </w:pPr>
    </w:lvl>
    <w:lvl w:ilvl="5" w:tplc="0C09001B" w:tentative="1">
      <w:start w:val="1"/>
      <w:numFmt w:val="lowerRoman"/>
      <w:lvlText w:val="%6."/>
      <w:lvlJc w:val="right"/>
      <w:pPr>
        <w:ind w:left="5378" w:hanging="180"/>
      </w:pPr>
    </w:lvl>
    <w:lvl w:ilvl="6" w:tplc="0C09000F" w:tentative="1">
      <w:start w:val="1"/>
      <w:numFmt w:val="decimal"/>
      <w:lvlText w:val="%7."/>
      <w:lvlJc w:val="left"/>
      <w:pPr>
        <w:ind w:left="6098" w:hanging="360"/>
      </w:pPr>
    </w:lvl>
    <w:lvl w:ilvl="7" w:tplc="0C090019" w:tentative="1">
      <w:start w:val="1"/>
      <w:numFmt w:val="lowerLetter"/>
      <w:lvlText w:val="%8."/>
      <w:lvlJc w:val="left"/>
      <w:pPr>
        <w:ind w:left="6818" w:hanging="360"/>
      </w:pPr>
    </w:lvl>
    <w:lvl w:ilvl="8" w:tplc="0C09001B" w:tentative="1">
      <w:start w:val="1"/>
      <w:numFmt w:val="lowerRoman"/>
      <w:lvlText w:val="%9."/>
      <w:lvlJc w:val="right"/>
      <w:pPr>
        <w:ind w:left="7538" w:hanging="180"/>
      </w:pPr>
    </w:lvl>
  </w:abstractNum>
  <w:abstractNum w:abstractNumId="6" w15:restartNumberingAfterBreak="0">
    <w:nsid w:val="0A3F4C19"/>
    <w:multiLevelType w:val="hybridMultilevel"/>
    <w:tmpl w:val="1CE4A8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DDA07FA"/>
    <w:multiLevelType w:val="hybridMultilevel"/>
    <w:tmpl w:val="6C1E1C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2841360"/>
    <w:multiLevelType w:val="hybridMultilevel"/>
    <w:tmpl w:val="D8E681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59D59CE"/>
    <w:multiLevelType w:val="hybridMultilevel"/>
    <w:tmpl w:val="E44821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67E1CB0"/>
    <w:multiLevelType w:val="hybridMultilevel"/>
    <w:tmpl w:val="06287880"/>
    <w:lvl w:ilvl="0" w:tplc="BAC23B1C">
      <w:start w:val="1"/>
      <w:numFmt w:val="lowerLetter"/>
      <w:lvlText w:val="%1."/>
      <w:lvlJc w:val="left"/>
      <w:pPr>
        <w:ind w:left="1069" w:hanging="360"/>
      </w:pPr>
      <w:rPr>
        <w:rFonts w:hint="default"/>
      </w:rPr>
    </w:lvl>
    <w:lvl w:ilvl="1" w:tplc="0C090019" w:tentative="1">
      <w:start w:val="1"/>
      <w:numFmt w:val="lowerLetter"/>
      <w:lvlText w:val="%2."/>
      <w:lvlJc w:val="left"/>
      <w:pPr>
        <w:ind w:left="1789" w:hanging="360"/>
      </w:pPr>
    </w:lvl>
    <w:lvl w:ilvl="2" w:tplc="0C09001B" w:tentative="1">
      <w:start w:val="1"/>
      <w:numFmt w:val="lowerRoman"/>
      <w:lvlText w:val="%3."/>
      <w:lvlJc w:val="right"/>
      <w:pPr>
        <w:ind w:left="2509" w:hanging="180"/>
      </w:pPr>
    </w:lvl>
    <w:lvl w:ilvl="3" w:tplc="0C09000F" w:tentative="1">
      <w:start w:val="1"/>
      <w:numFmt w:val="decimal"/>
      <w:lvlText w:val="%4."/>
      <w:lvlJc w:val="left"/>
      <w:pPr>
        <w:ind w:left="3229" w:hanging="360"/>
      </w:p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11" w15:restartNumberingAfterBreak="0">
    <w:nsid w:val="17182C80"/>
    <w:multiLevelType w:val="hybridMultilevel"/>
    <w:tmpl w:val="AB1CD8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BF36B70"/>
    <w:multiLevelType w:val="hybridMultilevel"/>
    <w:tmpl w:val="0BF879F8"/>
    <w:lvl w:ilvl="0" w:tplc="0C090001">
      <w:start w:val="1"/>
      <w:numFmt w:val="bullet"/>
      <w:lvlText w:val=""/>
      <w:lvlJc w:val="left"/>
      <w:pPr>
        <w:ind w:left="1069" w:hanging="360"/>
      </w:pPr>
      <w:rPr>
        <w:rFonts w:ascii="Symbol" w:hAnsi="Symbol" w:hint="default"/>
      </w:rPr>
    </w:lvl>
    <w:lvl w:ilvl="1" w:tplc="0C090003" w:tentative="1">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13" w15:restartNumberingAfterBreak="0">
    <w:nsid w:val="1EC05A5B"/>
    <w:multiLevelType w:val="multilevel"/>
    <w:tmpl w:val="3D88E19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4" w15:restartNumberingAfterBreak="0">
    <w:nsid w:val="1FF5271F"/>
    <w:multiLevelType w:val="hybridMultilevel"/>
    <w:tmpl w:val="1012BF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2AB447A"/>
    <w:multiLevelType w:val="hybridMultilevel"/>
    <w:tmpl w:val="6C56964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3621303"/>
    <w:multiLevelType w:val="hybridMultilevel"/>
    <w:tmpl w:val="097C2B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ED25C35"/>
    <w:multiLevelType w:val="hybridMultilevel"/>
    <w:tmpl w:val="3C32A518"/>
    <w:lvl w:ilvl="0" w:tplc="0C090019">
      <w:start w:val="1"/>
      <w:numFmt w:val="lowerLetter"/>
      <w:lvlText w:val="%1."/>
      <w:lvlJc w:val="left"/>
      <w:pPr>
        <w:ind w:left="1778" w:hanging="360"/>
      </w:pPr>
    </w:lvl>
    <w:lvl w:ilvl="1" w:tplc="0C090019" w:tentative="1">
      <w:start w:val="1"/>
      <w:numFmt w:val="lowerLetter"/>
      <w:lvlText w:val="%2."/>
      <w:lvlJc w:val="left"/>
      <w:pPr>
        <w:ind w:left="2498" w:hanging="360"/>
      </w:pPr>
    </w:lvl>
    <w:lvl w:ilvl="2" w:tplc="0C09001B" w:tentative="1">
      <w:start w:val="1"/>
      <w:numFmt w:val="lowerRoman"/>
      <w:lvlText w:val="%3."/>
      <w:lvlJc w:val="right"/>
      <w:pPr>
        <w:ind w:left="3218" w:hanging="180"/>
      </w:pPr>
    </w:lvl>
    <w:lvl w:ilvl="3" w:tplc="0C09000F" w:tentative="1">
      <w:start w:val="1"/>
      <w:numFmt w:val="decimal"/>
      <w:lvlText w:val="%4."/>
      <w:lvlJc w:val="left"/>
      <w:pPr>
        <w:ind w:left="3938" w:hanging="360"/>
      </w:pPr>
    </w:lvl>
    <w:lvl w:ilvl="4" w:tplc="0C090019" w:tentative="1">
      <w:start w:val="1"/>
      <w:numFmt w:val="lowerLetter"/>
      <w:lvlText w:val="%5."/>
      <w:lvlJc w:val="left"/>
      <w:pPr>
        <w:ind w:left="4658" w:hanging="360"/>
      </w:pPr>
    </w:lvl>
    <w:lvl w:ilvl="5" w:tplc="0C09001B" w:tentative="1">
      <w:start w:val="1"/>
      <w:numFmt w:val="lowerRoman"/>
      <w:lvlText w:val="%6."/>
      <w:lvlJc w:val="right"/>
      <w:pPr>
        <w:ind w:left="5378" w:hanging="180"/>
      </w:pPr>
    </w:lvl>
    <w:lvl w:ilvl="6" w:tplc="0C09000F" w:tentative="1">
      <w:start w:val="1"/>
      <w:numFmt w:val="decimal"/>
      <w:lvlText w:val="%7."/>
      <w:lvlJc w:val="left"/>
      <w:pPr>
        <w:ind w:left="6098" w:hanging="360"/>
      </w:pPr>
    </w:lvl>
    <w:lvl w:ilvl="7" w:tplc="0C090019" w:tentative="1">
      <w:start w:val="1"/>
      <w:numFmt w:val="lowerLetter"/>
      <w:lvlText w:val="%8."/>
      <w:lvlJc w:val="left"/>
      <w:pPr>
        <w:ind w:left="6818" w:hanging="360"/>
      </w:pPr>
    </w:lvl>
    <w:lvl w:ilvl="8" w:tplc="0C09001B" w:tentative="1">
      <w:start w:val="1"/>
      <w:numFmt w:val="lowerRoman"/>
      <w:lvlText w:val="%9."/>
      <w:lvlJc w:val="right"/>
      <w:pPr>
        <w:ind w:left="7538" w:hanging="180"/>
      </w:pPr>
    </w:lvl>
  </w:abstractNum>
  <w:abstractNum w:abstractNumId="18" w15:restartNumberingAfterBreak="0">
    <w:nsid w:val="2F575CB2"/>
    <w:multiLevelType w:val="hybridMultilevel"/>
    <w:tmpl w:val="D8782A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F92281A"/>
    <w:multiLevelType w:val="hybridMultilevel"/>
    <w:tmpl w:val="B2EECD40"/>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0CB1C8C"/>
    <w:multiLevelType w:val="hybridMultilevel"/>
    <w:tmpl w:val="80C6AEF0"/>
    <w:lvl w:ilvl="0" w:tplc="0C090001">
      <w:start w:val="1"/>
      <w:numFmt w:val="bullet"/>
      <w:lvlText w:val=""/>
      <w:lvlJc w:val="left"/>
      <w:pPr>
        <w:ind w:left="720" w:hanging="360"/>
      </w:pPr>
      <w:rPr>
        <w:rFonts w:ascii="Symbol" w:hAnsi="Symbol" w:hint="default"/>
      </w:rPr>
    </w:lvl>
    <w:lvl w:ilvl="1" w:tplc="AC886B24">
      <w:numFmt w:val="bullet"/>
      <w:lvlText w:val="•"/>
      <w:lvlJc w:val="left"/>
      <w:pPr>
        <w:ind w:left="1440" w:hanging="360"/>
      </w:pPr>
      <w:rPr>
        <w:rFonts w:ascii="Arial" w:eastAsia="Times New Roman"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5165B09"/>
    <w:multiLevelType w:val="hybridMultilevel"/>
    <w:tmpl w:val="53A8C2B4"/>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9262A51"/>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BCD654B"/>
    <w:multiLevelType w:val="hybridMultilevel"/>
    <w:tmpl w:val="7D9E85B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15:restartNumberingAfterBreak="0">
    <w:nsid w:val="3D954021"/>
    <w:multiLevelType w:val="hybridMultilevel"/>
    <w:tmpl w:val="D99E2FBE"/>
    <w:lvl w:ilvl="0" w:tplc="5E8EFB02">
      <w:numFmt w:val="bullet"/>
      <w:lvlText w:val="•"/>
      <w:lvlJc w:val="left"/>
      <w:pPr>
        <w:ind w:left="1410" w:hanging="705"/>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ED64EA6"/>
    <w:multiLevelType w:val="hybridMultilevel"/>
    <w:tmpl w:val="20A2513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6" w15:restartNumberingAfterBreak="0">
    <w:nsid w:val="44A23FCB"/>
    <w:multiLevelType w:val="hybridMultilevel"/>
    <w:tmpl w:val="1BB674C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59E7C53"/>
    <w:multiLevelType w:val="hybridMultilevel"/>
    <w:tmpl w:val="9EA807AC"/>
    <w:lvl w:ilvl="0" w:tplc="FDF68EAA">
      <w:start w:val="1"/>
      <w:numFmt w:val="lowerLetter"/>
      <w:lvlText w:val="(%1)"/>
      <w:lvlJc w:val="left"/>
      <w:pPr>
        <w:ind w:left="1778" w:hanging="360"/>
      </w:pPr>
      <w:rPr>
        <w:rFonts w:ascii="Arial" w:hAnsi="Arial" w:cs="Arial" w:hint="default"/>
        <w:i/>
        <w:sz w:val="20"/>
      </w:rPr>
    </w:lvl>
    <w:lvl w:ilvl="1" w:tplc="0C090019" w:tentative="1">
      <w:start w:val="1"/>
      <w:numFmt w:val="lowerLetter"/>
      <w:lvlText w:val="%2."/>
      <w:lvlJc w:val="left"/>
      <w:pPr>
        <w:ind w:left="2498" w:hanging="360"/>
      </w:pPr>
    </w:lvl>
    <w:lvl w:ilvl="2" w:tplc="0C09001B" w:tentative="1">
      <w:start w:val="1"/>
      <w:numFmt w:val="lowerRoman"/>
      <w:lvlText w:val="%3."/>
      <w:lvlJc w:val="right"/>
      <w:pPr>
        <w:ind w:left="3218" w:hanging="180"/>
      </w:pPr>
    </w:lvl>
    <w:lvl w:ilvl="3" w:tplc="0C09000F" w:tentative="1">
      <w:start w:val="1"/>
      <w:numFmt w:val="decimal"/>
      <w:lvlText w:val="%4."/>
      <w:lvlJc w:val="left"/>
      <w:pPr>
        <w:ind w:left="3938" w:hanging="360"/>
      </w:pPr>
    </w:lvl>
    <w:lvl w:ilvl="4" w:tplc="0C090019" w:tentative="1">
      <w:start w:val="1"/>
      <w:numFmt w:val="lowerLetter"/>
      <w:lvlText w:val="%5."/>
      <w:lvlJc w:val="left"/>
      <w:pPr>
        <w:ind w:left="4658" w:hanging="360"/>
      </w:pPr>
    </w:lvl>
    <w:lvl w:ilvl="5" w:tplc="0C09001B" w:tentative="1">
      <w:start w:val="1"/>
      <w:numFmt w:val="lowerRoman"/>
      <w:lvlText w:val="%6."/>
      <w:lvlJc w:val="right"/>
      <w:pPr>
        <w:ind w:left="5378" w:hanging="180"/>
      </w:pPr>
    </w:lvl>
    <w:lvl w:ilvl="6" w:tplc="0C09000F" w:tentative="1">
      <w:start w:val="1"/>
      <w:numFmt w:val="decimal"/>
      <w:lvlText w:val="%7."/>
      <w:lvlJc w:val="left"/>
      <w:pPr>
        <w:ind w:left="6098" w:hanging="360"/>
      </w:pPr>
    </w:lvl>
    <w:lvl w:ilvl="7" w:tplc="0C090019" w:tentative="1">
      <w:start w:val="1"/>
      <w:numFmt w:val="lowerLetter"/>
      <w:lvlText w:val="%8."/>
      <w:lvlJc w:val="left"/>
      <w:pPr>
        <w:ind w:left="6818" w:hanging="360"/>
      </w:pPr>
    </w:lvl>
    <w:lvl w:ilvl="8" w:tplc="0C09001B" w:tentative="1">
      <w:start w:val="1"/>
      <w:numFmt w:val="lowerRoman"/>
      <w:lvlText w:val="%9."/>
      <w:lvlJc w:val="right"/>
      <w:pPr>
        <w:ind w:left="7538" w:hanging="180"/>
      </w:pPr>
    </w:lvl>
  </w:abstractNum>
  <w:abstractNum w:abstractNumId="28" w15:restartNumberingAfterBreak="0">
    <w:nsid w:val="49674036"/>
    <w:multiLevelType w:val="hybridMultilevel"/>
    <w:tmpl w:val="076E4A78"/>
    <w:lvl w:ilvl="0" w:tplc="8708C360">
      <w:start w:val="1"/>
      <w:numFmt w:val="bullet"/>
      <w:pStyle w:val="Seedbulletlevel1"/>
      <w:lvlText w:val=""/>
      <w:lvlJc w:val="left"/>
      <w:pPr>
        <w:ind w:left="360" w:hanging="360"/>
      </w:pPr>
      <w:rPr>
        <w:rFonts w:ascii="Symbol" w:hAnsi="Symbol" w:hint="default"/>
        <w:sz w:val="16"/>
        <w:szCs w:val="24"/>
      </w:rPr>
    </w:lvl>
    <w:lvl w:ilvl="1" w:tplc="84BA790A">
      <w:start w:val="1"/>
      <w:numFmt w:val="bullet"/>
      <w:lvlText w:val="―"/>
      <w:lvlJc w:val="left"/>
      <w:pPr>
        <w:ind w:left="1441" w:hanging="360"/>
      </w:pPr>
      <w:rPr>
        <w:rFonts w:ascii="Calibri" w:hAnsi="Calibri" w:cs="Times New Roman" w:hint="default"/>
      </w:rPr>
    </w:lvl>
    <w:lvl w:ilvl="2" w:tplc="0C090005">
      <w:start w:val="1"/>
      <w:numFmt w:val="bullet"/>
      <w:lvlText w:val=""/>
      <w:lvlJc w:val="left"/>
      <w:pPr>
        <w:ind w:left="2161" w:hanging="360"/>
      </w:pPr>
      <w:rPr>
        <w:rFonts w:ascii="Wingdings" w:hAnsi="Wingdings" w:hint="default"/>
      </w:rPr>
    </w:lvl>
    <w:lvl w:ilvl="3" w:tplc="0C090001">
      <w:start w:val="1"/>
      <w:numFmt w:val="bullet"/>
      <w:lvlText w:val=""/>
      <w:lvlJc w:val="left"/>
      <w:pPr>
        <w:ind w:left="2881" w:hanging="360"/>
      </w:pPr>
      <w:rPr>
        <w:rFonts w:ascii="Symbol" w:hAnsi="Symbol" w:hint="default"/>
      </w:rPr>
    </w:lvl>
    <w:lvl w:ilvl="4" w:tplc="0C090003">
      <w:start w:val="1"/>
      <w:numFmt w:val="bullet"/>
      <w:lvlText w:val="o"/>
      <w:lvlJc w:val="left"/>
      <w:pPr>
        <w:ind w:left="3601" w:hanging="360"/>
      </w:pPr>
      <w:rPr>
        <w:rFonts w:ascii="Courier New" w:hAnsi="Courier New" w:cs="Courier New" w:hint="default"/>
      </w:rPr>
    </w:lvl>
    <w:lvl w:ilvl="5" w:tplc="0C090005">
      <w:start w:val="1"/>
      <w:numFmt w:val="bullet"/>
      <w:lvlText w:val=""/>
      <w:lvlJc w:val="left"/>
      <w:pPr>
        <w:ind w:left="4321" w:hanging="360"/>
      </w:pPr>
      <w:rPr>
        <w:rFonts w:ascii="Wingdings" w:hAnsi="Wingdings" w:hint="default"/>
      </w:rPr>
    </w:lvl>
    <w:lvl w:ilvl="6" w:tplc="0C090001">
      <w:start w:val="1"/>
      <w:numFmt w:val="bullet"/>
      <w:lvlText w:val=""/>
      <w:lvlJc w:val="left"/>
      <w:pPr>
        <w:ind w:left="5041" w:hanging="360"/>
      </w:pPr>
      <w:rPr>
        <w:rFonts w:ascii="Symbol" w:hAnsi="Symbol" w:hint="default"/>
      </w:rPr>
    </w:lvl>
    <w:lvl w:ilvl="7" w:tplc="0C090003">
      <w:start w:val="1"/>
      <w:numFmt w:val="bullet"/>
      <w:lvlText w:val="o"/>
      <w:lvlJc w:val="left"/>
      <w:pPr>
        <w:ind w:left="5761" w:hanging="360"/>
      </w:pPr>
      <w:rPr>
        <w:rFonts w:ascii="Courier New" w:hAnsi="Courier New" w:cs="Courier New" w:hint="default"/>
      </w:rPr>
    </w:lvl>
    <w:lvl w:ilvl="8" w:tplc="0C090005">
      <w:start w:val="1"/>
      <w:numFmt w:val="bullet"/>
      <w:lvlText w:val=""/>
      <w:lvlJc w:val="left"/>
      <w:pPr>
        <w:ind w:left="6481" w:hanging="360"/>
      </w:pPr>
      <w:rPr>
        <w:rFonts w:ascii="Wingdings" w:hAnsi="Wingdings" w:hint="default"/>
      </w:rPr>
    </w:lvl>
  </w:abstractNum>
  <w:abstractNum w:abstractNumId="29" w15:restartNumberingAfterBreak="0">
    <w:nsid w:val="4B1A5C04"/>
    <w:multiLevelType w:val="hybridMultilevel"/>
    <w:tmpl w:val="47781D10"/>
    <w:lvl w:ilvl="0" w:tplc="5E8EFB02">
      <w:numFmt w:val="bullet"/>
      <w:lvlText w:val="•"/>
      <w:lvlJc w:val="left"/>
      <w:pPr>
        <w:ind w:left="1410" w:hanging="705"/>
      </w:pPr>
      <w:rPr>
        <w:rFonts w:ascii="Arial" w:eastAsia="Times New Roman" w:hAnsi="Arial" w:cs="Arial" w:hint="default"/>
      </w:rPr>
    </w:lvl>
    <w:lvl w:ilvl="1" w:tplc="0C090003" w:tentative="1">
      <w:start w:val="1"/>
      <w:numFmt w:val="bullet"/>
      <w:lvlText w:val="o"/>
      <w:lvlJc w:val="left"/>
      <w:pPr>
        <w:ind w:left="1785" w:hanging="360"/>
      </w:pPr>
      <w:rPr>
        <w:rFonts w:ascii="Courier New" w:hAnsi="Courier New" w:cs="Courier New" w:hint="default"/>
      </w:rPr>
    </w:lvl>
    <w:lvl w:ilvl="2" w:tplc="0C090005" w:tentative="1">
      <w:start w:val="1"/>
      <w:numFmt w:val="bullet"/>
      <w:lvlText w:val=""/>
      <w:lvlJc w:val="left"/>
      <w:pPr>
        <w:ind w:left="2505" w:hanging="360"/>
      </w:pPr>
      <w:rPr>
        <w:rFonts w:ascii="Wingdings" w:hAnsi="Wingdings" w:hint="default"/>
      </w:rPr>
    </w:lvl>
    <w:lvl w:ilvl="3" w:tplc="0C090001" w:tentative="1">
      <w:start w:val="1"/>
      <w:numFmt w:val="bullet"/>
      <w:lvlText w:val=""/>
      <w:lvlJc w:val="left"/>
      <w:pPr>
        <w:ind w:left="3225" w:hanging="360"/>
      </w:pPr>
      <w:rPr>
        <w:rFonts w:ascii="Symbol" w:hAnsi="Symbol" w:hint="default"/>
      </w:rPr>
    </w:lvl>
    <w:lvl w:ilvl="4" w:tplc="0C090003" w:tentative="1">
      <w:start w:val="1"/>
      <w:numFmt w:val="bullet"/>
      <w:lvlText w:val="o"/>
      <w:lvlJc w:val="left"/>
      <w:pPr>
        <w:ind w:left="3945" w:hanging="360"/>
      </w:pPr>
      <w:rPr>
        <w:rFonts w:ascii="Courier New" w:hAnsi="Courier New" w:cs="Courier New" w:hint="default"/>
      </w:rPr>
    </w:lvl>
    <w:lvl w:ilvl="5" w:tplc="0C090005" w:tentative="1">
      <w:start w:val="1"/>
      <w:numFmt w:val="bullet"/>
      <w:lvlText w:val=""/>
      <w:lvlJc w:val="left"/>
      <w:pPr>
        <w:ind w:left="4665" w:hanging="360"/>
      </w:pPr>
      <w:rPr>
        <w:rFonts w:ascii="Wingdings" w:hAnsi="Wingdings" w:hint="default"/>
      </w:rPr>
    </w:lvl>
    <w:lvl w:ilvl="6" w:tplc="0C090001" w:tentative="1">
      <w:start w:val="1"/>
      <w:numFmt w:val="bullet"/>
      <w:lvlText w:val=""/>
      <w:lvlJc w:val="left"/>
      <w:pPr>
        <w:ind w:left="5385" w:hanging="360"/>
      </w:pPr>
      <w:rPr>
        <w:rFonts w:ascii="Symbol" w:hAnsi="Symbol" w:hint="default"/>
      </w:rPr>
    </w:lvl>
    <w:lvl w:ilvl="7" w:tplc="0C090003" w:tentative="1">
      <w:start w:val="1"/>
      <w:numFmt w:val="bullet"/>
      <w:lvlText w:val="o"/>
      <w:lvlJc w:val="left"/>
      <w:pPr>
        <w:ind w:left="6105" w:hanging="360"/>
      </w:pPr>
      <w:rPr>
        <w:rFonts w:ascii="Courier New" w:hAnsi="Courier New" w:cs="Courier New" w:hint="default"/>
      </w:rPr>
    </w:lvl>
    <w:lvl w:ilvl="8" w:tplc="0C090005" w:tentative="1">
      <w:start w:val="1"/>
      <w:numFmt w:val="bullet"/>
      <w:lvlText w:val=""/>
      <w:lvlJc w:val="left"/>
      <w:pPr>
        <w:ind w:left="6825" w:hanging="360"/>
      </w:pPr>
      <w:rPr>
        <w:rFonts w:ascii="Wingdings" w:hAnsi="Wingdings" w:hint="default"/>
      </w:rPr>
    </w:lvl>
  </w:abstractNum>
  <w:abstractNum w:abstractNumId="30" w15:restartNumberingAfterBreak="0">
    <w:nsid w:val="517B203B"/>
    <w:multiLevelType w:val="hybridMultilevel"/>
    <w:tmpl w:val="7A8CDE3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BEF21A0"/>
    <w:multiLevelType w:val="hybridMultilevel"/>
    <w:tmpl w:val="1764D978"/>
    <w:lvl w:ilvl="0" w:tplc="524C882A">
      <w:start w:val="1"/>
      <w:numFmt w:val="bullet"/>
      <w:pStyle w:val="Seedbulletlevel2"/>
      <w:lvlText w:val=""/>
      <w:lvlJc w:val="left"/>
      <w:pPr>
        <w:ind w:left="1996" w:hanging="360"/>
      </w:pPr>
      <w:rPr>
        <w:rFonts w:ascii="Symbol" w:hAnsi="Symbol" w:hint="default"/>
      </w:rPr>
    </w:lvl>
    <w:lvl w:ilvl="1" w:tplc="0C090003">
      <w:start w:val="1"/>
      <w:numFmt w:val="bullet"/>
      <w:lvlText w:val="o"/>
      <w:lvlJc w:val="left"/>
      <w:pPr>
        <w:ind w:left="2716" w:hanging="360"/>
      </w:pPr>
      <w:rPr>
        <w:rFonts w:ascii="Courier New" w:hAnsi="Courier New" w:cs="Courier New" w:hint="default"/>
      </w:rPr>
    </w:lvl>
    <w:lvl w:ilvl="2" w:tplc="0C090005">
      <w:start w:val="1"/>
      <w:numFmt w:val="bullet"/>
      <w:lvlText w:val=""/>
      <w:lvlJc w:val="left"/>
      <w:pPr>
        <w:ind w:left="3436" w:hanging="360"/>
      </w:pPr>
      <w:rPr>
        <w:rFonts w:ascii="Wingdings" w:hAnsi="Wingdings" w:hint="default"/>
      </w:rPr>
    </w:lvl>
    <w:lvl w:ilvl="3" w:tplc="0C090001">
      <w:start w:val="1"/>
      <w:numFmt w:val="bullet"/>
      <w:lvlText w:val=""/>
      <w:lvlJc w:val="left"/>
      <w:pPr>
        <w:ind w:left="4156" w:hanging="360"/>
      </w:pPr>
      <w:rPr>
        <w:rFonts w:ascii="Symbol" w:hAnsi="Symbol" w:hint="default"/>
      </w:rPr>
    </w:lvl>
    <w:lvl w:ilvl="4" w:tplc="0C090003">
      <w:start w:val="1"/>
      <w:numFmt w:val="bullet"/>
      <w:lvlText w:val="o"/>
      <w:lvlJc w:val="left"/>
      <w:pPr>
        <w:ind w:left="4876" w:hanging="360"/>
      </w:pPr>
      <w:rPr>
        <w:rFonts w:ascii="Courier New" w:hAnsi="Courier New" w:cs="Courier New" w:hint="default"/>
      </w:rPr>
    </w:lvl>
    <w:lvl w:ilvl="5" w:tplc="0C090005">
      <w:start w:val="1"/>
      <w:numFmt w:val="bullet"/>
      <w:lvlText w:val=""/>
      <w:lvlJc w:val="left"/>
      <w:pPr>
        <w:ind w:left="5596" w:hanging="360"/>
      </w:pPr>
      <w:rPr>
        <w:rFonts w:ascii="Wingdings" w:hAnsi="Wingdings" w:hint="default"/>
      </w:rPr>
    </w:lvl>
    <w:lvl w:ilvl="6" w:tplc="0C090001">
      <w:start w:val="1"/>
      <w:numFmt w:val="bullet"/>
      <w:lvlText w:val=""/>
      <w:lvlJc w:val="left"/>
      <w:pPr>
        <w:ind w:left="6316" w:hanging="360"/>
      </w:pPr>
      <w:rPr>
        <w:rFonts w:ascii="Symbol" w:hAnsi="Symbol" w:hint="default"/>
      </w:rPr>
    </w:lvl>
    <w:lvl w:ilvl="7" w:tplc="0C090003">
      <w:start w:val="1"/>
      <w:numFmt w:val="bullet"/>
      <w:lvlText w:val="o"/>
      <w:lvlJc w:val="left"/>
      <w:pPr>
        <w:ind w:left="7036" w:hanging="360"/>
      </w:pPr>
      <w:rPr>
        <w:rFonts w:ascii="Courier New" w:hAnsi="Courier New" w:cs="Courier New" w:hint="default"/>
      </w:rPr>
    </w:lvl>
    <w:lvl w:ilvl="8" w:tplc="0C090005">
      <w:start w:val="1"/>
      <w:numFmt w:val="bullet"/>
      <w:lvlText w:val=""/>
      <w:lvlJc w:val="left"/>
      <w:pPr>
        <w:ind w:left="7756" w:hanging="360"/>
      </w:pPr>
      <w:rPr>
        <w:rFonts w:ascii="Wingdings" w:hAnsi="Wingdings" w:hint="default"/>
      </w:rPr>
    </w:lvl>
  </w:abstractNum>
  <w:abstractNum w:abstractNumId="32" w15:restartNumberingAfterBreak="0">
    <w:nsid w:val="5D070CFB"/>
    <w:multiLevelType w:val="hybridMultilevel"/>
    <w:tmpl w:val="329C136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3" w15:restartNumberingAfterBreak="0">
    <w:nsid w:val="5E8C6B86"/>
    <w:multiLevelType w:val="hybridMultilevel"/>
    <w:tmpl w:val="6EAE73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EFD4FF5"/>
    <w:multiLevelType w:val="hybridMultilevel"/>
    <w:tmpl w:val="8124C776"/>
    <w:lvl w:ilvl="0" w:tplc="0C090019">
      <w:start w:val="1"/>
      <w:numFmt w:val="lowerLetter"/>
      <w:lvlText w:val="%1."/>
      <w:lvlJc w:val="left"/>
      <w:pPr>
        <w:ind w:left="1778" w:hanging="360"/>
      </w:pPr>
    </w:lvl>
    <w:lvl w:ilvl="1" w:tplc="0C090019" w:tentative="1">
      <w:start w:val="1"/>
      <w:numFmt w:val="lowerLetter"/>
      <w:lvlText w:val="%2."/>
      <w:lvlJc w:val="left"/>
      <w:pPr>
        <w:ind w:left="2498" w:hanging="360"/>
      </w:pPr>
    </w:lvl>
    <w:lvl w:ilvl="2" w:tplc="0C09001B" w:tentative="1">
      <w:start w:val="1"/>
      <w:numFmt w:val="lowerRoman"/>
      <w:lvlText w:val="%3."/>
      <w:lvlJc w:val="right"/>
      <w:pPr>
        <w:ind w:left="3218" w:hanging="180"/>
      </w:pPr>
    </w:lvl>
    <w:lvl w:ilvl="3" w:tplc="0C09000F" w:tentative="1">
      <w:start w:val="1"/>
      <w:numFmt w:val="decimal"/>
      <w:lvlText w:val="%4."/>
      <w:lvlJc w:val="left"/>
      <w:pPr>
        <w:ind w:left="3938" w:hanging="360"/>
      </w:pPr>
    </w:lvl>
    <w:lvl w:ilvl="4" w:tplc="0C090019" w:tentative="1">
      <w:start w:val="1"/>
      <w:numFmt w:val="lowerLetter"/>
      <w:lvlText w:val="%5."/>
      <w:lvlJc w:val="left"/>
      <w:pPr>
        <w:ind w:left="4658" w:hanging="360"/>
      </w:pPr>
    </w:lvl>
    <w:lvl w:ilvl="5" w:tplc="0C09001B" w:tentative="1">
      <w:start w:val="1"/>
      <w:numFmt w:val="lowerRoman"/>
      <w:lvlText w:val="%6."/>
      <w:lvlJc w:val="right"/>
      <w:pPr>
        <w:ind w:left="5378" w:hanging="180"/>
      </w:pPr>
    </w:lvl>
    <w:lvl w:ilvl="6" w:tplc="0C09000F" w:tentative="1">
      <w:start w:val="1"/>
      <w:numFmt w:val="decimal"/>
      <w:lvlText w:val="%7."/>
      <w:lvlJc w:val="left"/>
      <w:pPr>
        <w:ind w:left="6098" w:hanging="360"/>
      </w:pPr>
    </w:lvl>
    <w:lvl w:ilvl="7" w:tplc="0C090019" w:tentative="1">
      <w:start w:val="1"/>
      <w:numFmt w:val="lowerLetter"/>
      <w:lvlText w:val="%8."/>
      <w:lvlJc w:val="left"/>
      <w:pPr>
        <w:ind w:left="6818" w:hanging="360"/>
      </w:pPr>
    </w:lvl>
    <w:lvl w:ilvl="8" w:tplc="0C09001B" w:tentative="1">
      <w:start w:val="1"/>
      <w:numFmt w:val="lowerRoman"/>
      <w:lvlText w:val="%9."/>
      <w:lvlJc w:val="right"/>
      <w:pPr>
        <w:ind w:left="7538" w:hanging="180"/>
      </w:pPr>
    </w:lvl>
  </w:abstractNum>
  <w:abstractNum w:abstractNumId="35" w15:restartNumberingAfterBreak="0">
    <w:nsid w:val="5FBD20F4"/>
    <w:multiLevelType w:val="hybridMultilevel"/>
    <w:tmpl w:val="CE44A34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2F4709F"/>
    <w:multiLevelType w:val="hybridMultilevel"/>
    <w:tmpl w:val="B83445AE"/>
    <w:lvl w:ilvl="0" w:tplc="BAC23B1C">
      <w:start w:val="1"/>
      <w:numFmt w:val="lowerLetter"/>
      <w:lvlText w:val="%1."/>
      <w:lvlJc w:val="left"/>
      <w:pPr>
        <w:ind w:left="1069"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6994448"/>
    <w:multiLevelType w:val="hybridMultilevel"/>
    <w:tmpl w:val="8B2224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8443CEF"/>
    <w:multiLevelType w:val="hybridMultilevel"/>
    <w:tmpl w:val="CB341E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9036512"/>
    <w:multiLevelType w:val="hybridMultilevel"/>
    <w:tmpl w:val="F1BA16FE"/>
    <w:lvl w:ilvl="0" w:tplc="A5F2C794">
      <w:start w:val="1"/>
      <w:numFmt w:val="lowerLetter"/>
      <w:lvlText w:val="(%1)"/>
      <w:lvlJc w:val="left"/>
      <w:pPr>
        <w:ind w:left="1778" w:hanging="360"/>
      </w:pPr>
      <w:rPr>
        <w:rFonts w:ascii="Arial" w:hAnsi="Arial" w:cs="Arial" w:hint="default"/>
        <w:i/>
        <w:sz w:val="20"/>
      </w:rPr>
    </w:lvl>
    <w:lvl w:ilvl="1" w:tplc="0C090019" w:tentative="1">
      <w:start w:val="1"/>
      <w:numFmt w:val="lowerLetter"/>
      <w:lvlText w:val="%2."/>
      <w:lvlJc w:val="left"/>
      <w:pPr>
        <w:ind w:left="2498" w:hanging="360"/>
      </w:pPr>
    </w:lvl>
    <w:lvl w:ilvl="2" w:tplc="0C09001B" w:tentative="1">
      <w:start w:val="1"/>
      <w:numFmt w:val="lowerRoman"/>
      <w:lvlText w:val="%3."/>
      <w:lvlJc w:val="right"/>
      <w:pPr>
        <w:ind w:left="3218" w:hanging="180"/>
      </w:pPr>
    </w:lvl>
    <w:lvl w:ilvl="3" w:tplc="0C09000F" w:tentative="1">
      <w:start w:val="1"/>
      <w:numFmt w:val="decimal"/>
      <w:lvlText w:val="%4."/>
      <w:lvlJc w:val="left"/>
      <w:pPr>
        <w:ind w:left="3938" w:hanging="360"/>
      </w:pPr>
    </w:lvl>
    <w:lvl w:ilvl="4" w:tplc="0C090019" w:tentative="1">
      <w:start w:val="1"/>
      <w:numFmt w:val="lowerLetter"/>
      <w:lvlText w:val="%5."/>
      <w:lvlJc w:val="left"/>
      <w:pPr>
        <w:ind w:left="4658" w:hanging="360"/>
      </w:pPr>
    </w:lvl>
    <w:lvl w:ilvl="5" w:tplc="0C09001B" w:tentative="1">
      <w:start w:val="1"/>
      <w:numFmt w:val="lowerRoman"/>
      <w:lvlText w:val="%6."/>
      <w:lvlJc w:val="right"/>
      <w:pPr>
        <w:ind w:left="5378" w:hanging="180"/>
      </w:pPr>
    </w:lvl>
    <w:lvl w:ilvl="6" w:tplc="0C09000F" w:tentative="1">
      <w:start w:val="1"/>
      <w:numFmt w:val="decimal"/>
      <w:lvlText w:val="%7."/>
      <w:lvlJc w:val="left"/>
      <w:pPr>
        <w:ind w:left="6098" w:hanging="360"/>
      </w:pPr>
    </w:lvl>
    <w:lvl w:ilvl="7" w:tplc="0C090019" w:tentative="1">
      <w:start w:val="1"/>
      <w:numFmt w:val="lowerLetter"/>
      <w:lvlText w:val="%8."/>
      <w:lvlJc w:val="left"/>
      <w:pPr>
        <w:ind w:left="6818" w:hanging="360"/>
      </w:pPr>
    </w:lvl>
    <w:lvl w:ilvl="8" w:tplc="0C09001B" w:tentative="1">
      <w:start w:val="1"/>
      <w:numFmt w:val="lowerRoman"/>
      <w:lvlText w:val="%9."/>
      <w:lvlJc w:val="right"/>
      <w:pPr>
        <w:ind w:left="7538" w:hanging="180"/>
      </w:pPr>
    </w:lvl>
  </w:abstractNum>
  <w:abstractNum w:abstractNumId="40" w15:restartNumberingAfterBreak="0">
    <w:nsid w:val="71662E19"/>
    <w:multiLevelType w:val="hybridMultilevel"/>
    <w:tmpl w:val="2A08BDF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5ED5BF8"/>
    <w:multiLevelType w:val="hybridMultilevel"/>
    <w:tmpl w:val="F3AA6B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8227D31"/>
    <w:multiLevelType w:val="hybridMultilevel"/>
    <w:tmpl w:val="8FA8AE9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8580ACF"/>
    <w:multiLevelType w:val="hybridMultilevel"/>
    <w:tmpl w:val="C2DE3F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7A417360"/>
    <w:multiLevelType w:val="hybridMultilevel"/>
    <w:tmpl w:val="0D2CAC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7B344734"/>
    <w:multiLevelType w:val="hybridMultilevel"/>
    <w:tmpl w:val="CB783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7B497F1A"/>
    <w:multiLevelType w:val="hybridMultilevel"/>
    <w:tmpl w:val="CD2A75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6"/>
  </w:num>
  <w:num w:numId="2">
    <w:abstractNumId w:val="42"/>
  </w:num>
  <w:num w:numId="3">
    <w:abstractNumId w:val="40"/>
  </w:num>
  <w:num w:numId="4">
    <w:abstractNumId w:val="14"/>
  </w:num>
  <w:num w:numId="5">
    <w:abstractNumId w:val="13"/>
    <w:lvlOverride w:ilvl="0">
      <w:startOverride w:val="1"/>
    </w:lvlOverride>
  </w:num>
  <w:num w:numId="6">
    <w:abstractNumId w:val="2"/>
  </w:num>
  <w:num w:numId="7">
    <w:abstractNumId w:val="39"/>
  </w:num>
  <w:num w:numId="8">
    <w:abstractNumId w:val="34"/>
  </w:num>
  <w:num w:numId="9">
    <w:abstractNumId w:val="27"/>
  </w:num>
  <w:num w:numId="10">
    <w:abstractNumId w:val="17"/>
  </w:num>
  <w:num w:numId="11">
    <w:abstractNumId w:val="5"/>
  </w:num>
  <w:num w:numId="12">
    <w:abstractNumId w:val="43"/>
  </w:num>
  <w:num w:numId="13">
    <w:abstractNumId w:val="35"/>
  </w:num>
  <w:num w:numId="14">
    <w:abstractNumId w:val="20"/>
  </w:num>
  <w:num w:numId="15">
    <w:abstractNumId w:val="30"/>
  </w:num>
  <w:num w:numId="16">
    <w:abstractNumId w:val="3"/>
  </w:num>
  <w:num w:numId="17">
    <w:abstractNumId w:val="11"/>
  </w:num>
  <w:num w:numId="18">
    <w:abstractNumId w:val="4"/>
  </w:num>
  <w:num w:numId="19">
    <w:abstractNumId w:val="45"/>
  </w:num>
  <w:num w:numId="20">
    <w:abstractNumId w:val="8"/>
  </w:num>
  <w:num w:numId="21">
    <w:abstractNumId w:val="16"/>
  </w:num>
  <w:num w:numId="22">
    <w:abstractNumId w:val="26"/>
  </w:num>
  <w:num w:numId="23">
    <w:abstractNumId w:val="1"/>
  </w:num>
  <w:num w:numId="24">
    <w:abstractNumId w:val="29"/>
  </w:num>
  <w:num w:numId="25">
    <w:abstractNumId w:val="22"/>
  </w:num>
  <w:num w:numId="26">
    <w:abstractNumId w:val="19"/>
  </w:num>
  <w:num w:numId="27">
    <w:abstractNumId w:val="24"/>
  </w:num>
  <w:num w:numId="28">
    <w:abstractNumId w:val="15"/>
  </w:num>
  <w:num w:numId="29">
    <w:abstractNumId w:val="21"/>
  </w:num>
  <w:num w:numId="30">
    <w:abstractNumId w:val="12"/>
  </w:num>
  <w:num w:numId="31">
    <w:abstractNumId w:val="31"/>
  </w:num>
  <w:num w:numId="32">
    <w:abstractNumId w:val="28"/>
  </w:num>
  <w:num w:numId="33">
    <w:abstractNumId w:val="18"/>
  </w:num>
  <w:num w:numId="34">
    <w:abstractNumId w:val="44"/>
  </w:num>
  <w:num w:numId="35">
    <w:abstractNumId w:val="23"/>
  </w:num>
  <w:num w:numId="36">
    <w:abstractNumId w:val="10"/>
  </w:num>
  <w:num w:numId="37">
    <w:abstractNumId w:val="36"/>
  </w:num>
  <w:num w:numId="38">
    <w:abstractNumId w:val="37"/>
  </w:num>
  <w:num w:numId="39">
    <w:abstractNumId w:val="7"/>
  </w:num>
  <w:num w:numId="40">
    <w:abstractNumId w:val="33"/>
  </w:num>
  <w:num w:numId="41">
    <w:abstractNumId w:val="41"/>
  </w:num>
  <w:num w:numId="42">
    <w:abstractNumId w:val="9"/>
  </w:num>
  <w:num w:numId="43">
    <w:abstractNumId w:val="25"/>
  </w:num>
  <w:num w:numId="44">
    <w:abstractNumId w:val="38"/>
  </w:num>
  <w:num w:numId="45">
    <w:abstractNumId w:val="32"/>
  </w:num>
  <w:num w:numId="46">
    <w:abstractNumId w:val="0"/>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AU" w:vendorID="64" w:dllVersion="6" w:nlCheck="1" w:checkStyle="1"/>
  <w:activeWritingStyle w:appName="MSWord" w:lang="en-US" w:vendorID="64" w:dllVersion="6" w:nlCheck="1" w:checkStyle="1"/>
  <w:activeWritingStyle w:appName="MSWord" w:lang="en-AU" w:vendorID="64" w:dllVersion="4096" w:nlCheck="1" w:checkStyle="0"/>
  <w:activeWritingStyle w:appName="MSWord" w:lang="en-AU" w:vendorID="64" w:dllVersion="0" w:nlCheck="1" w:checkStyle="0"/>
  <w:activeWritingStyle w:appName="MSWord" w:lang="en-US" w:vendorID="64" w:dllVersion="0" w:nlCheck="1" w:checkStyle="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14337">
      <o:colormru v:ext="edit" colors="#00468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270"/>
    <w:rsid w:val="000002D7"/>
    <w:rsid w:val="0000049F"/>
    <w:rsid w:val="000018C9"/>
    <w:rsid w:val="00002C74"/>
    <w:rsid w:val="00005633"/>
    <w:rsid w:val="0000659D"/>
    <w:rsid w:val="000121A0"/>
    <w:rsid w:val="00013548"/>
    <w:rsid w:val="0001512D"/>
    <w:rsid w:val="000179B6"/>
    <w:rsid w:val="00025486"/>
    <w:rsid w:val="00026AFE"/>
    <w:rsid w:val="00030386"/>
    <w:rsid w:val="00030644"/>
    <w:rsid w:val="00031BB2"/>
    <w:rsid w:val="000333DA"/>
    <w:rsid w:val="000350BB"/>
    <w:rsid w:val="0003773E"/>
    <w:rsid w:val="00037A98"/>
    <w:rsid w:val="000428F6"/>
    <w:rsid w:val="00046E00"/>
    <w:rsid w:val="0005012B"/>
    <w:rsid w:val="00053E27"/>
    <w:rsid w:val="000542E3"/>
    <w:rsid w:val="0006412E"/>
    <w:rsid w:val="00064507"/>
    <w:rsid w:val="0007225D"/>
    <w:rsid w:val="00073AD0"/>
    <w:rsid w:val="000744BC"/>
    <w:rsid w:val="00074F64"/>
    <w:rsid w:val="000831F5"/>
    <w:rsid w:val="00086168"/>
    <w:rsid w:val="000B0C84"/>
    <w:rsid w:val="000B192F"/>
    <w:rsid w:val="000B3117"/>
    <w:rsid w:val="000B3139"/>
    <w:rsid w:val="000B5ADA"/>
    <w:rsid w:val="000B6B24"/>
    <w:rsid w:val="000B7368"/>
    <w:rsid w:val="000C1ADA"/>
    <w:rsid w:val="000C374C"/>
    <w:rsid w:val="000C450B"/>
    <w:rsid w:val="000C4BDB"/>
    <w:rsid w:val="000C5746"/>
    <w:rsid w:val="000C628E"/>
    <w:rsid w:val="000C64E4"/>
    <w:rsid w:val="000C6E6E"/>
    <w:rsid w:val="000D09B5"/>
    <w:rsid w:val="000D7E7F"/>
    <w:rsid w:val="000E0D60"/>
    <w:rsid w:val="000E5BCC"/>
    <w:rsid w:val="000E6EF9"/>
    <w:rsid w:val="000F05D1"/>
    <w:rsid w:val="000F0F8C"/>
    <w:rsid w:val="000F4B5F"/>
    <w:rsid w:val="000F74F8"/>
    <w:rsid w:val="000F7B4D"/>
    <w:rsid w:val="0010108F"/>
    <w:rsid w:val="00102335"/>
    <w:rsid w:val="0010366D"/>
    <w:rsid w:val="001052D9"/>
    <w:rsid w:val="00107ACF"/>
    <w:rsid w:val="00107BED"/>
    <w:rsid w:val="00111E5B"/>
    <w:rsid w:val="00111EDB"/>
    <w:rsid w:val="00112AB6"/>
    <w:rsid w:val="001150BD"/>
    <w:rsid w:val="001171E5"/>
    <w:rsid w:val="00132594"/>
    <w:rsid w:val="001350B0"/>
    <w:rsid w:val="001351C0"/>
    <w:rsid w:val="00137D54"/>
    <w:rsid w:val="00142643"/>
    <w:rsid w:val="00144DB2"/>
    <w:rsid w:val="00147C2A"/>
    <w:rsid w:val="00152F87"/>
    <w:rsid w:val="001552EE"/>
    <w:rsid w:val="00161EDF"/>
    <w:rsid w:val="001634E7"/>
    <w:rsid w:val="0016440F"/>
    <w:rsid w:val="00165CF7"/>
    <w:rsid w:val="00165D5E"/>
    <w:rsid w:val="00165E78"/>
    <w:rsid w:val="001700CC"/>
    <w:rsid w:val="00171F51"/>
    <w:rsid w:val="00173790"/>
    <w:rsid w:val="0017577C"/>
    <w:rsid w:val="00175A13"/>
    <w:rsid w:val="00182076"/>
    <w:rsid w:val="001857AD"/>
    <w:rsid w:val="00185D74"/>
    <w:rsid w:val="00186270"/>
    <w:rsid w:val="00191A79"/>
    <w:rsid w:val="00191B2F"/>
    <w:rsid w:val="00191EDF"/>
    <w:rsid w:val="001951EA"/>
    <w:rsid w:val="0019660D"/>
    <w:rsid w:val="00196BAC"/>
    <w:rsid w:val="001A39FF"/>
    <w:rsid w:val="001A4CCE"/>
    <w:rsid w:val="001B378A"/>
    <w:rsid w:val="001B37C7"/>
    <w:rsid w:val="001B42DA"/>
    <w:rsid w:val="001B6ED9"/>
    <w:rsid w:val="001B6FA1"/>
    <w:rsid w:val="001C34FD"/>
    <w:rsid w:val="001C373E"/>
    <w:rsid w:val="001C3FBF"/>
    <w:rsid w:val="001C6115"/>
    <w:rsid w:val="001D02B2"/>
    <w:rsid w:val="001E5794"/>
    <w:rsid w:val="001F30B0"/>
    <w:rsid w:val="001F3F77"/>
    <w:rsid w:val="001F5552"/>
    <w:rsid w:val="001F722F"/>
    <w:rsid w:val="002004CD"/>
    <w:rsid w:val="00200954"/>
    <w:rsid w:val="00202D3F"/>
    <w:rsid w:val="002037F1"/>
    <w:rsid w:val="00204776"/>
    <w:rsid w:val="00205C9C"/>
    <w:rsid w:val="00206449"/>
    <w:rsid w:val="002118D9"/>
    <w:rsid w:val="0021283A"/>
    <w:rsid w:val="002169B4"/>
    <w:rsid w:val="00224094"/>
    <w:rsid w:val="0022543C"/>
    <w:rsid w:val="002255F0"/>
    <w:rsid w:val="002272BF"/>
    <w:rsid w:val="002302EE"/>
    <w:rsid w:val="00231D1A"/>
    <w:rsid w:val="00233072"/>
    <w:rsid w:val="00234F1C"/>
    <w:rsid w:val="00235887"/>
    <w:rsid w:val="00237167"/>
    <w:rsid w:val="002376F0"/>
    <w:rsid w:val="00237C60"/>
    <w:rsid w:val="00245103"/>
    <w:rsid w:val="00246295"/>
    <w:rsid w:val="00246711"/>
    <w:rsid w:val="00255159"/>
    <w:rsid w:val="00255CC3"/>
    <w:rsid w:val="002564E3"/>
    <w:rsid w:val="00263D4F"/>
    <w:rsid w:val="00271C36"/>
    <w:rsid w:val="00272A19"/>
    <w:rsid w:val="002735A8"/>
    <w:rsid w:val="002761A2"/>
    <w:rsid w:val="0028371A"/>
    <w:rsid w:val="002866D0"/>
    <w:rsid w:val="00294E0A"/>
    <w:rsid w:val="0029647B"/>
    <w:rsid w:val="002A23E5"/>
    <w:rsid w:val="002A284C"/>
    <w:rsid w:val="002A2D7A"/>
    <w:rsid w:val="002A38CF"/>
    <w:rsid w:val="002A3AD5"/>
    <w:rsid w:val="002A47D4"/>
    <w:rsid w:val="002A5F9C"/>
    <w:rsid w:val="002B1EC1"/>
    <w:rsid w:val="002B3C3B"/>
    <w:rsid w:val="002B45C0"/>
    <w:rsid w:val="002B5A95"/>
    <w:rsid w:val="002B5CA1"/>
    <w:rsid w:val="002B7072"/>
    <w:rsid w:val="002C2C3A"/>
    <w:rsid w:val="002C4B79"/>
    <w:rsid w:val="002D0824"/>
    <w:rsid w:val="002D6118"/>
    <w:rsid w:val="002D6D43"/>
    <w:rsid w:val="002E0156"/>
    <w:rsid w:val="002E1AF5"/>
    <w:rsid w:val="002E2BD6"/>
    <w:rsid w:val="002F1765"/>
    <w:rsid w:val="002F178E"/>
    <w:rsid w:val="002F3081"/>
    <w:rsid w:val="002F4187"/>
    <w:rsid w:val="002F46FE"/>
    <w:rsid w:val="00300454"/>
    <w:rsid w:val="0030268A"/>
    <w:rsid w:val="00303F19"/>
    <w:rsid w:val="00305EE6"/>
    <w:rsid w:val="00307C14"/>
    <w:rsid w:val="003103F4"/>
    <w:rsid w:val="003150FD"/>
    <w:rsid w:val="003153C6"/>
    <w:rsid w:val="00320234"/>
    <w:rsid w:val="0032070D"/>
    <w:rsid w:val="00321485"/>
    <w:rsid w:val="003215CA"/>
    <w:rsid w:val="00321E02"/>
    <w:rsid w:val="00322291"/>
    <w:rsid w:val="0032268A"/>
    <w:rsid w:val="00322CC3"/>
    <w:rsid w:val="003233B8"/>
    <w:rsid w:val="0032484C"/>
    <w:rsid w:val="00325128"/>
    <w:rsid w:val="00325B21"/>
    <w:rsid w:val="00330122"/>
    <w:rsid w:val="00332A60"/>
    <w:rsid w:val="00332E2A"/>
    <w:rsid w:val="00333DB1"/>
    <w:rsid w:val="0033542F"/>
    <w:rsid w:val="00337854"/>
    <w:rsid w:val="00337ED2"/>
    <w:rsid w:val="003425DD"/>
    <w:rsid w:val="00344A68"/>
    <w:rsid w:val="0034529F"/>
    <w:rsid w:val="00345312"/>
    <w:rsid w:val="00345A69"/>
    <w:rsid w:val="003468D6"/>
    <w:rsid w:val="00351469"/>
    <w:rsid w:val="00351528"/>
    <w:rsid w:val="00352C45"/>
    <w:rsid w:val="00355113"/>
    <w:rsid w:val="00357ABE"/>
    <w:rsid w:val="00366A8E"/>
    <w:rsid w:val="00366B89"/>
    <w:rsid w:val="00372E15"/>
    <w:rsid w:val="00373AEB"/>
    <w:rsid w:val="00374D46"/>
    <w:rsid w:val="0037672C"/>
    <w:rsid w:val="003768C2"/>
    <w:rsid w:val="003779F8"/>
    <w:rsid w:val="00387D5A"/>
    <w:rsid w:val="00391136"/>
    <w:rsid w:val="00392974"/>
    <w:rsid w:val="0039517B"/>
    <w:rsid w:val="003A2B68"/>
    <w:rsid w:val="003A2FD6"/>
    <w:rsid w:val="003A3669"/>
    <w:rsid w:val="003A3F0C"/>
    <w:rsid w:val="003A4642"/>
    <w:rsid w:val="003A476D"/>
    <w:rsid w:val="003A4AA7"/>
    <w:rsid w:val="003A4CFF"/>
    <w:rsid w:val="003A4F90"/>
    <w:rsid w:val="003A6635"/>
    <w:rsid w:val="003B17A5"/>
    <w:rsid w:val="003B2B6E"/>
    <w:rsid w:val="003B391B"/>
    <w:rsid w:val="003B42CC"/>
    <w:rsid w:val="003B4693"/>
    <w:rsid w:val="003C1A84"/>
    <w:rsid w:val="003C1F83"/>
    <w:rsid w:val="003C3810"/>
    <w:rsid w:val="003C5D0B"/>
    <w:rsid w:val="003C762B"/>
    <w:rsid w:val="003D1107"/>
    <w:rsid w:val="003D2190"/>
    <w:rsid w:val="003D43BC"/>
    <w:rsid w:val="003E433A"/>
    <w:rsid w:val="003F0D62"/>
    <w:rsid w:val="003F2493"/>
    <w:rsid w:val="003F3A81"/>
    <w:rsid w:val="003F4007"/>
    <w:rsid w:val="003F6A1D"/>
    <w:rsid w:val="003F7203"/>
    <w:rsid w:val="004010F7"/>
    <w:rsid w:val="004022E0"/>
    <w:rsid w:val="00402B9D"/>
    <w:rsid w:val="00403767"/>
    <w:rsid w:val="004053BB"/>
    <w:rsid w:val="00405E03"/>
    <w:rsid w:val="00412CEF"/>
    <w:rsid w:val="00416CB7"/>
    <w:rsid w:val="004177FF"/>
    <w:rsid w:val="0042003F"/>
    <w:rsid w:val="0042025F"/>
    <w:rsid w:val="00420816"/>
    <w:rsid w:val="00421165"/>
    <w:rsid w:val="00421770"/>
    <w:rsid w:val="004217B6"/>
    <w:rsid w:val="0042494A"/>
    <w:rsid w:val="00425BF4"/>
    <w:rsid w:val="004312FF"/>
    <w:rsid w:val="0043357E"/>
    <w:rsid w:val="0043424A"/>
    <w:rsid w:val="0043465A"/>
    <w:rsid w:val="00436617"/>
    <w:rsid w:val="00440443"/>
    <w:rsid w:val="00440818"/>
    <w:rsid w:val="00442E9A"/>
    <w:rsid w:val="00443D30"/>
    <w:rsid w:val="00447232"/>
    <w:rsid w:val="00450B4D"/>
    <w:rsid w:val="004532D1"/>
    <w:rsid w:val="00454161"/>
    <w:rsid w:val="00457F9E"/>
    <w:rsid w:val="00462EF8"/>
    <w:rsid w:val="00464985"/>
    <w:rsid w:val="00465CE0"/>
    <w:rsid w:val="004671F9"/>
    <w:rsid w:val="00467BBC"/>
    <w:rsid w:val="004711D7"/>
    <w:rsid w:val="00472068"/>
    <w:rsid w:val="00476510"/>
    <w:rsid w:val="0048283F"/>
    <w:rsid w:val="00484581"/>
    <w:rsid w:val="00485DD5"/>
    <w:rsid w:val="00486862"/>
    <w:rsid w:val="00486F59"/>
    <w:rsid w:val="00486FC4"/>
    <w:rsid w:val="0048700B"/>
    <w:rsid w:val="00487A3D"/>
    <w:rsid w:val="00491408"/>
    <w:rsid w:val="00496F42"/>
    <w:rsid w:val="004A033D"/>
    <w:rsid w:val="004A1C0B"/>
    <w:rsid w:val="004A215D"/>
    <w:rsid w:val="004A40F3"/>
    <w:rsid w:val="004A4FB8"/>
    <w:rsid w:val="004A7787"/>
    <w:rsid w:val="004B1D7E"/>
    <w:rsid w:val="004B3056"/>
    <w:rsid w:val="004B56C3"/>
    <w:rsid w:val="004B67D9"/>
    <w:rsid w:val="004B7704"/>
    <w:rsid w:val="004B7E6E"/>
    <w:rsid w:val="004B7EF9"/>
    <w:rsid w:val="004C12C1"/>
    <w:rsid w:val="004C1983"/>
    <w:rsid w:val="004C20D5"/>
    <w:rsid w:val="004C6945"/>
    <w:rsid w:val="004C74DC"/>
    <w:rsid w:val="004D386D"/>
    <w:rsid w:val="004D3A1D"/>
    <w:rsid w:val="004D6FAA"/>
    <w:rsid w:val="004D72D2"/>
    <w:rsid w:val="004E0E6C"/>
    <w:rsid w:val="004E2BC6"/>
    <w:rsid w:val="004F0184"/>
    <w:rsid w:val="004F15EE"/>
    <w:rsid w:val="004F1BC8"/>
    <w:rsid w:val="004F1CF3"/>
    <w:rsid w:val="004F2EBC"/>
    <w:rsid w:val="004F34FC"/>
    <w:rsid w:val="004F6111"/>
    <w:rsid w:val="004F6BDC"/>
    <w:rsid w:val="004F7305"/>
    <w:rsid w:val="00501904"/>
    <w:rsid w:val="00502B15"/>
    <w:rsid w:val="0051183B"/>
    <w:rsid w:val="00512550"/>
    <w:rsid w:val="00513630"/>
    <w:rsid w:val="005172C1"/>
    <w:rsid w:val="00523719"/>
    <w:rsid w:val="005241DB"/>
    <w:rsid w:val="00524290"/>
    <w:rsid w:val="0052690D"/>
    <w:rsid w:val="00531EE3"/>
    <w:rsid w:val="0053234B"/>
    <w:rsid w:val="00532644"/>
    <w:rsid w:val="00536E7E"/>
    <w:rsid w:val="00540F41"/>
    <w:rsid w:val="00552C1B"/>
    <w:rsid w:val="00552C57"/>
    <w:rsid w:val="005574F5"/>
    <w:rsid w:val="00557CEF"/>
    <w:rsid w:val="00565DFA"/>
    <w:rsid w:val="005660F3"/>
    <w:rsid w:val="005702C9"/>
    <w:rsid w:val="00573AB2"/>
    <w:rsid w:val="00574F49"/>
    <w:rsid w:val="00574FF0"/>
    <w:rsid w:val="00583472"/>
    <w:rsid w:val="00583801"/>
    <w:rsid w:val="0058434C"/>
    <w:rsid w:val="00585C48"/>
    <w:rsid w:val="00596A84"/>
    <w:rsid w:val="00597195"/>
    <w:rsid w:val="00597250"/>
    <w:rsid w:val="00597EDA"/>
    <w:rsid w:val="005A2A9D"/>
    <w:rsid w:val="005A4D48"/>
    <w:rsid w:val="005A54AD"/>
    <w:rsid w:val="005A710A"/>
    <w:rsid w:val="005B09A9"/>
    <w:rsid w:val="005B1BB4"/>
    <w:rsid w:val="005B36D5"/>
    <w:rsid w:val="005B3DE7"/>
    <w:rsid w:val="005B72D2"/>
    <w:rsid w:val="005B7670"/>
    <w:rsid w:val="005D12E7"/>
    <w:rsid w:val="005D3F38"/>
    <w:rsid w:val="005D7BF5"/>
    <w:rsid w:val="005D7C08"/>
    <w:rsid w:val="005D7F66"/>
    <w:rsid w:val="005E1F08"/>
    <w:rsid w:val="005E7166"/>
    <w:rsid w:val="005F49FB"/>
    <w:rsid w:val="006108EB"/>
    <w:rsid w:val="00610D9B"/>
    <w:rsid w:val="0061445A"/>
    <w:rsid w:val="00615ADA"/>
    <w:rsid w:val="00616189"/>
    <w:rsid w:val="00616EA8"/>
    <w:rsid w:val="006170E0"/>
    <w:rsid w:val="006211C6"/>
    <w:rsid w:val="0062122E"/>
    <w:rsid w:val="00622535"/>
    <w:rsid w:val="00622C2D"/>
    <w:rsid w:val="00623C61"/>
    <w:rsid w:val="0063647F"/>
    <w:rsid w:val="0063659A"/>
    <w:rsid w:val="00637F6C"/>
    <w:rsid w:val="00642633"/>
    <w:rsid w:val="00650CB5"/>
    <w:rsid w:val="00652F4C"/>
    <w:rsid w:val="00653C95"/>
    <w:rsid w:val="006603A4"/>
    <w:rsid w:val="006622CE"/>
    <w:rsid w:val="0066259F"/>
    <w:rsid w:val="00664C53"/>
    <w:rsid w:val="00666383"/>
    <w:rsid w:val="00666CA5"/>
    <w:rsid w:val="006710E2"/>
    <w:rsid w:val="00671B23"/>
    <w:rsid w:val="00672BB3"/>
    <w:rsid w:val="00673706"/>
    <w:rsid w:val="00676C13"/>
    <w:rsid w:val="006808DF"/>
    <w:rsid w:val="00682812"/>
    <w:rsid w:val="00691515"/>
    <w:rsid w:val="0069304B"/>
    <w:rsid w:val="00697E99"/>
    <w:rsid w:val="006A25F5"/>
    <w:rsid w:val="006A2984"/>
    <w:rsid w:val="006A453B"/>
    <w:rsid w:val="006A7B5B"/>
    <w:rsid w:val="006B1EA9"/>
    <w:rsid w:val="006B2190"/>
    <w:rsid w:val="006B2A2E"/>
    <w:rsid w:val="006B3616"/>
    <w:rsid w:val="006B40E5"/>
    <w:rsid w:val="006B52F0"/>
    <w:rsid w:val="006B5A80"/>
    <w:rsid w:val="006B7103"/>
    <w:rsid w:val="006C4744"/>
    <w:rsid w:val="006C51CE"/>
    <w:rsid w:val="006C549A"/>
    <w:rsid w:val="006C5915"/>
    <w:rsid w:val="006C7D63"/>
    <w:rsid w:val="006D09E7"/>
    <w:rsid w:val="006D0B23"/>
    <w:rsid w:val="006D7560"/>
    <w:rsid w:val="006E46E0"/>
    <w:rsid w:val="006F0C04"/>
    <w:rsid w:val="006F1CB9"/>
    <w:rsid w:val="006F249F"/>
    <w:rsid w:val="006F6688"/>
    <w:rsid w:val="006F6A68"/>
    <w:rsid w:val="007035A7"/>
    <w:rsid w:val="00704194"/>
    <w:rsid w:val="007058EE"/>
    <w:rsid w:val="00710CCB"/>
    <w:rsid w:val="007121A9"/>
    <w:rsid w:val="00712657"/>
    <w:rsid w:val="007168A1"/>
    <w:rsid w:val="00716930"/>
    <w:rsid w:val="00716D7F"/>
    <w:rsid w:val="00721245"/>
    <w:rsid w:val="007224F6"/>
    <w:rsid w:val="007241BA"/>
    <w:rsid w:val="00724641"/>
    <w:rsid w:val="00726C7E"/>
    <w:rsid w:val="007357ED"/>
    <w:rsid w:val="00737265"/>
    <w:rsid w:val="00742849"/>
    <w:rsid w:val="00745171"/>
    <w:rsid w:val="007519E5"/>
    <w:rsid w:val="00752D6D"/>
    <w:rsid w:val="00757664"/>
    <w:rsid w:val="007633EC"/>
    <w:rsid w:val="007655B8"/>
    <w:rsid w:val="00767177"/>
    <w:rsid w:val="0077009A"/>
    <w:rsid w:val="0077226D"/>
    <w:rsid w:val="0077642E"/>
    <w:rsid w:val="00776E59"/>
    <w:rsid w:val="00780EAC"/>
    <w:rsid w:val="00783589"/>
    <w:rsid w:val="00784035"/>
    <w:rsid w:val="007905CA"/>
    <w:rsid w:val="00790C1D"/>
    <w:rsid w:val="0079367B"/>
    <w:rsid w:val="00796056"/>
    <w:rsid w:val="007A21D0"/>
    <w:rsid w:val="007A2A4B"/>
    <w:rsid w:val="007A5A04"/>
    <w:rsid w:val="007A5A5D"/>
    <w:rsid w:val="007A7939"/>
    <w:rsid w:val="007B02FD"/>
    <w:rsid w:val="007B2AC6"/>
    <w:rsid w:val="007B3518"/>
    <w:rsid w:val="007B4514"/>
    <w:rsid w:val="007C1ED7"/>
    <w:rsid w:val="007C1F71"/>
    <w:rsid w:val="007C4171"/>
    <w:rsid w:val="007D6EA6"/>
    <w:rsid w:val="007E025F"/>
    <w:rsid w:val="007E029F"/>
    <w:rsid w:val="007E0D31"/>
    <w:rsid w:val="007E232F"/>
    <w:rsid w:val="007E2EE6"/>
    <w:rsid w:val="007E3350"/>
    <w:rsid w:val="007E42DE"/>
    <w:rsid w:val="007E5D5A"/>
    <w:rsid w:val="007F0375"/>
    <w:rsid w:val="007F0551"/>
    <w:rsid w:val="007F09CC"/>
    <w:rsid w:val="007F2AA0"/>
    <w:rsid w:val="007F6CA3"/>
    <w:rsid w:val="007F6F60"/>
    <w:rsid w:val="007F773A"/>
    <w:rsid w:val="00800186"/>
    <w:rsid w:val="008008A0"/>
    <w:rsid w:val="0080212B"/>
    <w:rsid w:val="00803561"/>
    <w:rsid w:val="00803570"/>
    <w:rsid w:val="00803D55"/>
    <w:rsid w:val="00805FF6"/>
    <w:rsid w:val="008200F6"/>
    <w:rsid w:val="0082110C"/>
    <w:rsid w:val="00824A7C"/>
    <w:rsid w:val="00826F3E"/>
    <w:rsid w:val="00833EE6"/>
    <w:rsid w:val="0083463F"/>
    <w:rsid w:val="0083790E"/>
    <w:rsid w:val="00837D64"/>
    <w:rsid w:val="0084071C"/>
    <w:rsid w:val="00840C34"/>
    <w:rsid w:val="00842088"/>
    <w:rsid w:val="00843A97"/>
    <w:rsid w:val="008454DD"/>
    <w:rsid w:val="00856444"/>
    <w:rsid w:val="00862109"/>
    <w:rsid w:val="00862D1E"/>
    <w:rsid w:val="008638B8"/>
    <w:rsid w:val="008650C6"/>
    <w:rsid w:val="00865E85"/>
    <w:rsid w:val="00866484"/>
    <w:rsid w:val="00872785"/>
    <w:rsid w:val="00872913"/>
    <w:rsid w:val="00873B7F"/>
    <w:rsid w:val="00876172"/>
    <w:rsid w:val="00876821"/>
    <w:rsid w:val="008831C1"/>
    <w:rsid w:val="00884CD9"/>
    <w:rsid w:val="00884FB3"/>
    <w:rsid w:val="008862B5"/>
    <w:rsid w:val="0089280A"/>
    <w:rsid w:val="008960BE"/>
    <w:rsid w:val="00897136"/>
    <w:rsid w:val="008A4A78"/>
    <w:rsid w:val="008B47F1"/>
    <w:rsid w:val="008B6474"/>
    <w:rsid w:val="008C0D07"/>
    <w:rsid w:val="008C1347"/>
    <w:rsid w:val="008C4838"/>
    <w:rsid w:val="008C62FE"/>
    <w:rsid w:val="008D4ABD"/>
    <w:rsid w:val="008D7043"/>
    <w:rsid w:val="008E6137"/>
    <w:rsid w:val="008E6C50"/>
    <w:rsid w:val="008F012E"/>
    <w:rsid w:val="008F101A"/>
    <w:rsid w:val="008F6E72"/>
    <w:rsid w:val="008F7530"/>
    <w:rsid w:val="008F75B5"/>
    <w:rsid w:val="008F7EE3"/>
    <w:rsid w:val="009064DB"/>
    <w:rsid w:val="00906594"/>
    <w:rsid w:val="009131AD"/>
    <w:rsid w:val="0091643D"/>
    <w:rsid w:val="00916AF3"/>
    <w:rsid w:val="00917812"/>
    <w:rsid w:val="009178D0"/>
    <w:rsid w:val="00920191"/>
    <w:rsid w:val="0092101C"/>
    <w:rsid w:val="00922954"/>
    <w:rsid w:val="00926078"/>
    <w:rsid w:val="009279B3"/>
    <w:rsid w:val="00932A57"/>
    <w:rsid w:val="0093506D"/>
    <w:rsid w:val="00935E17"/>
    <w:rsid w:val="00940A49"/>
    <w:rsid w:val="0094299A"/>
    <w:rsid w:val="00944F42"/>
    <w:rsid w:val="00946F9B"/>
    <w:rsid w:val="00947C56"/>
    <w:rsid w:val="0095011B"/>
    <w:rsid w:val="00954B38"/>
    <w:rsid w:val="00954E00"/>
    <w:rsid w:val="00956817"/>
    <w:rsid w:val="00963AC3"/>
    <w:rsid w:val="00964493"/>
    <w:rsid w:val="00965411"/>
    <w:rsid w:val="00970657"/>
    <w:rsid w:val="0097440B"/>
    <w:rsid w:val="009772EF"/>
    <w:rsid w:val="00980E75"/>
    <w:rsid w:val="009849E5"/>
    <w:rsid w:val="009861EA"/>
    <w:rsid w:val="009A162C"/>
    <w:rsid w:val="009A2FEF"/>
    <w:rsid w:val="009A5188"/>
    <w:rsid w:val="009A7525"/>
    <w:rsid w:val="009B0CDF"/>
    <w:rsid w:val="009B5BF0"/>
    <w:rsid w:val="009B5D60"/>
    <w:rsid w:val="009B7147"/>
    <w:rsid w:val="009C031E"/>
    <w:rsid w:val="009C0EA6"/>
    <w:rsid w:val="009C130C"/>
    <w:rsid w:val="009C1675"/>
    <w:rsid w:val="009C2977"/>
    <w:rsid w:val="009C4B75"/>
    <w:rsid w:val="009C4BAE"/>
    <w:rsid w:val="009D1567"/>
    <w:rsid w:val="009D5DC5"/>
    <w:rsid w:val="009D7051"/>
    <w:rsid w:val="009E33B8"/>
    <w:rsid w:val="009E4300"/>
    <w:rsid w:val="009E48A8"/>
    <w:rsid w:val="009E4EBF"/>
    <w:rsid w:val="009E54EA"/>
    <w:rsid w:val="009E68CD"/>
    <w:rsid w:val="009F06E8"/>
    <w:rsid w:val="009F2D4D"/>
    <w:rsid w:val="009F39A0"/>
    <w:rsid w:val="009F3FB7"/>
    <w:rsid w:val="009F49D7"/>
    <w:rsid w:val="009F51C3"/>
    <w:rsid w:val="009F5862"/>
    <w:rsid w:val="009F5F08"/>
    <w:rsid w:val="00A00DC5"/>
    <w:rsid w:val="00A01DC0"/>
    <w:rsid w:val="00A02962"/>
    <w:rsid w:val="00A041B2"/>
    <w:rsid w:val="00A041C3"/>
    <w:rsid w:val="00A07E7A"/>
    <w:rsid w:val="00A103BF"/>
    <w:rsid w:val="00A129C6"/>
    <w:rsid w:val="00A14017"/>
    <w:rsid w:val="00A1434B"/>
    <w:rsid w:val="00A15554"/>
    <w:rsid w:val="00A161E8"/>
    <w:rsid w:val="00A20A14"/>
    <w:rsid w:val="00A2477D"/>
    <w:rsid w:val="00A254FF"/>
    <w:rsid w:val="00A35DB5"/>
    <w:rsid w:val="00A368D8"/>
    <w:rsid w:val="00A3779D"/>
    <w:rsid w:val="00A37AE3"/>
    <w:rsid w:val="00A414F9"/>
    <w:rsid w:val="00A4656D"/>
    <w:rsid w:val="00A47F2A"/>
    <w:rsid w:val="00A5041A"/>
    <w:rsid w:val="00A540EE"/>
    <w:rsid w:val="00A62246"/>
    <w:rsid w:val="00A62719"/>
    <w:rsid w:val="00A62F8D"/>
    <w:rsid w:val="00A63A7A"/>
    <w:rsid w:val="00A65771"/>
    <w:rsid w:val="00A709AE"/>
    <w:rsid w:val="00A711C0"/>
    <w:rsid w:val="00A71B91"/>
    <w:rsid w:val="00A71BF9"/>
    <w:rsid w:val="00A71F52"/>
    <w:rsid w:val="00A777F6"/>
    <w:rsid w:val="00A80C38"/>
    <w:rsid w:val="00A861BE"/>
    <w:rsid w:val="00A86C90"/>
    <w:rsid w:val="00A92B96"/>
    <w:rsid w:val="00A9489B"/>
    <w:rsid w:val="00A964A4"/>
    <w:rsid w:val="00A96BA9"/>
    <w:rsid w:val="00A97679"/>
    <w:rsid w:val="00AA122F"/>
    <w:rsid w:val="00AA2EFE"/>
    <w:rsid w:val="00AA772C"/>
    <w:rsid w:val="00AB1EFB"/>
    <w:rsid w:val="00AC0070"/>
    <w:rsid w:val="00AC60B7"/>
    <w:rsid w:val="00AD1779"/>
    <w:rsid w:val="00AD2032"/>
    <w:rsid w:val="00AD3062"/>
    <w:rsid w:val="00AD49F2"/>
    <w:rsid w:val="00AE1262"/>
    <w:rsid w:val="00AE1B55"/>
    <w:rsid w:val="00AE667B"/>
    <w:rsid w:val="00AE6FD1"/>
    <w:rsid w:val="00AF1F6F"/>
    <w:rsid w:val="00AF22BE"/>
    <w:rsid w:val="00AF2BF1"/>
    <w:rsid w:val="00AF5482"/>
    <w:rsid w:val="00B01CD6"/>
    <w:rsid w:val="00B025E2"/>
    <w:rsid w:val="00B02814"/>
    <w:rsid w:val="00B03D94"/>
    <w:rsid w:val="00B102A3"/>
    <w:rsid w:val="00B104AB"/>
    <w:rsid w:val="00B137F1"/>
    <w:rsid w:val="00B13BE1"/>
    <w:rsid w:val="00B202F2"/>
    <w:rsid w:val="00B241FC"/>
    <w:rsid w:val="00B24676"/>
    <w:rsid w:val="00B251FB"/>
    <w:rsid w:val="00B36504"/>
    <w:rsid w:val="00B378C0"/>
    <w:rsid w:val="00B40D1B"/>
    <w:rsid w:val="00B436E0"/>
    <w:rsid w:val="00B4416F"/>
    <w:rsid w:val="00B52746"/>
    <w:rsid w:val="00B55F6B"/>
    <w:rsid w:val="00B563D4"/>
    <w:rsid w:val="00B56C84"/>
    <w:rsid w:val="00B570D4"/>
    <w:rsid w:val="00B61E71"/>
    <w:rsid w:val="00B6621B"/>
    <w:rsid w:val="00B6740D"/>
    <w:rsid w:val="00B67AA7"/>
    <w:rsid w:val="00B7675E"/>
    <w:rsid w:val="00B769ED"/>
    <w:rsid w:val="00B76D06"/>
    <w:rsid w:val="00B840B3"/>
    <w:rsid w:val="00B941F3"/>
    <w:rsid w:val="00B947AE"/>
    <w:rsid w:val="00B95BD7"/>
    <w:rsid w:val="00B96210"/>
    <w:rsid w:val="00B9666A"/>
    <w:rsid w:val="00B977D6"/>
    <w:rsid w:val="00BA0FD1"/>
    <w:rsid w:val="00BA19FD"/>
    <w:rsid w:val="00BA246B"/>
    <w:rsid w:val="00BA5480"/>
    <w:rsid w:val="00BA560F"/>
    <w:rsid w:val="00BA76E1"/>
    <w:rsid w:val="00BA7D29"/>
    <w:rsid w:val="00BB029F"/>
    <w:rsid w:val="00BB3004"/>
    <w:rsid w:val="00BC06CE"/>
    <w:rsid w:val="00BC11BE"/>
    <w:rsid w:val="00BC1389"/>
    <w:rsid w:val="00BC26A5"/>
    <w:rsid w:val="00BC43B9"/>
    <w:rsid w:val="00BC51F1"/>
    <w:rsid w:val="00BC6865"/>
    <w:rsid w:val="00BC6B1D"/>
    <w:rsid w:val="00BD2B5F"/>
    <w:rsid w:val="00BD44EF"/>
    <w:rsid w:val="00BD5343"/>
    <w:rsid w:val="00BD6525"/>
    <w:rsid w:val="00BE0C11"/>
    <w:rsid w:val="00BE26D1"/>
    <w:rsid w:val="00BF29C8"/>
    <w:rsid w:val="00BF2D26"/>
    <w:rsid w:val="00BF360C"/>
    <w:rsid w:val="00BF7CAA"/>
    <w:rsid w:val="00C04BCA"/>
    <w:rsid w:val="00C04C8E"/>
    <w:rsid w:val="00C04D3C"/>
    <w:rsid w:val="00C05DAC"/>
    <w:rsid w:val="00C07563"/>
    <w:rsid w:val="00C147F4"/>
    <w:rsid w:val="00C14988"/>
    <w:rsid w:val="00C16B39"/>
    <w:rsid w:val="00C173E2"/>
    <w:rsid w:val="00C17B7A"/>
    <w:rsid w:val="00C2218D"/>
    <w:rsid w:val="00C22855"/>
    <w:rsid w:val="00C25D02"/>
    <w:rsid w:val="00C379B3"/>
    <w:rsid w:val="00C40C29"/>
    <w:rsid w:val="00C40D1E"/>
    <w:rsid w:val="00C41709"/>
    <w:rsid w:val="00C43136"/>
    <w:rsid w:val="00C43B16"/>
    <w:rsid w:val="00C46757"/>
    <w:rsid w:val="00C51380"/>
    <w:rsid w:val="00C558BB"/>
    <w:rsid w:val="00C57437"/>
    <w:rsid w:val="00C60A24"/>
    <w:rsid w:val="00C62E08"/>
    <w:rsid w:val="00C6680A"/>
    <w:rsid w:val="00C72412"/>
    <w:rsid w:val="00C7279E"/>
    <w:rsid w:val="00C737A0"/>
    <w:rsid w:val="00C74081"/>
    <w:rsid w:val="00C76FA9"/>
    <w:rsid w:val="00C77A0F"/>
    <w:rsid w:val="00C816DA"/>
    <w:rsid w:val="00C826B8"/>
    <w:rsid w:val="00C85337"/>
    <w:rsid w:val="00C86D87"/>
    <w:rsid w:val="00C92BD0"/>
    <w:rsid w:val="00C9525A"/>
    <w:rsid w:val="00C96339"/>
    <w:rsid w:val="00C96B01"/>
    <w:rsid w:val="00CA0AC3"/>
    <w:rsid w:val="00CA32A8"/>
    <w:rsid w:val="00CA38CD"/>
    <w:rsid w:val="00CA6E5D"/>
    <w:rsid w:val="00CA719F"/>
    <w:rsid w:val="00CA73E2"/>
    <w:rsid w:val="00CB231D"/>
    <w:rsid w:val="00CB29DF"/>
    <w:rsid w:val="00CB3DE7"/>
    <w:rsid w:val="00CB6629"/>
    <w:rsid w:val="00CB7BAF"/>
    <w:rsid w:val="00CC121A"/>
    <w:rsid w:val="00CC17CA"/>
    <w:rsid w:val="00CC1A26"/>
    <w:rsid w:val="00CC2377"/>
    <w:rsid w:val="00CC33F6"/>
    <w:rsid w:val="00CC5204"/>
    <w:rsid w:val="00CC5AA2"/>
    <w:rsid w:val="00CC6269"/>
    <w:rsid w:val="00CC6E36"/>
    <w:rsid w:val="00CC6E45"/>
    <w:rsid w:val="00CD23AD"/>
    <w:rsid w:val="00CD5D39"/>
    <w:rsid w:val="00CD73C4"/>
    <w:rsid w:val="00CE220D"/>
    <w:rsid w:val="00CE3105"/>
    <w:rsid w:val="00CE4C78"/>
    <w:rsid w:val="00CE6A46"/>
    <w:rsid w:val="00CE7B47"/>
    <w:rsid w:val="00CF2D8B"/>
    <w:rsid w:val="00CF4EC8"/>
    <w:rsid w:val="00CF5611"/>
    <w:rsid w:val="00CF5D0E"/>
    <w:rsid w:val="00CF68C3"/>
    <w:rsid w:val="00D01103"/>
    <w:rsid w:val="00D0196B"/>
    <w:rsid w:val="00D0530D"/>
    <w:rsid w:val="00D15812"/>
    <w:rsid w:val="00D16E97"/>
    <w:rsid w:val="00D17387"/>
    <w:rsid w:val="00D22180"/>
    <w:rsid w:val="00D245E5"/>
    <w:rsid w:val="00D24E37"/>
    <w:rsid w:val="00D254E4"/>
    <w:rsid w:val="00D32464"/>
    <w:rsid w:val="00D337D3"/>
    <w:rsid w:val="00D3417E"/>
    <w:rsid w:val="00D36766"/>
    <w:rsid w:val="00D36883"/>
    <w:rsid w:val="00D40042"/>
    <w:rsid w:val="00D422B8"/>
    <w:rsid w:val="00D45B9F"/>
    <w:rsid w:val="00D52B46"/>
    <w:rsid w:val="00D53004"/>
    <w:rsid w:val="00D548FB"/>
    <w:rsid w:val="00D573F8"/>
    <w:rsid w:val="00D57B69"/>
    <w:rsid w:val="00D57BAC"/>
    <w:rsid w:val="00D57C25"/>
    <w:rsid w:val="00D647E2"/>
    <w:rsid w:val="00D75580"/>
    <w:rsid w:val="00D76FDC"/>
    <w:rsid w:val="00D80292"/>
    <w:rsid w:val="00D8191E"/>
    <w:rsid w:val="00D81E2B"/>
    <w:rsid w:val="00D8296A"/>
    <w:rsid w:val="00D82F75"/>
    <w:rsid w:val="00D83F19"/>
    <w:rsid w:val="00D90C4C"/>
    <w:rsid w:val="00D90D6F"/>
    <w:rsid w:val="00D91A73"/>
    <w:rsid w:val="00D92FC0"/>
    <w:rsid w:val="00D96F2F"/>
    <w:rsid w:val="00DA4C7F"/>
    <w:rsid w:val="00DA67C5"/>
    <w:rsid w:val="00DB2DEC"/>
    <w:rsid w:val="00DB2EAE"/>
    <w:rsid w:val="00DB32CC"/>
    <w:rsid w:val="00DB68EC"/>
    <w:rsid w:val="00DC28B4"/>
    <w:rsid w:val="00DC65D6"/>
    <w:rsid w:val="00DD0F8E"/>
    <w:rsid w:val="00DD25B8"/>
    <w:rsid w:val="00DD45FA"/>
    <w:rsid w:val="00DD4E35"/>
    <w:rsid w:val="00DD5B98"/>
    <w:rsid w:val="00DE289A"/>
    <w:rsid w:val="00DE2BEE"/>
    <w:rsid w:val="00DE7971"/>
    <w:rsid w:val="00DF1BC3"/>
    <w:rsid w:val="00DF6A0C"/>
    <w:rsid w:val="00E02433"/>
    <w:rsid w:val="00E02E80"/>
    <w:rsid w:val="00E04685"/>
    <w:rsid w:val="00E050FB"/>
    <w:rsid w:val="00E0736C"/>
    <w:rsid w:val="00E0791B"/>
    <w:rsid w:val="00E106E3"/>
    <w:rsid w:val="00E125B1"/>
    <w:rsid w:val="00E12D5B"/>
    <w:rsid w:val="00E13527"/>
    <w:rsid w:val="00E22587"/>
    <w:rsid w:val="00E25058"/>
    <w:rsid w:val="00E269D9"/>
    <w:rsid w:val="00E32FB7"/>
    <w:rsid w:val="00E3373E"/>
    <w:rsid w:val="00E33CA5"/>
    <w:rsid w:val="00E354CF"/>
    <w:rsid w:val="00E35D96"/>
    <w:rsid w:val="00E367D7"/>
    <w:rsid w:val="00E36F13"/>
    <w:rsid w:val="00E3710A"/>
    <w:rsid w:val="00E4172A"/>
    <w:rsid w:val="00E4198F"/>
    <w:rsid w:val="00E42189"/>
    <w:rsid w:val="00E42290"/>
    <w:rsid w:val="00E43BBD"/>
    <w:rsid w:val="00E44A62"/>
    <w:rsid w:val="00E45F90"/>
    <w:rsid w:val="00E46CCD"/>
    <w:rsid w:val="00E53E19"/>
    <w:rsid w:val="00E56262"/>
    <w:rsid w:val="00E650C2"/>
    <w:rsid w:val="00E72236"/>
    <w:rsid w:val="00E75C61"/>
    <w:rsid w:val="00E80083"/>
    <w:rsid w:val="00E81023"/>
    <w:rsid w:val="00E81A36"/>
    <w:rsid w:val="00E850C4"/>
    <w:rsid w:val="00E8569F"/>
    <w:rsid w:val="00E86798"/>
    <w:rsid w:val="00E91162"/>
    <w:rsid w:val="00E94B5D"/>
    <w:rsid w:val="00E96FB5"/>
    <w:rsid w:val="00EA2B2B"/>
    <w:rsid w:val="00EA30C4"/>
    <w:rsid w:val="00EA4A19"/>
    <w:rsid w:val="00EB1479"/>
    <w:rsid w:val="00EB21CD"/>
    <w:rsid w:val="00EB64F3"/>
    <w:rsid w:val="00EB77DF"/>
    <w:rsid w:val="00EC0AA4"/>
    <w:rsid w:val="00EC1EFF"/>
    <w:rsid w:val="00EC47A9"/>
    <w:rsid w:val="00ED1128"/>
    <w:rsid w:val="00ED37EF"/>
    <w:rsid w:val="00ED4B33"/>
    <w:rsid w:val="00ED68FD"/>
    <w:rsid w:val="00EE242E"/>
    <w:rsid w:val="00EE275A"/>
    <w:rsid w:val="00EE4537"/>
    <w:rsid w:val="00EF0E09"/>
    <w:rsid w:val="00EF33E5"/>
    <w:rsid w:val="00EF4923"/>
    <w:rsid w:val="00F00978"/>
    <w:rsid w:val="00F011D2"/>
    <w:rsid w:val="00F018E5"/>
    <w:rsid w:val="00F02426"/>
    <w:rsid w:val="00F028DE"/>
    <w:rsid w:val="00F039D8"/>
    <w:rsid w:val="00F10AA5"/>
    <w:rsid w:val="00F11DDE"/>
    <w:rsid w:val="00F14C92"/>
    <w:rsid w:val="00F2160E"/>
    <w:rsid w:val="00F22506"/>
    <w:rsid w:val="00F234E7"/>
    <w:rsid w:val="00F244EA"/>
    <w:rsid w:val="00F275B5"/>
    <w:rsid w:val="00F3007F"/>
    <w:rsid w:val="00F337FD"/>
    <w:rsid w:val="00F37E54"/>
    <w:rsid w:val="00F41BD7"/>
    <w:rsid w:val="00F42A8D"/>
    <w:rsid w:val="00F4597E"/>
    <w:rsid w:val="00F4699F"/>
    <w:rsid w:val="00F4743D"/>
    <w:rsid w:val="00F5529D"/>
    <w:rsid w:val="00F5546E"/>
    <w:rsid w:val="00F62C4D"/>
    <w:rsid w:val="00F62F8E"/>
    <w:rsid w:val="00F64CFD"/>
    <w:rsid w:val="00F67B84"/>
    <w:rsid w:val="00F749B7"/>
    <w:rsid w:val="00F76255"/>
    <w:rsid w:val="00F766B8"/>
    <w:rsid w:val="00F76BB1"/>
    <w:rsid w:val="00F7702C"/>
    <w:rsid w:val="00F774E7"/>
    <w:rsid w:val="00F81FD4"/>
    <w:rsid w:val="00F82EC1"/>
    <w:rsid w:val="00F85CB4"/>
    <w:rsid w:val="00F865DD"/>
    <w:rsid w:val="00F909FC"/>
    <w:rsid w:val="00F91BA0"/>
    <w:rsid w:val="00F92F2B"/>
    <w:rsid w:val="00F9338D"/>
    <w:rsid w:val="00F9563A"/>
    <w:rsid w:val="00F9783A"/>
    <w:rsid w:val="00FA170F"/>
    <w:rsid w:val="00FA2B74"/>
    <w:rsid w:val="00FA4820"/>
    <w:rsid w:val="00FA59D0"/>
    <w:rsid w:val="00FA7C87"/>
    <w:rsid w:val="00FB23D5"/>
    <w:rsid w:val="00FB4045"/>
    <w:rsid w:val="00FC1E0D"/>
    <w:rsid w:val="00FC5CB4"/>
    <w:rsid w:val="00FD2CB4"/>
    <w:rsid w:val="00FD3A02"/>
    <w:rsid w:val="00FD4888"/>
    <w:rsid w:val="00FE0073"/>
    <w:rsid w:val="00FE033D"/>
    <w:rsid w:val="00FE1312"/>
    <w:rsid w:val="00FE2CF7"/>
    <w:rsid w:val="00FE46A7"/>
    <w:rsid w:val="00FE4DC1"/>
    <w:rsid w:val="00FE6536"/>
    <w:rsid w:val="00FE7163"/>
    <w:rsid w:val="00FF0ED5"/>
    <w:rsid w:val="00FF4222"/>
    <w:rsid w:val="00FF59EF"/>
    <w:rsid w:val="00FF6114"/>
    <w:rsid w:val="00FF6B9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colormru v:ext="edit" colors="#004687"/>
    </o:shapedefaults>
    <o:shapelayout v:ext="edit">
      <o:idmap v:ext="edit" data="1"/>
    </o:shapelayout>
  </w:shapeDefaults>
  <w:decimalSymbol w:val="."/>
  <w:listSeparator w:val=","/>
  <w14:docId w14:val="575B1C2D"/>
  <w15:docId w15:val="{1D5CD2E6-D436-4957-99CF-FABB30E61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0"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2EC1"/>
    <w:pPr>
      <w:spacing w:after="120" w:line="336" w:lineRule="auto"/>
    </w:pPr>
    <w:rPr>
      <w:rFonts w:asciiTheme="minorHAnsi" w:hAnsiTheme="minorHAnsi"/>
      <w:sz w:val="20"/>
      <w:lang w:eastAsia="fr-FR"/>
    </w:rPr>
  </w:style>
  <w:style w:type="paragraph" w:styleId="Heading1">
    <w:name w:val="heading 1"/>
    <w:basedOn w:val="Normal"/>
    <w:next w:val="Normal"/>
    <w:link w:val="Heading1Char"/>
    <w:uiPriority w:val="9"/>
    <w:rsid w:val="00A92B96"/>
    <w:pPr>
      <w:keepNext/>
      <w:keepLines/>
      <w:spacing w:before="480" w:after="0"/>
      <w:outlineLvl w:val="0"/>
    </w:pPr>
    <w:rPr>
      <w:rFonts w:asciiTheme="majorHAnsi" w:eastAsiaTheme="majorEastAsia" w:hAnsiTheme="majorHAnsi" w:cstheme="majorBidi"/>
      <w:b/>
      <w:bCs/>
      <w:color w:val="00467F" w:themeColor="accent1" w:themeShade="BF"/>
      <w:sz w:val="28"/>
      <w:szCs w:val="28"/>
    </w:rPr>
  </w:style>
  <w:style w:type="paragraph" w:styleId="Heading2">
    <w:name w:val="heading 2"/>
    <w:basedOn w:val="Normal"/>
    <w:next w:val="Normal"/>
    <w:link w:val="Heading2Char"/>
    <w:uiPriority w:val="9"/>
    <w:unhideWhenUsed/>
    <w:rsid w:val="000C6E6E"/>
    <w:pPr>
      <w:keepNext/>
      <w:keepLines/>
      <w:spacing w:before="200" w:after="0"/>
      <w:outlineLvl w:val="1"/>
    </w:pPr>
    <w:rPr>
      <w:rFonts w:asciiTheme="majorHAnsi" w:eastAsiaTheme="majorEastAsia" w:hAnsiTheme="majorHAnsi" w:cstheme="majorBidi"/>
      <w:b/>
      <w:bCs/>
      <w:color w:val="00AAFF"/>
      <w:sz w:val="26"/>
      <w:szCs w:val="26"/>
    </w:rPr>
  </w:style>
  <w:style w:type="paragraph" w:styleId="Heading3">
    <w:name w:val="heading 3"/>
    <w:basedOn w:val="Normal"/>
    <w:next w:val="Normal"/>
    <w:link w:val="Heading3Char"/>
    <w:rsid w:val="005E1F08"/>
    <w:pPr>
      <w:keepNext/>
      <w:spacing w:line="240" w:lineRule="auto"/>
      <w:outlineLvl w:val="2"/>
    </w:pPr>
    <w:rPr>
      <w:rFonts w:ascii="DelargoDTInformal" w:hAnsi="DelargoDTInformal"/>
      <w:b/>
      <w:bCs/>
      <w:lang w:eastAsia="en-US"/>
    </w:rPr>
  </w:style>
  <w:style w:type="paragraph" w:styleId="Heading4">
    <w:name w:val="heading 4"/>
    <w:basedOn w:val="Normal"/>
    <w:next w:val="Normal"/>
    <w:link w:val="Heading4Char"/>
    <w:uiPriority w:val="9"/>
    <w:unhideWhenUsed/>
    <w:rsid w:val="00A92B96"/>
    <w:pPr>
      <w:keepNext/>
      <w:keepLines/>
      <w:spacing w:before="200" w:after="0"/>
      <w:outlineLvl w:val="3"/>
    </w:pPr>
    <w:rPr>
      <w:rFonts w:asciiTheme="majorHAnsi" w:eastAsiaTheme="majorEastAsia" w:hAnsiTheme="majorHAnsi" w:cstheme="majorBidi"/>
      <w:b/>
      <w:bCs/>
      <w:i/>
      <w:iCs/>
      <w:color w:val="005FAA" w:themeColor="accent1"/>
    </w:rPr>
  </w:style>
  <w:style w:type="paragraph" w:styleId="Heading5">
    <w:name w:val="heading 5"/>
    <w:basedOn w:val="Normal"/>
    <w:next w:val="Normal"/>
    <w:link w:val="Heading5Char"/>
    <w:uiPriority w:val="9"/>
    <w:unhideWhenUsed/>
    <w:qFormat/>
    <w:rsid w:val="00935E17"/>
    <w:pPr>
      <w:keepNext/>
      <w:keepLines/>
      <w:spacing w:before="200" w:after="0"/>
      <w:outlineLvl w:val="4"/>
    </w:pPr>
    <w:rPr>
      <w:rFonts w:asciiTheme="majorHAnsi" w:eastAsiaTheme="majorEastAsia" w:hAnsiTheme="majorHAnsi" w:cstheme="majorBidi"/>
      <w:color w:val="002F54" w:themeColor="accent1" w:themeShade="7F"/>
    </w:rPr>
  </w:style>
  <w:style w:type="paragraph" w:styleId="Heading7">
    <w:name w:val="heading 7"/>
    <w:basedOn w:val="Normal"/>
    <w:next w:val="Normal"/>
    <w:link w:val="Heading7Char"/>
    <w:uiPriority w:val="9"/>
    <w:semiHidden/>
    <w:unhideWhenUsed/>
    <w:qFormat/>
    <w:rsid w:val="00A161E8"/>
    <w:pPr>
      <w:keepNext/>
      <w:keepLines/>
      <w:spacing w:before="40" w:after="0"/>
      <w:outlineLvl w:val="6"/>
    </w:pPr>
    <w:rPr>
      <w:rFonts w:asciiTheme="majorHAnsi" w:eastAsiaTheme="majorEastAsia" w:hAnsiTheme="majorHAnsi" w:cstheme="majorBidi"/>
      <w:i/>
      <w:iCs/>
      <w:color w:val="002F54"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semiHidden/>
    <w:pPr>
      <w:tabs>
        <w:tab w:val="center" w:pos="4536"/>
        <w:tab w:val="right" w:pos="9072"/>
      </w:tabs>
    </w:pPr>
  </w:style>
  <w:style w:type="paragraph" w:customStyle="1" w:styleId="Contact">
    <w:name w:val="Contact"/>
    <w:basedOn w:val="Normal"/>
    <w:pPr>
      <w:ind w:left="5404"/>
    </w:pPr>
  </w:style>
  <w:style w:type="paragraph" w:customStyle="1" w:styleId="Text">
    <w:name w:val="Text"/>
    <w:basedOn w:val="Normal"/>
  </w:style>
  <w:style w:type="paragraph" w:customStyle="1" w:styleId="Textbold">
    <w:name w:val="Text bold"/>
    <w:basedOn w:val="Text"/>
    <w:rPr>
      <w:b/>
    </w:rPr>
  </w:style>
  <w:style w:type="paragraph" w:customStyle="1" w:styleId="Addresstitle">
    <w:name w:val="Address title"/>
    <w:basedOn w:val="Normal"/>
    <w:pPr>
      <w:framePr w:w="9639" w:h="57" w:wrap="notBeside" w:vAnchor="page" w:hAnchor="page" w:x="1107" w:y="13581"/>
      <w:spacing w:after="50" w:line="180" w:lineRule="exact"/>
    </w:pPr>
    <w:rPr>
      <w:bCs/>
      <w:color w:val="5F6062"/>
      <w:lang w:val="en-US"/>
    </w:rPr>
  </w:style>
  <w:style w:type="paragraph" w:customStyle="1" w:styleId="Addresstext">
    <w:name w:val="Address text"/>
    <w:basedOn w:val="Normal"/>
    <w:pPr>
      <w:framePr w:w="9639" w:h="57" w:wrap="notBeside" w:vAnchor="page" w:hAnchor="page" w:x="1121" w:y="13581"/>
      <w:spacing w:line="180" w:lineRule="exact"/>
    </w:pPr>
    <w:rPr>
      <w:color w:val="5F6062"/>
      <w:sz w:val="16"/>
    </w:rPr>
  </w:style>
  <w:style w:type="paragraph" w:customStyle="1" w:styleId="Addressinternet">
    <w:name w:val="Address internet"/>
    <w:basedOn w:val="Normal"/>
    <w:pPr>
      <w:framePr w:w="9639" w:h="57" w:wrap="notBeside" w:vAnchor="page" w:hAnchor="page" w:x="1107" w:y="13581"/>
      <w:spacing w:before="30" w:after="30" w:line="180" w:lineRule="exact"/>
    </w:pPr>
    <w:rPr>
      <w:bCs/>
      <w:color w:val="5F6062"/>
      <w:sz w:val="16"/>
      <w:lang w:val="en-US"/>
    </w:rPr>
  </w:style>
  <w:style w:type="paragraph" w:customStyle="1" w:styleId="Legalinformation">
    <w:name w:val="Legal information"/>
    <w:basedOn w:val="Normal"/>
    <w:pPr>
      <w:framePr w:w="9639" w:h="57" w:wrap="notBeside" w:vAnchor="page" w:hAnchor="page" w:x="1121" w:y="13581"/>
      <w:spacing w:line="160" w:lineRule="exact"/>
    </w:pPr>
    <w:rPr>
      <w:color w:val="5F6062"/>
      <w:sz w:val="12"/>
    </w:rPr>
  </w:style>
  <w:style w:type="paragraph" w:customStyle="1" w:styleId="Addressdest">
    <w:name w:val="Address dest"/>
    <w:basedOn w:val="Normal"/>
    <w:pPr>
      <w:spacing w:line="216" w:lineRule="atLeast"/>
    </w:pPr>
  </w:style>
  <w:style w:type="character" w:customStyle="1" w:styleId="Heading3Char">
    <w:name w:val="Heading 3 Char"/>
    <w:basedOn w:val="DefaultParagraphFont"/>
    <w:link w:val="Heading3"/>
    <w:rsid w:val="005E1F08"/>
    <w:rPr>
      <w:rFonts w:ascii="DelargoDTInformal" w:hAnsi="DelargoDTInformal"/>
      <w:b/>
      <w:bCs/>
      <w:sz w:val="22"/>
      <w:szCs w:val="24"/>
    </w:rPr>
  </w:style>
  <w:style w:type="paragraph" w:customStyle="1" w:styleId="SpaceLarge">
    <w:name w:val="Space Large"/>
    <w:basedOn w:val="Normal"/>
    <w:link w:val="SpaceLargeChar"/>
    <w:qFormat/>
    <w:rsid w:val="00B251FB"/>
    <w:pPr>
      <w:spacing w:before="420" w:after="420"/>
    </w:pPr>
  </w:style>
  <w:style w:type="paragraph" w:customStyle="1" w:styleId="SpaceRegular">
    <w:name w:val="Space Regular"/>
    <w:basedOn w:val="Normal"/>
    <w:link w:val="SpaceRegularChar"/>
    <w:qFormat/>
    <w:rsid w:val="005E1F08"/>
    <w:pPr>
      <w:spacing w:after="240"/>
    </w:pPr>
  </w:style>
  <w:style w:type="character" w:customStyle="1" w:styleId="HeaderChar">
    <w:name w:val="Header Char"/>
    <w:basedOn w:val="DefaultParagraphFont"/>
    <w:link w:val="Header"/>
    <w:rsid w:val="005E1F08"/>
    <w:rPr>
      <w:rFonts w:ascii="Tahoma" w:hAnsi="Tahoma"/>
      <w:sz w:val="22"/>
      <w:lang w:val="fr-FR" w:eastAsia="fr-FR"/>
    </w:rPr>
  </w:style>
  <w:style w:type="character" w:customStyle="1" w:styleId="SpaceLargeChar">
    <w:name w:val="Space Large Char"/>
    <w:basedOn w:val="HeaderChar"/>
    <w:link w:val="SpaceLarge"/>
    <w:rsid w:val="00B251FB"/>
    <w:rPr>
      <w:rFonts w:ascii="Tahoma" w:hAnsi="Tahoma"/>
      <w:noProof/>
      <w:sz w:val="22"/>
      <w:lang w:val="fr-FR" w:eastAsia="fr-FR"/>
    </w:rPr>
  </w:style>
  <w:style w:type="paragraph" w:customStyle="1" w:styleId="Reference">
    <w:name w:val="Reference"/>
    <w:basedOn w:val="Normal"/>
    <w:link w:val="ReferenceChar"/>
    <w:qFormat/>
    <w:rsid w:val="005E1F08"/>
    <w:rPr>
      <w:sz w:val="14"/>
      <w:szCs w:val="14"/>
    </w:rPr>
  </w:style>
  <w:style w:type="character" w:customStyle="1" w:styleId="SpaceRegularChar">
    <w:name w:val="Space Regular Char"/>
    <w:basedOn w:val="DefaultParagraphFont"/>
    <w:link w:val="SpaceRegular"/>
    <w:rsid w:val="005E1F08"/>
    <w:rPr>
      <w:rFonts w:ascii="Tahoma" w:hAnsi="Tahoma"/>
      <w:noProof/>
      <w:sz w:val="22"/>
      <w:lang w:val="fr-FR" w:eastAsia="fr-FR"/>
    </w:rPr>
  </w:style>
  <w:style w:type="character" w:styleId="Hyperlink">
    <w:name w:val="Hyperlink"/>
    <w:basedOn w:val="DefaultParagraphFont"/>
    <w:uiPriority w:val="99"/>
    <w:unhideWhenUsed/>
    <w:rsid w:val="002A284C"/>
    <w:rPr>
      <w:color w:val="0000FF" w:themeColor="hyperlink"/>
      <w:u w:val="single"/>
    </w:rPr>
  </w:style>
  <w:style w:type="character" w:customStyle="1" w:styleId="ReferenceChar">
    <w:name w:val="Reference Char"/>
    <w:basedOn w:val="DefaultParagraphFont"/>
    <w:link w:val="Reference"/>
    <w:rsid w:val="005E1F08"/>
    <w:rPr>
      <w:rFonts w:ascii="Tahoma" w:hAnsi="Tahoma"/>
      <w:sz w:val="14"/>
      <w:szCs w:val="14"/>
      <w:lang w:val="fr-FR" w:eastAsia="fr-FR"/>
    </w:rPr>
  </w:style>
  <w:style w:type="table" w:styleId="TableGrid">
    <w:name w:val="Table Grid"/>
    <w:basedOn w:val="TableNormal"/>
    <w:uiPriority w:val="59"/>
    <w:rsid w:val="009A16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
    <w:name w:val="Content"/>
    <w:basedOn w:val="Normal"/>
    <w:link w:val="ContentChar"/>
    <w:qFormat/>
    <w:rsid w:val="00B251FB"/>
  </w:style>
  <w:style w:type="character" w:customStyle="1" w:styleId="ContentChar">
    <w:name w:val="Content Char"/>
    <w:basedOn w:val="DefaultParagraphFont"/>
    <w:link w:val="Content"/>
    <w:rsid w:val="00B251FB"/>
    <w:rPr>
      <w:rFonts w:ascii="Tahoma" w:hAnsi="Tahoma"/>
      <w:noProof/>
      <w:lang w:eastAsia="fr-FR"/>
    </w:rPr>
  </w:style>
  <w:style w:type="paragraph" w:styleId="BalloonText">
    <w:name w:val="Balloon Text"/>
    <w:basedOn w:val="Normal"/>
    <w:link w:val="BalloonTextChar"/>
    <w:uiPriority w:val="99"/>
    <w:semiHidden/>
    <w:unhideWhenUsed/>
    <w:rsid w:val="00366A8E"/>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6A8E"/>
    <w:rPr>
      <w:rFonts w:ascii="Lucida Grande" w:hAnsi="Lucida Grande" w:cs="Lucida Grande"/>
      <w:noProof/>
      <w:sz w:val="18"/>
      <w:szCs w:val="18"/>
      <w:lang w:eastAsia="fr-FR"/>
    </w:rPr>
  </w:style>
  <w:style w:type="character" w:customStyle="1" w:styleId="FooterChar">
    <w:name w:val="Footer Char"/>
    <w:basedOn w:val="DefaultParagraphFont"/>
    <w:link w:val="Footer"/>
    <w:semiHidden/>
    <w:rsid w:val="00416CB7"/>
    <w:rPr>
      <w:rFonts w:asciiTheme="minorHAnsi" w:hAnsiTheme="minorHAnsi"/>
      <w:lang w:eastAsia="fr-FR"/>
    </w:rPr>
  </w:style>
  <w:style w:type="character" w:styleId="PlaceholderText">
    <w:name w:val="Placeholder Text"/>
    <w:basedOn w:val="DefaultParagraphFont"/>
    <w:uiPriority w:val="99"/>
    <w:semiHidden/>
    <w:rsid w:val="00CF5611"/>
    <w:rPr>
      <w:color w:val="808080"/>
    </w:rPr>
  </w:style>
  <w:style w:type="character" w:styleId="Strong">
    <w:name w:val="Strong"/>
    <w:basedOn w:val="DefaultParagraphFont"/>
    <w:uiPriority w:val="22"/>
    <w:rsid w:val="00CF5611"/>
    <w:rPr>
      <w:b/>
      <w:bCs/>
    </w:rPr>
  </w:style>
  <w:style w:type="paragraph" w:customStyle="1" w:styleId="AddressBlock">
    <w:name w:val="Address Block"/>
    <w:basedOn w:val="Normal"/>
    <w:qFormat/>
    <w:rsid w:val="00F82EC1"/>
    <w:pPr>
      <w:spacing w:after="0" w:line="240" w:lineRule="auto"/>
    </w:pPr>
    <w:rPr>
      <w:rFonts w:ascii="Arial" w:hAnsi="Arial" w:cs="Arial"/>
      <w:szCs w:val="20"/>
    </w:rPr>
  </w:style>
  <w:style w:type="paragraph" w:styleId="NoSpacing">
    <w:name w:val="No Spacing"/>
    <w:uiPriority w:val="1"/>
    <w:rsid w:val="00B02814"/>
    <w:rPr>
      <w:rFonts w:asciiTheme="minorHAnsi" w:hAnsiTheme="minorHAnsi"/>
      <w:sz w:val="20"/>
      <w:lang w:eastAsia="fr-FR"/>
    </w:rPr>
  </w:style>
  <w:style w:type="paragraph" w:styleId="ListParagraph">
    <w:name w:val="List Paragraph"/>
    <w:aliases w:val="Citation List,ADB paragraph numbering,Table text,Dot pt,No Spacing1,List Paragraph Char Char Char,Indicator Text,Numbered Para 1,List Paragraph1,F5 List Paragraph,Bullet Points,MAIN CONTENT,List Paragraph12,Bullet Style,Normal numbered"/>
    <w:basedOn w:val="Normal"/>
    <w:link w:val="ListParagraphChar"/>
    <w:uiPriority w:val="34"/>
    <w:qFormat/>
    <w:rsid w:val="00345A69"/>
    <w:pPr>
      <w:spacing w:after="200" w:line="276" w:lineRule="auto"/>
      <w:ind w:left="720"/>
      <w:contextualSpacing/>
    </w:pPr>
    <w:rPr>
      <w:rFonts w:eastAsiaTheme="minorHAnsi" w:cstheme="minorBidi"/>
      <w:sz w:val="22"/>
      <w:szCs w:val="22"/>
      <w:lang w:eastAsia="en-US"/>
    </w:rPr>
  </w:style>
  <w:style w:type="character" w:customStyle="1" w:styleId="Heading2Char">
    <w:name w:val="Heading 2 Char"/>
    <w:basedOn w:val="DefaultParagraphFont"/>
    <w:link w:val="Heading2"/>
    <w:uiPriority w:val="9"/>
    <w:rsid w:val="000C6E6E"/>
    <w:rPr>
      <w:rFonts w:asciiTheme="majorHAnsi" w:eastAsiaTheme="majorEastAsia" w:hAnsiTheme="majorHAnsi" w:cstheme="majorBidi"/>
      <w:b/>
      <w:bCs/>
      <w:color w:val="00AAFF"/>
      <w:sz w:val="26"/>
      <w:szCs w:val="26"/>
      <w:lang w:eastAsia="fr-FR"/>
    </w:rPr>
  </w:style>
  <w:style w:type="character" w:customStyle="1" w:styleId="Heading1Char">
    <w:name w:val="Heading 1 Char"/>
    <w:basedOn w:val="DefaultParagraphFont"/>
    <w:link w:val="Heading1"/>
    <w:uiPriority w:val="9"/>
    <w:rsid w:val="00A92B96"/>
    <w:rPr>
      <w:rFonts w:asciiTheme="majorHAnsi" w:eastAsiaTheme="majorEastAsia" w:hAnsiTheme="majorHAnsi" w:cstheme="majorBidi"/>
      <w:b/>
      <w:bCs/>
      <w:color w:val="00467F" w:themeColor="accent1" w:themeShade="BF"/>
      <w:sz w:val="28"/>
      <w:szCs w:val="28"/>
      <w:lang w:eastAsia="fr-FR"/>
    </w:rPr>
  </w:style>
  <w:style w:type="character" w:customStyle="1" w:styleId="Heading4Char">
    <w:name w:val="Heading 4 Char"/>
    <w:basedOn w:val="DefaultParagraphFont"/>
    <w:link w:val="Heading4"/>
    <w:uiPriority w:val="9"/>
    <w:rsid w:val="00A92B96"/>
    <w:rPr>
      <w:rFonts w:asciiTheme="majorHAnsi" w:eastAsiaTheme="majorEastAsia" w:hAnsiTheme="majorHAnsi" w:cstheme="majorBidi"/>
      <w:b/>
      <w:bCs/>
      <w:i/>
      <w:iCs/>
      <w:color w:val="005FAA" w:themeColor="accent1"/>
      <w:sz w:val="20"/>
      <w:lang w:eastAsia="fr-FR"/>
    </w:rPr>
  </w:style>
  <w:style w:type="paragraph" w:styleId="FootnoteText">
    <w:name w:val="footnote text"/>
    <w:basedOn w:val="Normal"/>
    <w:link w:val="FootnoteTextChar"/>
    <w:unhideWhenUsed/>
    <w:rsid w:val="000B5ADA"/>
    <w:pPr>
      <w:spacing w:after="0" w:line="240" w:lineRule="auto"/>
    </w:pPr>
    <w:rPr>
      <w:szCs w:val="20"/>
    </w:rPr>
  </w:style>
  <w:style w:type="character" w:customStyle="1" w:styleId="FootnoteTextChar">
    <w:name w:val="Footnote Text Char"/>
    <w:basedOn w:val="DefaultParagraphFont"/>
    <w:link w:val="FootnoteText"/>
    <w:rsid w:val="000B5ADA"/>
    <w:rPr>
      <w:rFonts w:asciiTheme="minorHAnsi" w:hAnsiTheme="minorHAnsi"/>
      <w:sz w:val="20"/>
      <w:szCs w:val="20"/>
      <w:lang w:eastAsia="fr-FR"/>
    </w:rPr>
  </w:style>
  <w:style w:type="character" w:styleId="FootnoteReference">
    <w:name w:val="footnote reference"/>
    <w:basedOn w:val="DefaultParagraphFont"/>
    <w:unhideWhenUsed/>
    <w:rsid w:val="000B5ADA"/>
    <w:rPr>
      <w:vertAlign w:val="superscript"/>
    </w:rPr>
  </w:style>
  <w:style w:type="character" w:styleId="FollowedHyperlink">
    <w:name w:val="FollowedHyperlink"/>
    <w:basedOn w:val="DefaultParagraphFont"/>
    <w:uiPriority w:val="99"/>
    <w:semiHidden/>
    <w:unhideWhenUsed/>
    <w:rsid w:val="00B03D94"/>
    <w:rPr>
      <w:color w:val="800080" w:themeColor="followedHyperlink"/>
      <w:u w:val="single"/>
    </w:rPr>
  </w:style>
  <w:style w:type="table" w:styleId="MediumShading1-Accent5">
    <w:name w:val="Medium Shading 1 Accent 5"/>
    <w:basedOn w:val="TableNormal"/>
    <w:uiPriority w:val="63"/>
    <w:rsid w:val="00F275B5"/>
    <w:tblPr>
      <w:tblStyleRowBandSize w:val="1"/>
      <w:tblStyleColBandSize w:val="1"/>
      <w:tblBorders>
        <w:top w:val="single" w:sz="8" w:space="0" w:color="40BFFF" w:themeColor="accent5" w:themeTint="BF"/>
        <w:left w:val="single" w:sz="8" w:space="0" w:color="40BFFF" w:themeColor="accent5" w:themeTint="BF"/>
        <w:bottom w:val="single" w:sz="8" w:space="0" w:color="40BFFF" w:themeColor="accent5" w:themeTint="BF"/>
        <w:right w:val="single" w:sz="8" w:space="0" w:color="40BFFF" w:themeColor="accent5" w:themeTint="BF"/>
        <w:insideH w:val="single" w:sz="8" w:space="0" w:color="40BFFF" w:themeColor="accent5" w:themeTint="BF"/>
      </w:tblBorders>
    </w:tblPr>
    <w:tblStylePr w:type="firstRow">
      <w:pPr>
        <w:spacing w:before="0" w:after="0" w:line="240" w:lineRule="auto"/>
      </w:pPr>
      <w:rPr>
        <w:b/>
        <w:bCs/>
        <w:color w:val="FFFFFF" w:themeColor="background1"/>
      </w:rPr>
      <w:tblPr/>
      <w:tcPr>
        <w:tcBorders>
          <w:top w:val="single" w:sz="8" w:space="0" w:color="40BFFF" w:themeColor="accent5" w:themeTint="BF"/>
          <w:left w:val="single" w:sz="8" w:space="0" w:color="40BFFF" w:themeColor="accent5" w:themeTint="BF"/>
          <w:bottom w:val="single" w:sz="8" w:space="0" w:color="40BFFF" w:themeColor="accent5" w:themeTint="BF"/>
          <w:right w:val="single" w:sz="8" w:space="0" w:color="40BFFF" w:themeColor="accent5" w:themeTint="BF"/>
          <w:insideH w:val="nil"/>
          <w:insideV w:val="nil"/>
        </w:tcBorders>
        <w:shd w:val="clear" w:color="auto" w:fill="00AAFF" w:themeFill="accent5"/>
      </w:tcPr>
    </w:tblStylePr>
    <w:tblStylePr w:type="lastRow">
      <w:pPr>
        <w:spacing w:before="0" w:after="0" w:line="240" w:lineRule="auto"/>
      </w:pPr>
      <w:rPr>
        <w:b/>
        <w:bCs/>
      </w:rPr>
      <w:tblPr/>
      <w:tcPr>
        <w:tcBorders>
          <w:top w:val="double" w:sz="6" w:space="0" w:color="40BFFF" w:themeColor="accent5" w:themeTint="BF"/>
          <w:left w:val="single" w:sz="8" w:space="0" w:color="40BFFF" w:themeColor="accent5" w:themeTint="BF"/>
          <w:bottom w:val="single" w:sz="8" w:space="0" w:color="40BFFF" w:themeColor="accent5" w:themeTint="BF"/>
          <w:right w:val="single" w:sz="8" w:space="0" w:color="40BFFF" w:themeColor="accent5" w:themeTint="BF"/>
          <w:insideH w:val="nil"/>
          <w:insideV w:val="nil"/>
        </w:tcBorders>
      </w:tcPr>
    </w:tblStylePr>
    <w:tblStylePr w:type="firstCol">
      <w:rPr>
        <w:b/>
        <w:bCs/>
      </w:rPr>
    </w:tblStylePr>
    <w:tblStylePr w:type="lastCol">
      <w:rPr>
        <w:b/>
        <w:bCs/>
      </w:rPr>
    </w:tblStylePr>
    <w:tblStylePr w:type="band1Vert">
      <w:tblPr/>
      <w:tcPr>
        <w:shd w:val="clear" w:color="auto" w:fill="C0EAFF" w:themeFill="accent5" w:themeFillTint="3F"/>
      </w:tcPr>
    </w:tblStylePr>
    <w:tblStylePr w:type="band1Horz">
      <w:tblPr/>
      <w:tcPr>
        <w:tcBorders>
          <w:insideH w:val="nil"/>
          <w:insideV w:val="nil"/>
        </w:tcBorders>
        <w:shd w:val="clear" w:color="auto" w:fill="C0EAFF" w:themeFill="accent5" w:themeFillTint="3F"/>
      </w:tcPr>
    </w:tblStylePr>
    <w:tblStylePr w:type="band2Horz">
      <w:tblPr/>
      <w:tcPr>
        <w:tcBorders>
          <w:insideH w:val="nil"/>
          <w:insideV w:val="nil"/>
        </w:tcBorders>
      </w:tcPr>
    </w:tblStylePr>
  </w:style>
  <w:style w:type="paragraph" w:customStyle="1" w:styleId="Default">
    <w:name w:val="Default"/>
    <w:rsid w:val="002B45C0"/>
    <w:pPr>
      <w:autoSpaceDE w:val="0"/>
      <w:autoSpaceDN w:val="0"/>
      <w:adjustRightInd w:val="0"/>
    </w:pPr>
    <w:rPr>
      <w:rFonts w:ascii="Calibri" w:hAnsi="Calibri" w:cs="Calibri"/>
      <w:color w:val="000000"/>
    </w:rPr>
  </w:style>
  <w:style w:type="paragraph" w:styleId="NormalWeb">
    <w:name w:val="Normal (Web)"/>
    <w:basedOn w:val="Normal"/>
    <w:uiPriority w:val="99"/>
    <w:semiHidden/>
    <w:unhideWhenUsed/>
    <w:rsid w:val="0048700B"/>
    <w:pPr>
      <w:spacing w:before="100" w:beforeAutospacing="1" w:after="100" w:afterAutospacing="1" w:line="240" w:lineRule="auto"/>
    </w:pPr>
    <w:rPr>
      <w:rFonts w:ascii="Times New Roman" w:hAnsi="Times New Roman"/>
      <w:sz w:val="24"/>
      <w:lang w:eastAsia="en-AU"/>
    </w:rPr>
  </w:style>
  <w:style w:type="character" w:customStyle="1" w:styleId="Heading5Char">
    <w:name w:val="Heading 5 Char"/>
    <w:basedOn w:val="DefaultParagraphFont"/>
    <w:link w:val="Heading5"/>
    <w:uiPriority w:val="9"/>
    <w:rsid w:val="00935E17"/>
    <w:rPr>
      <w:rFonts w:asciiTheme="majorHAnsi" w:eastAsiaTheme="majorEastAsia" w:hAnsiTheme="majorHAnsi" w:cstheme="majorBidi"/>
      <w:color w:val="002F54" w:themeColor="accent1" w:themeShade="7F"/>
      <w:sz w:val="20"/>
      <w:lang w:eastAsia="fr-FR"/>
    </w:rPr>
  </w:style>
  <w:style w:type="character" w:styleId="CommentReference">
    <w:name w:val="annotation reference"/>
    <w:basedOn w:val="DefaultParagraphFont"/>
    <w:uiPriority w:val="99"/>
    <w:semiHidden/>
    <w:unhideWhenUsed/>
    <w:rsid w:val="00B76D06"/>
    <w:rPr>
      <w:sz w:val="16"/>
      <w:szCs w:val="16"/>
    </w:rPr>
  </w:style>
  <w:style w:type="paragraph" w:styleId="CommentText">
    <w:name w:val="annotation text"/>
    <w:basedOn w:val="Normal"/>
    <w:link w:val="CommentTextChar"/>
    <w:uiPriority w:val="99"/>
    <w:semiHidden/>
    <w:unhideWhenUsed/>
    <w:rsid w:val="00B76D06"/>
    <w:pPr>
      <w:spacing w:line="240" w:lineRule="auto"/>
    </w:pPr>
    <w:rPr>
      <w:szCs w:val="20"/>
    </w:rPr>
  </w:style>
  <w:style w:type="character" w:customStyle="1" w:styleId="CommentTextChar">
    <w:name w:val="Comment Text Char"/>
    <w:basedOn w:val="DefaultParagraphFont"/>
    <w:link w:val="CommentText"/>
    <w:uiPriority w:val="99"/>
    <w:semiHidden/>
    <w:rsid w:val="00B76D06"/>
    <w:rPr>
      <w:rFonts w:asciiTheme="minorHAnsi" w:hAnsiTheme="minorHAnsi"/>
      <w:sz w:val="20"/>
      <w:szCs w:val="20"/>
      <w:lang w:eastAsia="fr-FR"/>
    </w:rPr>
  </w:style>
  <w:style w:type="paragraph" w:styleId="CommentSubject">
    <w:name w:val="annotation subject"/>
    <w:basedOn w:val="CommentText"/>
    <w:next w:val="CommentText"/>
    <w:link w:val="CommentSubjectChar"/>
    <w:uiPriority w:val="99"/>
    <w:semiHidden/>
    <w:unhideWhenUsed/>
    <w:rsid w:val="00B76D06"/>
    <w:rPr>
      <w:b/>
      <w:bCs/>
    </w:rPr>
  </w:style>
  <w:style w:type="character" w:customStyle="1" w:styleId="CommentSubjectChar">
    <w:name w:val="Comment Subject Char"/>
    <w:basedOn w:val="CommentTextChar"/>
    <w:link w:val="CommentSubject"/>
    <w:uiPriority w:val="99"/>
    <w:semiHidden/>
    <w:rsid w:val="00B76D06"/>
    <w:rPr>
      <w:rFonts w:asciiTheme="minorHAnsi" w:hAnsiTheme="minorHAnsi"/>
      <w:b/>
      <w:bCs/>
      <w:sz w:val="20"/>
      <w:szCs w:val="20"/>
      <w:lang w:eastAsia="fr-FR"/>
    </w:rPr>
  </w:style>
  <w:style w:type="paragraph" w:customStyle="1" w:styleId="TinyBreaks">
    <w:name w:val="Tiny Breaks"/>
    <w:qFormat/>
    <w:rsid w:val="004C12C1"/>
    <w:pPr>
      <w:spacing w:before="120" w:after="120" w:line="278" w:lineRule="auto"/>
    </w:pPr>
    <w:rPr>
      <w:rFonts w:asciiTheme="minorHAnsi" w:hAnsiTheme="minorHAnsi"/>
      <w:sz w:val="2"/>
      <w:lang w:eastAsia="fr-FR"/>
    </w:rPr>
  </w:style>
  <w:style w:type="character" w:customStyle="1" w:styleId="Seedbulletlevel1Char">
    <w:name w:val="Seed bullet level 1 Char"/>
    <w:basedOn w:val="DefaultParagraphFont"/>
    <w:link w:val="Seedbulletlevel1"/>
    <w:locked/>
    <w:rsid w:val="004C12C1"/>
    <w:rPr>
      <w:rFonts w:ascii="Calibri" w:hAnsi="Calibri" w:cs="Calibri"/>
    </w:rPr>
  </w:style>
  <w:style w:type="paragraph" w:customStyle="1" w:styleId="Seedbulletlevel1">
    <w:name w:val="Seed bullet level 1"/>
    <w:basedOn w:val="Normal"/>
    <w:link w:val="Seedbulletlevel1Char"/>
    <w:qFormat/>
    <w:rsid w:val="004C12C1"/>
    <w:pPr>
      <w:numPr>
        <w:numId w:val="32"/>
      </w:numPr>
      <w:spacing w:before="120" w:line="240" w:lineRule="atLeast"/>
      <w:contextualSpacing/>
    </w:pPr>
    <w:rPr>
      <w:rFonts w:ascii="Calibri" w:hAnsi="Calibri" w:cs="Calibri"/>
      <w:sz w:val="24"/>
      <w:lang w:eastAsia="en-US"/>
    </w:rPr>
  </w:style>
  <w:style w:type="character" w:customStyle="1" w:styleId="Seedbulletlevel2Char">
    <w:name w:val="Seed bullet level 2 Char"/>
    <w:basedOn w:val="Seedbulletlevel1Char"/>
    <w:link w:val="Seedbulletlevel2"/>
    <w:locked/>
    <w:rsid w:val="004C12C1"/>
    <w:rPr>
      <w:rFonts w:ascii="Calibri" w:hAnsi="Calibri" w:cs="Calibri"/>
    </w:rPr>
  </w:style>
  <w:style w:type="paragraph" w:customStyle="1" w:styleId="Seedbulletlevel2">
    <w:name w:val="Seed bullet level 2"/>
    <w:basedOn w:val="Seedbulletlevel1"/>
    <w:link w:val="Seedbulletlevel2Char"/>
    <w:qFormat/>
    <w:rsid w:val="004C12C1"/>
    <w:pPr>
      <w:numPr>
        <w:numId w:val="31"/>
      </w:numPr>
      <w:spacing w:before="0"/>
    </w:pPr>
  </w:style>
  <w:style w:type="paragraph" w:styleId="EndnoteText">
    <w:name w:val="endnote text"/>
    <w:basedOn w:val="Normal"/>
    <w:link w:val="EndnoteTextChar"/>
    <w:uiPriority w:val="99"/>
    <w:semiHidden/>
    <w:unhideWhenUsed/>
    <w:rsid w:val="008200F6"/>
    <w:pPr>
      <w:spacing w:after="0" w:line="240" w:lineRule="auto"/>
    </w:pPr>
    <w:rPr>
      <w:szCs w:val="20"/>
    </w:rPr>
  </w:style>
  <w:style w:type="character" w:customStyle="1" w:styleId="EndnoteTextChar">
    <w:name w:val="Endnote Text Char"/>
    <w:basedOn w:val="DefaultParagraphFont"/>
    <w:link w:val="EndnoteText"/>
    <w:uiPriority w:val="99"/>
    <w:semiHidden/>
    <w:rsid w:val="008200F6"/>
    <w:rPr>
      <w:rFonts w:asciiTheme="minorHAnsi" w:hAnsiTheme="minorHAnsi"/>
      <w:sz w:val="20"/>
      <w:szCs w:val="20"/>
      <w:lang w:eastAsia="fr-FR"/>
    </w:rPr>
  </w:style>
  <w:style w:type="character" w:styleId="EndnoteReference">
    <w:name w:val="endnote reference"/>
    <w:basedOn w:val="DefaultParagraphFont"/>
    <w:uiPriority w:val="99"/>
    <w:semiHidden/>
    <w:unhideWhenUsed/>
    <w:rsid w:val="008200F6"/>
    <w:rPr>
      <w:vertAlign w:val="superscript"/>
    </w:rPr>
  </w:style>
  <w:style w:type="character" w:customStyle="1" w:styleId="ListParagraphChar">
    <w:name w:val="List Paragraph Char"/>
    <w:aliases w:val="Citation List Char,ADB paragraph numbering Char,Table text Char,Dot pt Char,No Spacing1 Char,List Paragraph Char Char Char Char,Indicator Text Char,Numbered Para 1 Char,List Paragraph1 Char,F5 List Paragraph Char,Bullet Points Char"/>
    <w:basedOn w:val="DefaultParagraphFont"/>
    <w:link w:val="ListParagraph"/>
    <w:uiPriority w:val="34"/>
    <w:locked/>
    <w:rsid w:val="00C86D87"/>
    <w:rPr>
      <w:rFonts w:asciiTheme="minorHAnsi" w:eastAsiaTheme="minorHAnsi" w:hAnsiTheme="minorHAnsi" w:cstheme="minorBidi"/>
      <w:sz w:val="22"/>
      <w:szCs w:val="22"/>
    </w:rPr>
  </w:style>
  <w:style w:type="character" w:styleId="UnresolvedMention">
    <w:name w:val="Unresolved Mention"/>
    <w:basedOn w:val="DefaultParagraphFont"/>
    <w:uiPriority w:val="99"/>
    <w:semiHidden/>
    <w:unhideWhenUsed/>
    <w:rsid w:val="00F865DD"/>
    <w:rPr>
      <w:color w:val="605E5C"/>
      <w:shd w:val="clear" w:color="auto" w:fill="E1DFDD"/>
    </w:rPr>
  </w:style>
  <w:style w:type="character" w:customStyle="1" w:styleId="Heading7Char">
    <w:name w:val="Heading 7 Char"/>
    <w:basedOn w:val="DefaultParagraphFont"/>
    <w:link w:val="Heading7"/>
    <w:uiPriority w:val="99"/>
    <w:rsid w:val="00A161E8"/>
    <w:rPr>
      <w:rFonts w:asciiTheme="majorHAnsi" w:eastAsiaTheme="majorEastAsia" w:hAnsiTheme="majorHAnsi" w:cstheme="majorBidi"/>
      <w:i/>
      <w:iCs/>
      <w:color w:val="002F54" w:themeColor="accent1" w:themeShade="7F"/>
      <w:sz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2507717">
      <w:bodyDiv w:val="1"/>
      <w:marLeft w:val="0"/>
      <w:marRight w:val="0"/>
      <w:marTop w:val="0"/>
      <w:marBottom w:val="0"/>
      <w:divBdr>
        <w:top w:val="none" w:sz="0" w:space="0" w:color="auto"/>
        <w:left w:val="none" w:sz="0" w:space="0" w:color="auto"/>
        <w:bottom w:val="none" w:sz="0" w:space="0" w:color="auto"/>
        <w:right w:val="none" w:sz="0" w:space="0" w:color="auto"/>
      </w:divBdr>
    </w:div>
    <w:div w:id="742993366">
      <w:bodyDiv w:val="1"/>
      <w:marLeft w:val="0"/>
      <w:marRight w:val="0"/>
      <w:marTop w:val="0"/>
      <w:marBottom w:val="0"/>
      <w:divBdr>
        <w:top w:val="none" w:sz="0" w:space="0" w:color="auto"/>
        <w:left w:val="none" w:sz="0" w:space="0" w:color="auto"/>
        <w:bottom w:val="none" w:sz="0" w:space="0" w:color="auto"/>
        <w:right w:val="none" w:sz="0" w:space="0" w:color="auto"/>
      </w:divBdr>
    </w:div>
    <w:div w:id="1212573029">
      <w:bodyDiv w:val="1"/>
      <w:marLeft w:val="0"/>
      <w:marRight w:val="0"/>
      <w:marTop w:val="0"/>
      <w:marBottom w:val="0"/>
      <w:divBdr>
        <w:top w:val="none" w:sz="0" w:space="0" w:color="auto"/>
        <w:left w:val="none" w:sz="0" w:space="0" w:color="auto"/>
        <w:bottom w:val="none" w:sz="0" w:space="0" w:color="auto"/>
        <w:right w:val="none" w:sz="0" w:space="0" w:color="auto"/>
      </w:divBdr>
    </w:div>
    <w:div w:id="1374042597">
      <w:bodyDiv w:val="1"/>
      <w:marLeft w:val="0"/>
      <w:marRight w:val="0"/>
      <w:marTop w:val="0"/>
      <w:marBottom w:val="0"/>
      <w:divBdr>
        <w:top w:val="none" w:sz="0" w:space="0" w:color="auto"/>
        <w:left w:val="none" w:sz="0" w:space="0" w:color="auto"/>
        <w:bottom w:val="none" w:sz="0" w:space="0" w:color="auto"/>
        <w:right w:val="none" w:sz="0" w:space="0" w:color="auto"/>
      </w:divBdr>
    </w:div>
    <w:div w:id="1381437133">
      <w:bodyDiv w:val="1"/>
      <w:marLeft w:val="0"/>
      <w:marRight w:val="0"/>
      <w:marTop w:val="0"/>
      <w:marBottom w:val="0"/>
      <w:divBdr>
        <w:top w:val="none" w:sz="0" w:space="0" w:color="auto"/>
        <w:left w:val="none" w:sz="0" w:space="0" w:color="auto"/>
        <w:bottom w:val="none" w:sz="0" w:space="0" w:color="auto"/>
        <w:right w:val="none" w:sz="0" w:space="0" w:color="auto"/>
      </w:divBdr>
    </w:div>
    <w:div w:id="1491209742">
      <w:bodyDiv w:val="1"/>
      <w:marLeft w:val="0"/>
      <w:marRight w:val="0"/>
      <w:marTop w:val="0"/>
      <w:marBottom w:val="0"/>
      <w:divBdr>
        <w:top w:val="none" w:sz="0" w:space="0" w:color="auto"/>
        <w:left w:val="none" w:sz="0" w:space="0" w:color="auto"/>
        <w:bottom w:val="none" w:sz="0" w:space="0" w:color="auto"/>
        <w:right w:val="none" w:sz="0" w:space="0" w:color="auto"/>
      </w:divBdr>
    </w:div>
    <w:div w:id="1663705177">
      <w:bodyDiv w:val="1"/>
      <w:marLeft w:val="0"/>
      <w:marRight w:val="0"/>
      <w:marTop w:val="0"/>
      <w:marBottom w:val="0"/>
      <w:divBdr>
        <w:top w:val="none" w:sz="0" w:space="0" w:color="auto"/>
        <w:left w:val="none" w:sz="0" w:space="0" w:color="auto"/>
        <w:bottom w:val="none" w:sz="0" w:space="0" w:color="auto"/>
        <w:right w:val="none" w:sz="0" w:space="0" w:color="auto"/>
      </w:divBdr>
    </w:div>
    <w:div w:id="2019379189">
      <w:bodyDiv w:val="1"/>
      <w:marLeft w:val="0"/>
      <w:marRight w:val="0"/>
      <w:marTop w:val="0"/>
      <w:marBottom w:val="0"/>
      <w:divBdr>
        <w:top w:val="none" w:sz="0" w:space="0" w:color="auto"/>
        <w:left w:val="none" w:sz="0" w:space="0" w:color="auto"/>
        <w:bottom w:val="none" w:sz="0" w:space="0" w:color="auto"/>
        <w:right w:val="none" w:sz="0" w:space="0" w:color="auto"/>
      </w:divBdr>
    </w:div>
    <w:div w:id="20862248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sb.org.au"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Theme">
  <a:themeElements>
    <a:clrScheme name="ENGIE 2016">
      <a:dk1>
        <a:sysClr val="windowText" lastClr="000000"/>
      </a:dk1>
      <a:lt1>
        <a:sysClr val="window" lastClr="FFFFFF"/>
      </a:lt1>
      <a:dk2>
        <a:srgbClr val="1F497D"/>
      </a:dk2>
      <a:lt2>
        <a:srgbClr val="EEECE1"/>
      </a:lt2>
      <a:accent1>
        <a:srgbClr val="005FAA"/>
      </a:accent1>
      <a:accent2>
        <a:srgbClr val="E10019"/>
      </a:accent2>
      <a:accent3>
        <a:srgbClr val="69AF23"/>
      </a:accent3>
      <a:accent4>
        <a:srgbClr val="552382"/>
      </a:accent4>
      <a:accent5>
        <a:srgbClr val="00AAFF"/>
      </a:accent5>
      <a:accent6>
        <a:srgbClr val="FFC300"/>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8ADE19-8779-4A7E-B231-5F5905B1123C}">
  <ds:schemaRefs>
    <ds:schemaRef ds:uri="http://schemas.openxmlformats.org/officeDocument/2006/bibliography"/>
  </ds:schemaRefs>
</ds:datastoreItem>
</file>

<file path=customXml/itemProps2.xml><?xml version="1.0" encoding="utf-8"?>
<ds:datastoreItem xmlns:ds="http://schemas.openxmlformats.org/officeDocument/2006/customXml" ds:itemID="{D879CBB9-CD30-4BA2-824E-DC5184B8801B}"/>
</file>

<file path=customXml/itemProps3.xml><?xml version="1.0" encoding="utf-8"?>
<ds:datastoreItem xmlns:ds="http://schemas.openxmlformats.org/officeDocument/2006/customXml" ds:itemID="{92A11F9C-49FA-4DE1-8DFB-2C5CBC1FC663}"/>
</file>

<file path=customXml/itemProps4.xml><?xml version="1.0" encoding="utf-8"?>
<ds:datastoreItem xmlns:ds="http://schemas.openxmlformats.org/officeDocument/2006/customXml" ds:itemID="{F0EFC430-5134-4E7E-BC6C-368F64AEF6E7}"/>
</file>

<file path=docProps/app.xml><?xml version="1.0" encoding="utf-8"?>
<Properties xmlns="http://schemas.openxmlformats.org/officeDocument/2006/extended-properties" xmlns:vt="http://schemas.openxmlformats.org/officeDocument/2006/docPropsVTypes">
  <Template>Normal</Template>
  <TotalTime>46</TotalTime>
  <Pages>5</Pages>
  <Words>1883</Words>
  <Characters>10137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GDF SUEZ</vt:lpstr>
    </vt:vector>
  </TitlesOfParts>
  <Company>International Power Australia</Company>
  <LinksUpToDate>false</LinksUpToDate>
  <CharactersWithSpaces>11997</CharactersWithSpaces>
  <SharedDoc>false</SharedDoc>
  <HyperlinkBase/>
  <HLinks>
    <vt:vector size="12" baseType="variant">
      <vt:variant>
        <vt:i4>65570</vt:i4>
      </vt:variant>
      <vt:variant>
        <vt:i4>-1</vt:i4>
      </vt:variant>
      <vt:variant>
        <vt:i4>2053</vt:i4>
      </vt:variant>
      <vt:variant>
        <vt:i4>1</vt:i4>
      </vt:variant>
      <vt:variant>
        <vt:lpwstr>logo_couleur</vt:lpwstr>
      </vt:variant>
      <vt:variant>
        <vt:lpwstr/>
      </vt:variant>
      <vt:variant>
        <vt:i4>8257660</vt:i4>
      </vt:variant>
      <vt:variant>
        <vt:i4>-1</vt:i4>
      </vt:variant>
      <vt:variant>
        <vt:i4>2055</vt:i4>
      </vt:variant>
      <vt:variant>
        <vt:i4>1</vt:i4>
      </vt:variant>
      <vt:variant>
        <vt:lpwstr>logo_couleur_suite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GDF SUEZ</dc:title>
  <dc:subject/>
  <dc:creator>Chris Deague</dc:creator>
  <cp:keywords/>
  <cp:lastModifiedBy>LOWE Jamie (ENGIE in Australia)</cp:lastModifiedBy>
  <cp:revision>7</cp:revision>
  <cp:lastPrinted>2021-02-12T09:23:00Z</cp:lastPrinted>
  <dcterms:created xsi:type="dcterms:W3CDTF">2021-02-11T10:50:00Z</dcterms:created>
  <dcterms:modified xsi:type="dcterms:W3CDTF">2021-02-12T09:23:00Z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