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243" w:rsidRDefault="004F0243">
      <w:pPr>
        <w:spacing w:before="16" w:line="20" w:lineRule="exact"/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  <w:gridCol w:w="6148"/>
        <w:gridCol w:w="1359"/>
        <w:gridCol w:w="2875"/>
        <w:gridCol w:w="2880"/>
        <w:gridCol w:w="2362"/>
      </w:tblGrid>
      <w:tr w:rsidR="00676D0B" w:rsidRPr="00676D0B" w:rsidTr="00676D0B">
        <w:trPr>
          <w:trHeight w:hRule="exact" w:val="552"/>
        </w:trPr>
        <w:tc>
          <w:tcPr>
            <w:tcW w:w="17506" w:type="dxa"/>
            <w:gridSpan w:val="6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C1C100" w:fill="000000" w:themeFill="text1"/>
          </w:tcPr>
          <w:p w:rsidR="00676D0B" w:rsidRPr="00676D0B" w:rsidRDefault="00676D0B" w:rsidP="008263CE">
            <w:pPr>
              <w:spacing w:after="297" w:line="226" w:lineRule="exact"/>
              <w:jc w:val="center"/>
              <w:textAlignment w:val="baseline"/>
              <w:rPr>
                <w:rFonts w:ascii="Calibri" w:eastAsia="Calibri" w:hAnsi="Calibri"/>
                <w:b/>
                <w:color w:val="FFFFFF" w:themeColor="background1"/>
              </w:rPr>
            </w:pPr>
            <w:r>
              <w:rPr>
                <w:rFonts w:ascii="Calibri" w:eastAsia="Calibri" w:hAnsi="Calibri"/>
                <w:b/>
                <w:color w:val="FFFFFF" w:themeColor="background1"/>
              </w:rPr>
              <w:t>National E</w:t>
            </w:r>
            <w:r w:rsidR="008263CE">
              <w:rPr>
                <w:rFonts w:ascii="Calibri" w:eastAsia="Calibri" w:hAnsi="Calibri"/>
                <w:b/>
                <w:color w:val="FFFFFF" w:themeColor="background1"/>
              </w:rPr>
              <w:t>lectricity</w:t>
            </w:r>
            <w:r w:rsidR="00F52635">
              <w:rPr>
                <w:rFonts w:ascii="Calibri" w:eastAsia="Calibri" w:hAnsi="Calibri"/>
                <w:b/>
                <w:color w:val="FFFFFF" w:themeColor="background1"/>
              </w:rPr>
              <w:t xml:space="preserve"> Law </w:t>
            </w:r>
            <w:bookmarkStart w:id="0" w:name="_GoBack"/>
            <w:bookmarkEnd w:id="0"/>
            <w:r>
              <w:rPr>
                <w:rFonts w:ascii="Calibri" w:eastAsia="Calibri" w:hAnsi="Calibri"/>
                <w:b/>
                <w:color w:val="FFFFFF" w:themeColor="background1"/>
              </w:rPr>
              <w:t>- Final Classification of Tiers</w:t>
            </w:r>
          </w:p>
        </w:tc>
      </w:tr>
      <w:tr w:rsidR="004F0243" w:rsidTr="00676D0B">
        <w:trPr>
          <w:trHeight w:hRule="exact" w:val="552"/>
        </w:trPr>
        <w:tc>
          <w:tcPr>
            <w:tcW w:w="1882" w:type="dxa"/>
            <w:tcBorders>
              <w:top w:val="single" w:sz="2" w:space="0" w:color="000000"/>
              <w:left w:val="single" w:sz="9" w:space="0" w:color="000000"/>
              <w:bottom w:val="single" w:sz="0" w:space="0" w:color="000000"/>
              <w:right w:val="single" w:sz="9" w:space="0" w:color="000000"/>
            </w:tcBorders>
            <w:shd w:val="clear" w:color="C1C100" w:fill="C1C100"/>
          </w:tcPr>
          <w:p w:rsidR="004F0243" w:rsidRDefault="00676D0B">
            <w:pPr>
              <w:spacing w:after="168" w:line="269" w:lineRule="exact"/>
              <w:ind w:left="36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Civil Penalty Provision</w:t>
            </w:r>
          </w:p>
        </w:tc>
        <w:tc>
          <w:tcPr>
            <w:tcW w:w="6148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4F0243" w:rsidRDefault="00676D0B">
            <w:pPr>
              <w:spacing w:after="297" w:line="226" w:lineRule="exact"/>
              <w:ind w:left="38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Conduct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4F0243" w:rsidRDefault="00676D0B">
            <w:pPr>
              <w:spacing w:after="297" w:line="226" w:lineRule="exact"/>
              <w:ind w:left="39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Proposed tier</w:t>
            </w:r>
          </w:p>
        </w:tc>
        <w:tc>
          <w:tcPr>
            <w:tcW w:w="2875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4F0243" w:rsidRDefault="00676D0B">
            <w:pPr>
              <w:spacing w:after="297" w:line="226" w:lineRule="exact"/>
              <w:ind w:left="53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Matrix category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4F0243" w:rsidRDefault="00676D0B">
            <w:pPr>
              <w:spacing w:after="297" w:line="226" w:lineRule="exact"/>
              <w:ind w:left="48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proofErr w:type="spellStart"/>
            <w:r>
              <w:rPr>
                <w:rFonts w:ascii="Calibri" w:eastAsia="Calibri" w:hAnsi="Calibri"/>
                <w:b/>
                <w:color w:val="000000"/>
              </w:rPr>
              <w:t>Subclassification</w:t>
            </w:r>
            <w:proofErr w:type="spellEnd"/>
          </w:p>
        </w:tc>
        <w:tc>
          <w:tcPr>
            <w:tcW w:w="2362" w:type="dxa"/>
            <w:tcBorders>
              <w:top w:val="single" w:sz="2" w:space="0" w:color="000000"/>
              <w:left w:val="single" w:sz="9" w:space="0" w:color="000000"/>
              <w:bottom w:val="none" w:sz="0" w:space="0" w:color="020000"/>
              <w:right w:val="single" w:sz="9" w:space="0" w:color="000000"/>
            </w:tcBorders>
            <w:shd w:val="clear" w:color="FFFF00" w:fill="FFFF00"/>
          </w:tcPr>
          <w:p w:rsidR="004F0243" w:rsidRDefault="00676D0B">
            <w:pPr>
              <w:spacing w:after="297" w:line="226" w:lineRule="exact"/>
              <w:jc w:val="center"/>
              <w:textAlignment w:val="baseline"/>
              <w:rPr>
                <w:rFonts w:ascii="Calibri" w:eastAsia="Calibri" w:hAnsi="Calibri"/>
                <w:b/>
                <w:color w:val="000000"/>
              </w:rPr>
            </w:pPr>
            <w:r>
              <w:rPr>
                <w:rFonts w:ascii="Calibri" w:eastAsia="Calibri" w:hAnsi="Calibri"/>
                <w:b/>
                <w:color w:val="000000"/>
              </w:rPr>
              <w:t>Post consultation change</w:t>
            </w:r>
          </w:p>
        </w:tc>
      </w:tr>
      <w:tr w:rsidR="004F0243">
        <w:trPr>
          <w:trHeight w:hRule="exact" w:val="158"/>
        </w:trPr>
        <w:tc>
          <w:tcPr>
            <w:tcW w:w="1882" w:type="dxa"/>
            <w:vMerge w:val="restart"/>
            <w:tcBorders>
              <w:top w:val="none" w:sz="0" w:space="0" w:color="020000"/>
              <w:left w:val="single" w:sz="9" w:space="0" w:color="000000"/>
              <w:bottom w:val="single" w:sz="0" w:space="0" w:color="000000"/>
              <w:right w:val="single" w:sz="9" w:space="0" w:color="FFFFFF"/>
            </w:tcBorders>
          </w:tcPr>
          <w:p w:rsidR="004F0243" w:rsidRDefault="00676D0B">
            <w:pPr>
              <w:spacing w:before="182" w:after="2381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14R(2)</w:t>
            </w:r>
          </w:p>
        </w:tc>
        <w:tc>
          <w:tcPr>
            <w:tcW w:w="6148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F0243" w:rsidRDefault="004F0243">
            <w:pPr>
              <w:spacing w:after="43" w:line="110" w:lineRule="exact"/>
              <w:jc w:val="right"/>
              <w:textAlignment w:val="baseline"/>
              <w:rPr>
                <w:rFonts w:ascii="Calibri" w:eastAsia="Calibri" w:hAnsi="Calibri"/>
                <w:b/>
                <w:color w:val="FFFFFF"/>
              </w:rPr>
            </w:pPr>
          </w:p>
        </w:tc>
        <w:tc>
          <w:tcPr>
            <w:tcW w:w="7114" w:type="dxa"/>
            <w:gridSpan w:val="3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  <w:tc>
          <w:tcPr>
            <w:tcW w:w="2362" w:type="dxa"/>
            <w:tcBorders>
              <w:top w:val="none" w:sz="0" w:space="0" w:color="020000"/>
              <w:left w:val="single" w:sz="9" w:space="0" w:color="FFFFFF"/>
              <w:bottom w:val="none" w:sz="0" w:space="0" w:color="020000"/>
              <w:right w:val="single" w:sz="9" w:space="0" w:color="FFFFFF"/>
            </w:tcBorders>
            <w:shd w:val="clear" w:color="000000" w:fill="000000"/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2640"/>
        </w:trPr>
        <w:tc>
          <w:tcPr>
            <w:tcW w:w="1882" w:type="dxa"/>
            <w:vMerge/>
            <w:tcBorders>
              <w:top w:val="singl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4F0243"/>
        </w:tc>
        <w:tc>
          <w:tcPr>
            <w:tcW w:w="6148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1229" w:line="280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Reliability obligation CPP - Liable entity must comply with the obligation that the liable entity's net contract position for the trading interval is not less than the liable entity's share of the one-in-penalty two year peak demand forecast for the trading interval determined in accordance with the Rules.</w:t>
            </w:r>
          </w:p>
        </w:tc>
        <w:tc>
          <w:tcPr>
            <w:tcW w:w="7114" w:type="dxa"/>
            <w:gridSpan w:val="3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F0243" w:rsidRDefault="00676D0B">
            <w:pPr>
              <w:spacing w:line="269" w:lineRule="exact"/>
              <w:ind w:left="72" w:right="216"/>
              <w:textAlignment w:val="baseline"/>
              <w:rPr>
                <w:rFonts w:ascii="Calibri" w:eastAsia="Calibri" w:hAnsi="Calibri"/>
                <w:color w:val="000000"/>
                <w:spacing w:val="-2"/>
              </w:rPr>
            </w:pPr>
            <w:r>
              <w:rPr>
                <w:rFonts w:ascii="Calibri" w:eastAsia="Calibri" w:hAnsi="Calibri"/>
                <w:color w:val="000000"/>
                <w:spacing w:val="-2"/>
              </w:rPr>
              <w:t>COAG Energy Council's SCO Explanatory Note to the Bill provides, '...intent to align the penalty for an initial breach with the Tier 2 rate ($1.435M) and the</w:t>
            </w:r>
          </w:p>
          <w:p w:rsidR="004F0243" w:rsidRDefault="00676D0B">
            <w:pPr>
              <w:spacing w:line="287" w:lineRule="exact"/>
              <w:ind w:left="72" w:right="720" w:firstLine="720"/>
              <w:textAlignment w:val="baseline"/>
              <w:rPr>
                <w:rFonts w:ascii="Calibri" w:eastAsia="Calibri" w:hAnsi="Calibri"/>
                <w:color w:val="000000"/>
              </w:rPr>
            </w:pPr>
            <w:proofErr w:type="gramStart"/>
            <w:r>
              <w:rPr>
                <w:rFonts w:ascii="Calibri" w:eastAsia="Calibri" w:hAnsi="Calibri"/>
                <w:color w:val="000000"/>
              </w:rPr>
              <w:t>for</w:t>
            </w:r>
            <w:proofErr w:type="gramEnd"/>
            <w:r>
              <w:rPr>
                <w:rFonts w:ascii="Calibri" w:eastAsia="Calibri" w:hAnsi="Calibri"/>
                <w:color w:val="000000"/>
              </w:rPr>
              <w:t xml:space="preserve"> a subsequent breach (by a corporation) with the Tier 1 Rate ($10M).'</w:t>
            </w:r>
          </w:p>
          <w:p w:rsidR="004F0243" w:rsidRDefault="00676D0B">
            <w:pPr>
              <w:spacing w:before="6" w:after="359" w:line="288" w:lineRule="exact"/>
              <w:ind w:left="72" w:righ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Clause 6 of the Bill, which inserts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new s</w:t>
            </w:r>
            <w:proofErr w:type="spellEnd"/>
            <w:r>
              <w:rPr>
                <w:rFonts w:ascii="Calibri" w:eastAsia="Calibri" w:hAnsi="Calibri"/>
                <w:color w:val="000000"/>
              </w:rPr>
              <w:t xml:space="preserve"> 2AB(1)(d), includes a specific change to the penalty rates that were applied in relation to the Retailer Reliability Obligation (RRO) provisions made in the </w:t>
            </w:r>
            <w:r>
              <w:rPr>
                <w:rFonts w:ascii="Calibri" w:eastAsia="Calibri" w:hAnsi="Calibri"/>
                <w:i/>
                <w:color w:val="000000"/>
              </w:rPr>
              <w:t xml:space="preserve">National Electricity (South Australia) (Retailer Reliability Obligation) Amendment Act 2019 </w:t>
            </w:r>
            <w:r>
              <w:rPr>
                <w:rFonts w:ascii="Calibri" w:eastAsia="Calibri" w:hAnsi="Calibri"/>
                <w:color w:val="000000"/>
              </w:rPr>
              <w:t>.</w:t>
            </w:r>
          </w:p>
        </w:tc>
        <w:tc>
          <w:tcPr>
            <w:tcW w:w="2362" w:type="dxa"/>
            <w:tcBorders>
              <w:top w:val="none" w:sz="0" w:space="0" w:color="02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69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18" w:line="275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Sections 11(1), (2), (3) and (4)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line="226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Electricity market activities in SA -</w:t>
            </w:r>
          </w:p>
          <w:p w:rsidR="004F0243" w:rsidRDefault="00676D0B">
            <w:pPr>
              <w:spacing w:before="62" w:line="226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Prohibition on person engaging in certain activities unless a</w:t>
            </w:r>
          </w:p>
          <w:p w:rsidR="004F0243" w:rsidRDefault="00676D0B">
            <w:pPr>
              <w:spacing w:before="67" w:after="24" w:line="226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Registered participant in relation that activity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before="38" w:after="606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after="317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317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Deliberate or reckless conduct by the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contravenor</w:t>
            </w:r>
            <w:proofErr w:type="spellEnd"/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576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313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14A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25" w:line="275" w:lineRule="exact"/>
              <w:ind w:left="36" w:right="129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Regulated transmission system operator must comply with transmission determination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before="38" w:after="313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after="24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contravenor</w:t>
            </w:r>
            <w:proofErr w:type="spellEnd"/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576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313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14B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25" w:line="275" w:lineRule="exact"/>
              <w:ind w:left="36" w:right="1404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Regulated distribution system operator must comply with distribution determination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before="38" w:after="313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after="24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312" w:line="226" w:lineRule="exact"/>
              <w:ind w:left="4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Financial gain to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contravenor</w:t>
            </w:r>
            <w:proofErr w:type="spellEnd"/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69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13" w:line="275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14P(1) and (3)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12" w:line="276" w:lineRule="exact"/>
              <w:ind w:left="36" w:right="147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to report net contract position in relation to Retailer Reliability Obligation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92D050" w:fill="92D050"/>
          </w:tcPr>
          <w:p w:rsidR="004F0243" w:rsidRDefault="00676D0B">
            <w:pPr>
              <w:spacing w:before="38" w:after="601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92D050" w:fill="92D050"/>
          </w:tcPr>
          <w:p w:rsidR="004F0243" w:rsidRDefault="00676D0B">
            <w:pPr>
              <w:spacing w:after="312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F0243" w:rsidRDefault="00676D0B">
            <w:pPr>
              <w:spacing w:after="19" w:line="281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general reporting obligations to a regulator</w:t>
            </w:r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64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line="225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18ZC(1) and</w:t>
            </w:r>
          </w:p>
          <w:p w:rsidR="004F0243" w:rsidRDefault="00676D0B">
            <w:pPr>
              <w:numPr>
                <w:ilvl w:val="0"/>
                <w:numId w:val="1"/>
              </w:numPr>
              <w:tabs>
                <w:tab w:val="clear" w:pos="216"/>
                <w:tab w:val="left" w:pos="288"/>
              </w:tabs>
              <w:spacing w:before="63" w:after="308" w:line="225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07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Obligation of regulated entities to keep records in </w:t>
            </w:r>
            <w:r>
              <w:rPr>
                <w:rFonts w:ascii="Calibri" w:eastAsia="Calibri" w:hAnsi="Calibri"/>
                <w:color w:val="000000"/>
              </w:rPr>
              <w:br/>
              <w:t>relation to Retailer Reliability Obligation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92D050" w:fill="92D050"/>
          </w:tcPr>
          <w:p w:rsidR="004F0243" w:rsidRDefault="00676D0B">
            <w:pPr>
              <w:spacing w:before="38" w:after="596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92D050" w:fill="92D050"/>
          </w:tcPr>
          <w:p w:rsidR="004F0243" w:rsidRDefault="00676D0B">
            <w:pPr>
              <w:spacing w:before="38" w:after="596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Market Administration</w:t>
            </w:r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F0243" w:rsidRDefault="00676D0B">
            <w:pPr>
              <w:spacing w:after="307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Inadequate record keeping or administrative processes</w:t>
            </w:r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64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596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18ZD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07" w:line="276" w:lineRule="exact"/>
              <w:ind w:left="72" w:right="540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Obligation of regulated entities to provide information and data about compliance with Retailer Reliability Obligation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92D050" w:fill="92D050"/>
          </w:tcPr>
          <w:p w:rsidR="004F0243" w:rsidRDefault="00676D0B">
            <w:pPr>
              <w:spacing w:before="38" w:after="596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2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92D050" w:fill="92D050"/>
          </w:tcPr>
          <w:p w:rsidR="004F0243" w:rsidRDefault="00676D0B">
            <w:pPr>
              <w:spacing w:after="307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Inappropriate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92D050" w:fill="92D050"/>
          </w:tcPr>
          <w:p w:rsidR="004F0243" w:rsidRDefault="00676D0B">
            <w:pPr>
              <w:spacing w:after="19" w:line="280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general reporting obligations to a regulator</w:t>
            </w:r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69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line="225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18ZF(1) and</w:t>
            </w:r>
          </w:p>
          <w:p w:rsidR="004F0243" w:rsidRDefault="00676D0B">
            <w:pPr>
              <w:numPr>
                <w:ilvl w:val="0"/>
                <w:numId w:val="1"/>
              </w:numPr>
              <w:tabs>
                <w:tab w:val="clear" w:pos="216"/>
                <w:tab w:val="left" w:pos="288"/>
              </w:tabs>
              <w:spacing w:before="67" w:after="304" w:line="225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595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Compliance with audits by regulated entities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before="38" w:after="596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after="302" w:line="278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14" w:line="281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64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7" w:after="592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28N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04" w:line="275" w:lineRule="exact"/>
              <w:ind w:left="36" w:right="133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Compliance with regulatory information notice that is served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before="37" w:after="592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after="302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14" w:line="280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873"/>
        </w:trPr>
        <w:tc>
          <w:tcPr>
            <w:tcW w:w="188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7" w:after="606" w:line="225" w:lineRule="exact"/>
              <w:ind w:left="53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28O</w:t>
            </w:r>
          </w:p>
        </w:tc>
        <w:tc>
          <w:tcPr>
            <w:tcW w:w="6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7" w:after="604" w:line="227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Compliance with general regulatory information order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before="37" w:after="606" w:line="225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double" w:sz="4" w:space="0" w:color="000000"/>
            </w:tcBorders>
            <w:shd w:val="clear" w:color="BCD6ED" w:fill="BCD6ED"/>
          </w:tcPr>
          <w:p w:rsidR="004F0243" w:rsidRDefault="00676D0B">
            <w:pPr>
              <w:spacing w:after="316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double" w:sz="4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28" w:line="280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236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4F0243" w:rsidRDefault="004F0243">
      <w:pPr>
        <w:sectPr w:rsidR="004F0243">
          <w:pgSz w:w="20045" w:h="14174" w:orient="landscape"/>
          <w:pgMar w:top="1260" w:right="1325" w:bottom="1418" w:left="1200" w:header="720" w:footer="720" w:gutter="0"/>
          <w:cols w:space="720"/>
        </w:sectPr>
      </w:pPr>
    </w:p>
    <w:p w:rsidR="004F0243" w:rsidRDefault="004F0243">
      <w:pPr>
        <w:spacing w:before="6" w:line="20" w:lineRule="exact"/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6"/>
        <w:gridCol w:w="6149"/>
        <w:gridCol w:w="1359"/>
        <w:gridCol w:w="2875"/>
        <w:gridCol w:w="2880"/>
        <w:gridCol w:w="2371"/>
      </w:tblGrid>
      <w:tr w:rsidR="004F0243">
        <w:trPr>
          <w:trHeight w:hRule="exact" w:val="1166"/>
        </w:trPr>
        <w:tc>
          <w:tcPr>
            <w:tcW w:w="18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48" w:after="888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50D(1)</w:t>
            </w:r>
          </w:p>
        </w:tc>
        <w:tc>
          <w:tcPr>
            <w:tcW w:w="6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600" w:line="281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Requirement for declared transmission system </w:t>
            </w:r>
            <w:r>
              <w:rPr>
                <w:rFonts w:ascii="Calibri" w:eastAsia="Calibri" w:hAnsi="Calibri"/>
                <w:color w:val="000000"/>
              </w:rPr>
              <w:br/>
              <w:t>operator to have a network agreement with AEMO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48" w:after="888" w:line="226" w:lineRule="exact"/>
              <w:ind w:right="811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48" w:after="888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2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312" w:line="283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AEMO ability to plan and operate the power system efficiently</w:t>
            </w:r>
          </w:p>
        </w:tc>
        <w:tc>
          <w:tcPr>
            <w:tcW w:w="23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999"/>
        </w:trPr>
        <w:tc>
          <w:tcPr>
            <w:tcW w:w="18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436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50F(1), (4) and (5)</w:t>
            </w:r>
          </w:p>
        </w:tc>
        <w:tc>
          <w:tcPr>
            <w:tcW w:w="6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9" w:line="226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 declared transmission system operator must not</w:t>
            </w:r>
          </w:p>
          <w:p w:rsidR="004F0243" w:rsidRDefault="00676D0B">
            <w:pPr>
              <w:spacing w:before="62" w:line="226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augment the declared share network or any part of it unless certain</w:t>
            </w:r>
          </w:p>
          <w:p w:rsidR="004F0243" w:rsidRDefault="00676D0B">
            <w:pPr>
              <w:spacing w:before="62" w:after="148" w:line="226" w:lineRule="exact"/>
              <w:ind w:left="72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conditions are satisfied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9" w:after="724" w:line="226" w:lineRule="exact"/>
              <w:ind w:right="811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9" w:after="724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Supply Security and Reliability</w:t>
            </w:r>
          </w:p>
        </w:tc>
        <w:tc>
          <w:tcPr>
            <w:tcW w:w="2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148" w:line="280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AEMO ability to plan and operate the power system efficiently</w:t>
            </w:r>
          </w:p>
        </w:tc>
        <w:tc>
          <w:tcPr>
            <w:tcW w:w="23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3619"/>
        </w:trPr>
        <w:tc>
          <w:tcPr>
            <w:tcW w:w="18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after="3053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53C(3) and (4)</w:t>
            </w:r>
          </w:p>
        </w:tc>
        <w:tc>
          <w:tcPr>
            <w:tcW w:w="6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3341" w:line="226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Compliance with market information instrument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3341" w:line="226" w:lineRule="exact"/>
              <w:ind w:right="811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3053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 xml:space="preserve">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behaviour</w:t>
            </w:r>
            <w:proofErr w:type="spellEnd"/>
          </w:p>
        </w:tc>
        <w:tc>
          <w:tcPr>
            <w:tcW w:w="2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2765" w:line="280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Failure to comply with specific notices or requests from a regulator</w:t>
            </w:r>
          </w:p>
        </w:tc>
        <w:tc>
          <w:tcPr>
            <w:tcW w:w="23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FFF00" w:fill="FFFF00"/>
          </w:tcPr>
          <w:p w:rsidR="004F0243" w:rsidRDefault="00676D0B">
            <w:pPr>
              <w:spacing w:before="38" w:line="223" w:lineRule="exact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FROM</w:t>
            </w:r>
          </w:p>
          <w:p w:rsidR="004F0243" w:rsidRDefault="00676D0B">
            <w:pPr>
              <w:spacing w:line="261" w:lineRule="exact"/>
              <w:ind w:left="72" w:right="180"/>
              <w:textAlignment w:val="baseline"/>
              <w:rPr>
                <w:rFonts w:ascii="Calibri" w:eastAsia="Calibri" w:hAnsi="Calibri"/>
                <w:color w:val="000000"/>
                <w:spacing w:val="-2"/>
                <w:sz w:val="20"/>
              </w:rPr>
            </w:pPr>
            <w:r>
              <w:rPr>
                <w:rFonts w:ascii="Calibri" w:eastAsia="Calibri" w:hAnsi="Calibri"/>
                <w:color w:val="000000"/>
                <w:spacing w:val="-2"/>
                <w:sz w:val="20"/>
              </w:rPr>
              <w:t xml:space="preserve">Tier 2 - Inappropriate market </w:t>
            </w:r>
            <w:proofErr w:type="spellStart"/>
            <w:r>
              <w:rPr>
                <w:rFonts w:ascii="Calibri" w:eastAsia="Calibri" w:hAnsi="Calibri"/>
                <w:color w:val="000000"/>
                <w:spacing w:val="-2"/>
                <w:sz w:val="20"/>
              </w:rPr>
              <w:t>behaviour</w:t>
            </w:r>
            <w:proofErr w:type="spellEnd"/>
            <w:r>
              <w:rPr>
                <w:rFonts w:ascii="Calibri" w:eastAsia="Calibri" w:hAnsi="Calibri"/>
                <w:color w:val="000000"/>
                <w:spacing w:val="-2"/>
                <w:sz w:val="20"/>
              </w:rPr>
              <w:t xml:space="preserve"> - Failure to comply with general reporting obligations to a regulator</w:t>
            </w:r>
          </w:p>
          <w:p w:rsidR="004F0243" w:rsidRDefault="00676D0B">
            <w:pPr>
              <w:spacing w:before="61" w:line="223" w:lineRule="exact"/>
              <w:textAlignment w:val="baseline"/>
              <w:rPr>
                <w:rFonts w:ascii="Calibri" w:eastAsia="Calibri" w:hAnsi="Calibri"/>
                <w:b/>
                <w:color w:val="000000"/>
                <w:sz w:val="20"/>
              </w:rPr>
            </w:pPr>
            <w:r>
              <w:rPr>
                <w:rFonts w:ascii="Calibri" w:eastAsia="Calibri" w:hAnsi="Calibri"/>
                <w:b/>
                <w:color w:val="000000"/>
                <w:sz w:val="20"/>
              </w:rPr>
              <w:t>TO</w:t>
            </w:r>
          </w:p>
          <w:p w:rsidR="004F0243" w:rsidRDefault="00676D0B">
            <w:pPr>
              <w:spacing w:after="173" w:line="263" w:lineRule="exact"/>
              <w:ind w:left="72" w:right="72"/>
              <w:textAlignment w:val="baseline"/>
              <w:rPr>
                <w:rFonts w:ascii="Calibri" w:eastAsia="Calibri" w:hAnsi="Calibri"/>
                <w:color w:val="000000"/>
                <w:sz w:val="20"/>
              </w:rPr>
            </w:pPr>
            <w:r>
              <w:rPr>
                <w:rFonts w:ascii="Calibri" w:eastAsia="Calibri" w:hAnsi="Calibri"/>
                <w:color w:val="000000"/>
                <w:sz w:val="20"/>
              </w:rPr>
              <w:t xml:space="preserve">Tier 1 - Unacceptable market participant </w:t>
            </w:r>
            <w:proofErr w:type="spellStart"/>
            <w:r>
              <w:rPr>
                <w:rFonts w:ascii="Calibri" w:eastAsia="Calibri" w:hAnsi="Calibri"/>
                <w:color w:val="000000"/>
                <w:sz w:val="20"/>
              </w:rPr>
              <w:t>behaviour</w:t>
            </w:r>
            <w:proofErr w:type="spellEnd"/>
            <w:r>
              <w:rPr>
                <w:rFonts w:ascii="Calibri" w:eastAsia="Calibri" w:hAnsi="Calibri"/>
                <w:color w:val="000000"/>
                <w:sz w:val="20"/>
              </w:rPr>
              <w:t xml:space="preserve"> - Failure to comply with specific notices or requests from a regulator</w:t>
            </w:r>
          </w:p>
        </w:tc>
      </w:tr>
      <w:tr w:rsidR="004F0243">
        <w:trPr>
          <w:trHeight w:hRule="exact" w:val="581"/>
        </w:trPr>
        <w:tc>
          <w:tcPr>
            <w:tcW w:w="18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312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136</w:t>
            </w:r>
          </w:p>
        </w:tc>
        <w:tc>
          <w:tcPr>
            <w:tcW w:w="6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312" w:line="226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Compliance with access determination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312" w:line="226" w:lineRule="exact"/>
              <w:ind w:right="811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312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Adverse Market Impact</w:t>
            </w:r>
          </w:p>
        </w:tc>
        <w:tc>
          <w:tcPr>
            <w:tcW w:w="2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24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to other market participants</w:t>
            </w:r>
          </w:p>
        </w:tc>
        <w:tc>
          <w:tcPr>
            <w:tcW w:w="23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  <w:tr w:rsidR="004F0243">
        <w:trPr>
          <w:trHeight w:hRule="exact" w:val="1263"/>
        </w:trPr>
        <w:tc>
          <w:tcPr>
            <w:tcW w:w="188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998" w:line="226" w:lineRule="exact"/>
              <w:ind w:left="5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Section 157(1)</w:t>
            </w:r>
          </w:p>
        </w:tc>
        <w:tc>
          <w:tcPr>
            <w:tcW w:w="614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spacing w:before="38" w:after="998" w:line="226" w:lineRule="exact"/>
              <w:ind w:left="39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Preventing or hindering access</w:t>
            </w:r>
          </w:p>
        </w:tc>
        <w:tc>
          <w:tcPr>
            <w:tcW w:w="13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998" w:line="226" w:lineRule="exact"/>
              <w:ind w:right="811"/>
              <w:jc w:val="right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Tier 1</w:t>
            </w:r>
          </w:p>
        </w:tc>
        <w:tc>
          <w:tcPr>
            <w:tcW w:w="28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before="38" w:after="998" w:line="226" w:lineRule="exact"/>
              <w:ind w:left="38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Adverse Market Impact</w:t>
            </w:r>
          </w:p>
        </w:tc>
        <w:tc>
          <w:tcPr>
            <w:tcW w:w="288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BCD6ED" w:fill="BCD6ED"/>
          </w:tcPr>
          <w:p w:rsidR="004F0243" w:rsidRDefault="00676D0B">
            <w:pPr>
              <w:spacing w:after="710" w:line="276" w:lineRule="exact"/>
              <w:ind w:left="36"/>
              <w:textAlignment w:val="baseline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Financial harm to other market participants</w:t>
            </w:r>
          </w:p>
        </w:tc>
        <w:tc>
          <w:tcPr>
            <w:tcW w:w="23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F0243" w:rsidRDefault="00676D0B">
            <w:pPr>
              <w:textAlignment w:val="baseline"/>
              <w:rPr>
                <w:rFonts w:ascii="Calibri" w:eastAsia="Calibri" w:hAnsi="Calibri"/>
                <w:color w:val="000000"/>
                <w:sz w:val="24"/>
              </w:rPr>
            </w:pPr>
            <w:r>
              <w:rPr>
                <w:rFonts w:ascii="Calibri" w:eastAsia="Calibri" w:hAnsi="Calibri"/>
                <w:color w:val="000000"/>
                <w:sz w:val="24"/>
              </w:rPr>
              <w:t xml:space="preserve"> </w:t>
            </w:r>
          </w:p>
        </w:tc>
      </w:tr>
    </w:tbl>
    <w:p w:rsidR="003127F4" w:rsidRDefault="003127F4"/>
    <w:sectPr w:rsidR="003127F4">
      <w:pgSz w:w="20045" w:h="14174" w:orient="landscape"/>
      <w:pgMar w:top="1260" w:right="1330" w:bottom="4838" w:left="11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D03603"/>
    <w:multiLevelType w:val="multilevel"/>
    <w:tmpl w:val="C3C63D20"/>
    <w:lvl w:ilvl="0">
      <w:start w:val="2"/>
      <w:numFmt w:val="decimal"/>
      <w:lvlText w:val="(%1)"/>
      <w:lvlJc w:val="left"/>
      <w:pPr>
        <w:tabs>
          <w:tab w:val="left" w:pos="216"/>
        </w:tabs>
      </w:pPr>
      <w:rPr>
        <w:rFonts w:ascii="Calibri" w:eastAsia="Calibri" w:hAnsi="Calibri"/>
        <w:color w:val="000000"/>
        <w:spacing w:val="0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43"/>
    <w:rsid w:val="003127F4"/>
    <w:rsid w:val="004F0243"/>
    <w:rsid w:val="00676D0B"/>
    <w:rsid w:val="008263CE"/>
    <w:rsid w:val="00F5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686BD1-352A-4550-97F3-18232B17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Eastgate, Pip</dc:creator>
  <cp:lastModifiedBy>Hirscher, Andrew</cp:lastModifiedBy>
  <cp:revision>4</cp:revision>
  <dcterms:created xsi:type="dcterms:W3CDTF">2021-01-11T01:26:00Z</dcterms:created>
  <dcterms:modified xsi:type="dcterms:W3CDTF">2021-01-11T04:58:00Z</dcterms:modified>
</cp:coreProperties>
</file>