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42C" w:rsidRDefault="003A642C">
      <w:pPr>
        <w:spacing w:before="10" w:line="20" w:lineRule="exact"/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6"/>
        <w:gridCol w:w="6225"/>
        <w:gridCol w:w="1373"/>
        <w:gridCol w:w="3926"/>
        <w:gridCol w:w="3927"/>
        <w:gridCol w:w="1761"/>
      </w:tblGrid>
      <w:tr w:rsidR="00BC58F7" w:rsidRPr="00BC58F7" w:rsidTr="00BC58F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9118" w:type="dxa"/>
            <w:gridSpan w:val="6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C3C300" w:fill="000000" w:themeFill="text1"/>
          </w:tcPr>
          <w:p w:rsidR="00BC58F7" w:rsidRPr="00BC58F7" w:rsidRDefault="00BC58F7" w:rsidP="00BC58F7">
            <w:pPr>
              <w:spacing w:after="5" w:line="273" w:lineRule="exact"/>
              <w:ind w:left="36"/>
              <w:jc w:val="center"/>
              <w:textAlignment w:val="baseline"/>
              <w:rPr>
                <w:rFonts w:ascii="Calibri" w:eastAsia="Calibri" w:hAnsi="Calibri"/>
                <w:b/>
                <w:color w:val="FFFFFF" w:themeColor="background1"/>
                <w:sz w:val="23"/>
              </w:rPr>
            </w:pPr>
            <w:r>
              <w:rPr>
                <w:rFonts w:ascii="Calibri" w:eastAsia="Calibri" w:hAnsi="Calibri"/>
                <w:b/>
                <w:color w:val="FFFFFF" w:themeColor="background1"/>
                <w:sz w:val="23"/>
              </w:rPr>
              <w:t>National Energy Retail Law – Final Classifica</w:t>
            </w:r>
            <w:bookmarkStart w:id="0" w:name="_GoBack"/>
            <w:bookmarkEnd w:id="0"/>
            <w:r>
              <w:rPr>
                <w:rFonts w:ascii="Calibri" w:eastAsia="Calibri" w:hAnsi="Calibri"/>
                <w:b/>
                <w:color w:val="FFFFFF" w:themeColor="background1"/>
                <w:sz w:val="23"/>
              </w:rPr>
              <w:t>tion of Tiers</w:t>
            </w:r>
          </w:p>
        </w:tc>
      </w:tr>
      <w:tr w:rsidR="003A642C" w:rsidTr="00BC58F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906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0" w:space="0" w:color="000000"/>
              <w:right w:val="single" w:sz="9" w:space="0" w:color="000000"/>
            </w:tcBorders>
            <w:shd w:val="clear" w:color="C3C300" w:fill="C3C300"/>
          </w:tcPr>
          <w:p w:rsidR="003A642C" w:rsidRDefault="004A5758">
            <w:pPr>
              <w:spacing w:after="163" w:line="273" w:lineRule="exact"/>
              <w:jc w:val="center"/>
              <w:textAlignment w:val="baseline"/>
              <w:rPr>
                <w:rFonts w:ascii="Calibri" w:eastAsia="Calibri" w:hAnsi="Calibri"/>
                <w:b/>
                <w:color w:val="000000"/>
                <w:sz w:val="23"/>
              </w:rPr>
            </w:pPr>
            <w:r>
              <w:rPr>
                <w:rFonts w:ascii="Calibri" w:eastAsia="Calibri" w:hAnsi="Calibri"/>
                <w:b/>
                <w:color w:val="000000"/>
                <w:sz w:val="23"/>
              </w:rPr>
              <w:t xml:space="preserve">Civil Penalty </w:t>
            </w:r>
            <w:r>
              <w:rPr>
                <w:rFonts w:ascii="Calibri" w:eastAsia="Calibri" w:hAnsi="Calibri"/>
                <w:b/>
                <w:color w:val="000000"/>
                <w:sz w:val="23"/>
              </w:rPr>
              <w:br/>
              <w:t>Provision</w:t>
            </w:r>
          </w:p>
        </w:tc>
        <w:tc>
          <w:tcPr>
            <w:tcW w:w="6225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3A642C" w:rsidRDefault="004A5758">
            <w:pPr>
              <w:spacing w:before="169" w:after="154" w:line="229" w:lineRule="exact"/>
              <w:jc w:val="center"/>
              <w:textAlignment w:val="baseline"/>
              <w:rPr>
                <w:rFonts w:ascii="Calibri" w:eastAsia="Calibri" w:hAnsi="Calibri"/>
                <w:b/>
                <w:color w:val="000000"/>
                <w:sz w:val="23"/>
              </w:rPr>
            </w:pPr>
            <w:r>
              <w:rPr>
                <w:rFonts w:ascii="Calibri" w:eastAsia="Calibri" w:hAnsi="Calibri"/>
                <w:b/>
                <w:color w:val="000000"/>
                <w:sz w:val="23"/>
              </w:rPr>
              <w:t>Conduct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3A642C" w:rsidRDefault="004A5758">
            <w:pPr>
              <w:spacing w:before="169" w:after="154" w:line="229" w:lineRule="exact"/>
              <w:jc w:val="center"/>
              <w:textAlignment w:val="baseline"/>
              <w:rPr>
                <w:rFonts w:ascii="Calibri" w:eastAsia="Calibri" w:hAnsi="Calibri"/>
                <w:b/>
                <w:color w:val="000000"/>
                <w:sz w:val="23"/>
              </w:rPr>
            </w:pPr>
            <w:r>
              <w:rPr>
                <w:rFonts w:ascii="Calibri" w:eastAsia="Calibri" w:hAnsi="Calibri"/>
                <w:b/>
                <w:color w:val="000000"/>
                <w:sz w:val="23"/>
              </w:rPr>
              <w:t>Proposed tier</w:t>
            </w:r>
          </w:p>
        </w:tc>
        <w:tc>
          <w:tcPr>
            <w:tcW w:w="3926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3A642C" w:rsidRDefault="004A5758">
            <w:pPr>
              <w:spacing w:before="169" w:after="154" w:line="229" w:lineRule="exact"/>
              <w:jc w:val="center"/>
              <w:textAlignment w:val="baseline"/>
              <w:rPr>
                <w:rFonts w:ascii="Calibri" w:eastAsia="Calibri" w:hAnsi="Calibri"/>
                <w:b/>
                <w:color w:val="000000"/>
                <w:sz w:val="23"/>
              </w:rPr>
            </w:pPr>
            <w:r>
              <w:rPr>
                <w:rFonts w:ascii="Calibri" w:eastAsia="Calibri" w:hAnsi="Calibri"/>
                <w:b/>
                <w:color w:val="000000"/>
                <w:sz w:val="23"/>
              </w:rPr>
              <w:t>Matrix category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  <w:vAlign w:val="center"/>
          </w:tcPr>
          <w:p w:rsidR="003A642C" w:rsidRDefault="004A5758">
            <w:pPr>
              <w:spacing w:before="169" w:after="154" w:line="229" w:lineRule="exact"/>
              <w:jc w:val="center"/>
              <w:textAlignment w:val="baseline"/>
              <w:rPr>
                <w:rFonts w:ascii="Calibri" w:eastAsia="Calibri" w:hAnsi="Calibri"/>
                <w:b/>
                <w:color w:val="000000"/>
                <w:sz w:val="23"/>
              </w:rPr>
            </w:pPr>
            <w:proofErr w:type="spellStart"/>
            <w:r>
              <w:rPr>
                <w:rFonts w:ascii="Calibri" w:eastAsia="Calibri" w:hAnsi="Calibri"/>
                <w:b/>
                <w:color w:val="000000"/>
                <w:sz w:val="23"/>
              </w:rPr>
              <w:t>Subclassification</w:t>
            </w:r>
            <w:proofErr w:type="spellEnd"/>
          </w:p>
        </w:tc>
        <w:tc>
          <w:tcPr>
            <w:tcW w:w="1761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</w:tcPr>
          <w:p w:rsidR="003A642C" w:rsidRDefault="004A5758">
            <w:pPr>
              <w:spacing w:after="5" w:line="273" w:lineRule="exact"/>
              <w:ind w:left="36"/>
              <w:textAlignment w:val="baseline"/>
              <w:rPr>
                <w:rFonts w:ascii="Calibri" w:eastAsia="Calibri" w:hAnsi="Calibri"/>
                <w:b/>
                <w:color w:val="000000"/>
                <w:sz w:val="23"/>
              </w:rPr>
            </w:pPr>
            <w:r>
              <w:rPr>
                <w:rFonts w:ascii="Calibri" w:eastAsia="Calibri" w:hAnsi="Calibri"/>
                <w:b/>
                <w:color w:val="000000"/>
                <w:sz w:val="23"/>
              </w:rPr>
              <w:t>Post consultation change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154"/>
        </w:trPr>
        <w:tc>
          <w:tcPr>
            <w:tcW w:w="1906" w:type="dxa"/>
            <w:vMerge/>
            <w:tcBorders>
              <w:top w:val="single" w:sz="0" w:space="0" w:color="000000"/>
              <w:left w:val="single" w:sz="9" w:space="0" w:color="000000"/>
              <w:bottom w:val="none" w:sz="0" w:space="0" w:color="020000"/>
              <w:right w:val="single" w:sz="9" w:space="0" w:color="FFFFFF"/>
            </w:tcBorders>
            <w:shd w:val="clear" w:color="C3C300" w:fill="C3C300"/>
          </w:tcPr>
          <w:p w:rsidR="003A642C" w:rsidRDefault="003A642C"/>
        </w:tc>
        <w:tc>
          <w:tcPr>
            <w:tcW w:w="6225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  <w:vAlign w:val="center"/>
          </w:tcPr>
          <w:p w:rsidR="003A642C" w:rsidRDefault="003A642C">
            <w:pPr>
              <w:spacing w:before="34" w:line="114" w:lineRule="exact"/>
              <w:jc w:val="right"/>
              <w:textAlignment w:val="baseline"/>
              <w:rPr>
                <w:rFonts w:ascii="Calibri" w:eastAsia="Calibri" w:hAnsi="Calibri"/>
                <w:b/>
                <w:color w:val="FFFFFF"/>
                <w:sz w:val="23"/>
              </w:rPr>
            </w:pPr>
          </w:p>
        </w:tc>
        <w:tc>
          <w:tcPr>
            <w:tcW w:w="1373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3A642C" w:rsidRDefault="003A642C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</w:p>
        </w:tc>
        <w:tc>
          <w:tcPr>
            <w:tcW w:w="3926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  <w:vAlign w:val="center"/>
          </w:tcPr>
          <w:p w:rsidR="003A642C" w:rsidRDefault="003A642C">
            <w:pPr>
              <w:spacing w:before="34" w:line="114" w:lineRule="exact"/>
              <w:ind w:left="134"/>
              <w:textAlignment w:val="baseline"/>
              <w:rPr>
                <w:rFonts w:ascii="Calibri" w:eastAsia="Calibri" w:hAnsi="Calibri"/>
                <w:b/>
                <w:color w:val="FFFFFF"/>
                <w:sz w:val="23"/>
              </w:rPr>
            </w:pPr>
          </w:p>
        </w:tc>
        <w:tc>
          <w:tcPr>
            <w:tcW w:w="3927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1761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158"/>
        </w:trPr>
        <w:tc>
          <w:tcPr>
            <w:tcW w:w="1906" w:type="dxa"/>
            <w:vMerge w:val="restart"/>
            <w:tcBorders>
              <w:top w:val="none" w:sz="0" w:space="0" w:color="020000"/>
              <w:left w:val="single" w:sz="9" w:space="0" w:color="000000"/>
              <w:bottom w:val="single" w:sz="0" w:space="0" w:color="000000"/>
              <w:right w:val="single" w:sz="9" w:space="0" w:color="FFFFFF"/>
            </w:tcBorders>
          </w:tcPr>
          <w:p w:rsidR="003A642C" w:rsidRDefault="004A5758">
            <w:pPr>
              <w:spacing w:before="186" w:after="605" w:line="225" w:lineRule="exact"/>
              <w:ind w:left="10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20(2)</w:t>
            </w:r>
          </w:p>
        </w:tc>
        <w:tc>
          <w:tcPr>
            <w:tcW w:w="6225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3A642C" w:rsidRDefault="003A642C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</w:p>
        </w:tc>
        <w:tc>
          <w:tcPr>
            <w:tcW w:w="1373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3A642C" w:rsidRDefault="003A642C">
            <w:pPr>
              <w:spacing w:after="42" w:line="110" w:lineRule="exact"/>
              <w:ind w:right="20"/>
              <w:jc w:val="right"/>
              <w:textAlignment w:val="baseline"/>
              <w:rPr>
                <w:rFonts w:ascii="Calibri" w:eastAsia="Calibri" w:hAnsi="Calibri"/>
                <w:b/>
                <w:color w:val="FFFFFF"/>
                <w:sz w:val="23"/>
              </w:rPr>
            </w:pPr>
          </w:p>
        </w:tc>
        <w:tc>
          <w:tcPr>
            <w:tcW w:w="3926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3A642C" w:rsidRDefault="003A642C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</w:p>
        </w:tc>
        <w:tc>
          <w:tcPr>
            <w:tcW w:w="3927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1761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1906" w:type="dxa"/>
            <w:vMerge/>
            <w:tcBorders>
              <w:top w:val="single" w:sz="0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3A642C"/>
        </w:tc>
        <w:tc>
          <w:tcPr>
            <w:tcW w:w="6225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after="24" w:line="278" w:lineRule="exact"/>
              <w:ind w:left="36" w:right="144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Retailer cannot provide customer retail services to small customers under any other kind of contract or arrangement than standard retail contract or market retail contract</w:t>
            </w:r>
          </w:p>
        </w:tc>
        <w:tc>
          <w:tcPr>
            <w:tcW w:w="1373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605" w:line="225" w:lineRule="exact"/>
              <w:ind w:left="7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604" w:line="226" w:lineRule="exact"/>
              <w:ind w:left="10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317" w:line="270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1761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after="20" w:line="277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Section 22(1) </w:t>
            </w:r>
            <w:r>
              <w:rPr>
                <w:rFonts w:ascii="Calibri" w:eastAsia="Calibri" w:hAnsi="Calibri"/>
                <w:color w:val="000000"/>
              </w:rPr>
              <w:br/>
              <w:t>and (3)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8" w:after="311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Obligation to make offer to small customers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8" w:after="312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8" w:after="311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8" w:after="312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352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23(1)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350" w:line="227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Retailer must publish standing offer prices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352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58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Consumer Harm Type 1/ </w:t>
            </w:r>
            <w:r>
              <w:rPr>
                <w:rFonts w:ascii="Calibri" w:eastAsia="Calibri" w:hAnsi="Calibri"/>
                <w:color w:val="000000"/>
              </w:rPr>
              <w:br/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59" w:line="277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 / Financial harm to market</w:t>
            </w:r>
          </w:p>
        </w:tc>
        <w:tc>
          <w:tcPr>
            <w:tcW w:w="1761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0" w:space="0" w:color="000000"/>
              <w:right w:val="single" w:sz="9" w:space="0" w:color="000000"/>
            </w:tcBorders>
            <w:shd w:val="clear" w:color="FFFF00" w:fill="FFFF00"/>
          </w:tcPr>
          <w:p w:rsidR="003A642C" w:rsidRDefault="004A5758">
            <w:pPr>
              <w:spacing w:after="2169" w:line="254" w:lineRule="exact"/>
              <w:ind w:left="36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 xml:space="preserve">ADD: </w:t>
            </w:r>
            <w:r>
              <w:rPr>
                <w:rFonts w:ascii="Calibri" w:eastAsia="Calibri" w:hAnsi="Calibri"/>
                <w:color w:val="000000"/>
                <w:sz w:val="20"/>
              </w:rPr>
              <w:t xml:space="preserve">Financial </w:t>
            </w:r>
            <w:r>
              <w:rPr>
                <w:rFonts w:ascii="Calibri" w:eastAsia="Calibri" w:hAnsi="Calibri"/>
                <w:color w:val="000000"/>
                <w:sz w:val="20"/>
              </w:rPr>
              <w:br/>
              <w:t xml:space="preserve">harm to market </w:t>
            </w:r>
            <w:r>
              <w:rPr>
                <w:rFonts w:ascii="Calibri" w:eastAsia="Calibri" w:hAnsi="Calibri"/>
                <w:color w:val="000000"/>
                <w:sz w:val="20"/>
              </w:rPr>
              <w:br/>
              <w:t>participants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8" w:after="889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24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after="595" w:line="278" w:lineRule="exact"/>
              <w:ind w:left="36" w:right="684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Retailer must present standing offer prices in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accordancewith</w:t>
            </w:r>
            <w:proofErr w:type="spellEnd"/>
            <w:r>
              <w:rPr>
                <w:rFonts w:ascii="Calibri" w:eastAsia="Calibri" w:hAnsi="Calibri"/>
                <w:color w:val="000000"/>
              </w:rPr>
              <w:t xml:space="preserve"> guidelines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8" w:after="889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595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Consumer Harm Type 1/ </w:t>
            </w:r>
            <w:r>
              <w:rPr>
                <w:rFonts w:ascii="Calibri" w:eastAsia="Calibri" w:hAnsi="Calibri"/>
                <w:color w:val="000000"/>
              </w:rPr>
              <w:br/>
            </w:r>
            <w:r>
              <w:rPr>
                <w:rFonts w:ascii="Calibri" w:eastAsia="Calibri" w:hAnsi="Calibri"/>
                <w:color w:val="000000"/>
              </w:rPr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line="130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participants</w:t>
            </w:r>
          </w:p>
          <w:p w:rsidR="003A642C" w:rsidRDefault="004A5758">
            <w:pPr>
              <w:spacing w:line="130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</w:t>
            </w:r>
          </w:p>
          <w:p w:rsidR="003A642C" w:rsidRDefault="004A5758">
            <w:pPr>
              <w:spacing w:after="307" w:line="290" w:lineRule="exact"/>
              <w:ind w:left="72" w:right="756"/>
              <w:textAlignment w:val="baseline"/>
              <w:rPr>
                <w:rFonts w:ascii="Calibri" w:eastAsia="Calibri" w:hAnsi="Calibri"/>
                <w:color w:val="000000"/>
                <w:spacing w:val="-2"/>
              </w:rPr>
            </w:pPr>
            <w:r>
              <w:rPr>
                <w:rFonts w:ascii="Calibri" w:eastAsia="Calibri" w:hAnsi="Calibri"/>
                <w:color w:val="000000"/>
                <w:spacing w:val="-2"/>
              </w:rPr>
              <w:t>services / Financial harm to market participants</w:t>
            </w:r>
          </w:p>
        </w:tc>
        <w:tc>
          <w:tcPr>
            <w:tcW w:w="1761" w:type="dxa"/>
            <w:vMerge/>
            <w:tcBorders>
              <w:top w:val="single" w:sz="0" w:space="0" w:color="000000"/>
              <w:left w:val="single" w:sz="9" w:space="0" w:color="000000"/>
              <w:bottom w:val="single" w:sz="0" w:space="0" w:color="000000"/>
              <w:right w:val="single" w:sz="9" w:space="0" w:color="000000"/>
            </w:tcBorders>
            <w:shd w:val="clear" w:color="FFFF00" w:fill="FFFF00"/>
          </w:tcPr>
          <w:p w:rsidR="003A642C" w:rsidRDefault="003A642C"/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894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25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892" w:line="227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Adoption of standard form contract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894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600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Consumer Harm Type 1/ </w:t>
            </w:r>
            <w:r>
              <w:rPr>
                <w:rFonts w:ascii="Calibri" w:eastAsia="Calibri" w:hAnsi="Calibri"/>
                <w:color w:val="000000"/>
              </w:rPr>
              <w:br/>
              <w:t>Adverse Market Impact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312" w:line="281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 / Financial harm to market participants</w:t>
            </w:r>
          </w:p>
        </w:tc>
        <w:tc>
          <w:tcPr>
            <w:tcW w:w="1761" w:type="dxa"/>
            <w:vMerge/>
            <w:tcBorders>
              <w:top w:val="single" w:sz="0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</w:tcPr>
          <w:p w:rsidR="003A642C" w:rsidRDefault="003A642C"/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A642C" w:rsidRDefault="004A5758">
            <w:pPr>
              <w:spacing w:before="37" w:after="20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27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A642C" w:rsidRDefault="004A5758">
            <w:pPr>
              <w:spacing w:before="37" w:after="19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Obligation to comply with standard form contract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3A642C" w:rsidRDefault="004A5758">
            <w:pPr>
              <w:spacing w:before="37" w:after="20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3A642C" w:rsidRDefault="004A5758">
            <w:pPr>
              <w:spacing w:before="37" w:after="19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3A642C" w:rsidRDefault="004A5758">
            <w:pPr>
              <w:spacing w:before="37" w:after="20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42" w:after="303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37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42" w:after="302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Retailer must present market offer prices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42" w:after="303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42" w:after="302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15" w:line="277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43" w:after="312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38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43" w:after="311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Requirement for explicit informed consent for certain transactions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43" w:after="312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43" w:after="311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43" w:after="312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after="20" w:line="277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Section 43(2) </w:t>
            </w:r>
            <w:r>
              <w:rPr>
                <w:rFonts w:ascii="Calibri" w:eastAsia="Calibri" w:hAnsi="Calibri"/>
                <w:color w:val="000000"/>
              </w:rPr>
              <w:br/>
              <w:t>and (3)(b)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42" w:after="306" w:line="227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Customer hardship policies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42" w:after="308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42" w:after="306" w:line="227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18" w:line="278" w:lineRule="exact"/>
              <w:ind w:left="36" w:right="324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deal with hardship customers appropriately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42" w:after="303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50(1)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42" w:after="302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Retailer must offer and apply payment plans for hardship customers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42" w:after="303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42" w:after="302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14" w:line="278" w:lineRule="exact"/>
              <w:ind w:left="36" w:right="324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deal with hardship customers appropriately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A642C" w:rsidRDefault="004A5758">
            <w:pPr>
              <w:spacing w:before="42" w:after="25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53(2)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3A642C" w:rsidRDefault="004A5758">
            <w:pPr>
              <w:spacing w:before="42" w:after="24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Compliance with Energy Marketing Rules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3A642C" w:rsidRDefault="004A5758">
            <w:pPr>
              <w:spacing w:before="42" w:after="25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3A642C" w:rsidRDefault="004A5758">
            <w:pPr>
              <w:spacing w:before="42" w:after="24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  <w:vAlign w:val="center"/>
          </w:tcPr>
          <w:p w:rsidR="003A642C" w:rsidRDefault="004A5758">
            <w:pPr>
              <w:spacing w:before="42" w:after="25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370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57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369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Contractual arrangements for use of prepayment meter systems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370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369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370" w:line="225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or economic loss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318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59(1)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after="24" w:line="278" w:lineRule="exact"/>
              <w:ind w:left="36" w:right="21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Must not enter into prepayment meter market retail contract with persons on life support equipment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318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317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317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Death or serious injury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313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63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after="19" w:line="278" w:lineRule="exact"/>
              <w:ind w:left="36" w:right="79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AER information gathering powers for pricing guidelines and comparator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3A642C" w:rsidRDefault="004A5758">
            <w:pPr>
              <w:spacing w:before="37" w:after="313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3A642C" w:rsidRDefault="004A5758">
            <w:pPr>
              <w:spacing w:after="19" w:line="278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Inappropriate Market </w:t>
            </w:r>
            <w:r>
              <w:rPr>
                <w:rFonts w:ascii="Calibri" w:eastAsia="Calibri" w:hAnsi="Calibri"/>
                <w:color w:val="000000"/>
              </w:rPr>
              <w:br/>
              <w:t xml:space="preserve">Participant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3A642C" w:rsidRDefault="004A5758">
            <w:pPr>
              <w:spacing w:before="37" w:after="31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General reporting obligations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8" w:after="308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66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8" w:after="307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Obligation to provide customer connection services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8" w:after="308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8" w:after="307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15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8" w:after="936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69(1)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8" w:after="935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Adoption of form of deemed standard connection contract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8" w:after="936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8" w:after="935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644" w:line="277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8" w:after="312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71(1)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after="20" w:line="277" w:lineRule="exact"/>
              <w:ind w:left="36" w:right="108"/>
              <w:jc w:val="both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Distributor obligations to comply with deemed standard connection contract and to bill retailer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8" w:after="312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8" w:after="311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20" w:line="277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308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88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306" w:line="227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Requirement for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authorisation</w:t>
            </w:r>
            <w:proofErr w:type="spellEnd"/>
            <w:r>
              <w:rPr>
                <w:rFonts w:ascii="Calibri" w:eastAsia="Calibri" w:hAnsi="Calibri"/>
                <w:color w:val="000000"/>
              </w:rPr>
              <w:t xml:space="preserve"> or exemption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308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306" w:line="227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15" w:line="277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318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103(8)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317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Transfer application obligations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318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317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25" w:line="277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5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313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105(9)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spacing w:before="37" w:after="313" w:line="225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Surrender of retailer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authorisation</w:t>
            </w:r>
            <w:proofErr w:type="spellEnd"/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313" w:line="225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before="37" w:after="312" w:line="226" w:lineRule="exact"/>
              <w:ind w:left="4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Default="004A5758">
            <w:pPr>
              <w:spacing w:after="20" w:line="277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176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3A642C" w:rsidRDefault="003A642C">
      <w:pPr>
        <w:sectPr w:rsidR="003A642C" w:rsidSect="00BC58F7">
          <w:pgSz w:w="23813" w:h="16838" w:orient="landscape"/>
          <w:pgMar w:top="993" w:right="3645" w:bottom="942" w:left="1008" w:header="720" w:footer="720" w:gutter="0"/>
          <w:cols w:space="720"/>
        </w:sectPr>
      </w:pPr>
    </w:p>
    <w:p w:rsidR="003A642C" w:rsidRDefault="003A642C">
      <w:pPr>
        <w:spacing w:before="20" w:line="20" w:lineRule="exact"/>
      </w:pPr>
    </w:p>
    <w:tbl>
      <w:tblPr>
        <w:tblW w:w="0" w:type="auto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6"/>
        <w:gridCol w:w="6225"/>
        <w:gridCol w:w="1373"/>
        <w:gridCol w:w="3926"/>
        <w:gridCol w:w="3927"/>
        <w:gridCol w:w="1771"/>
      </w:tblGrid>
      <w:tr w:rsidR="003A642C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7" w:after="303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Section 106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7" w:after="302" w:line="227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Transfer of customers following surrender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before="47" w:after="303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before="47" w:after="302" w:line="227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after="10" w:line="283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17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3" w:after="307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Section 108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3" w:after="307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Transfer of customers following revocation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before="43" w:after="307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before="43" w:after="307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after="19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17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3" w:after="302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Section 112(2)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3" w:after="302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Exempt seller must comply with AER conditions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before="43" w:after="302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before="43" w:after="302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after="14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17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3" w:after="311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Section 120(11)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54" w:after="311" w:line="215" w:lineRule="exact"/>
              <w:ind w:left="38"/>
              <w:textAlignment w:val="baseline"/>
              <w:rPr>
                <w:rFonts w:ascii="Calibri" w:eastAsia="Calibri" w:hAnsi="Calibri"/>
                <w:color w:val="000000"/>
                <w:sz w:val="21"/>
              </w:rPr>
            </w:pPr>
            <w:r w:rsidRPr="00BC58F7">
              <w:rPr>
                <w:rFonts w:ascii="Calibri" w:eastAsia="Calibri" w:hAnsi="Calibri"/>
                <w:color w:val="000000"/>
                <w:sz w:val="21"/>
              </w:rPr>
              <w:t xml:space="preserve">Revocation process—retailer </w:t>
            </w:r>
            <w:proofErr w:type="spellStart"/>
            <w:r w:rsidRPr="00BC58F7">
              <w:rPr>
                <w:rFonts w:ascii="Calibri" w:eastAsia="Calibri" w:hAnsi="Calibri"/>
                <w:color w:val="000000"/>
                <w:sz w:val="21"/>
              </w:rPr>
              <w:t>authorisations</w:t>
            </w:r>
            <w:proofErr w:type="spellEnd"/>
            <w:r w:rsidRPr="00BC58F7">
              <w:rPr>
                <w:rFonts w:ascii="Calibri" w:eastAsia="Calibri" w:hAnsi="Calibri"/>
                <w:color w:val="000000"/>
                <w:sz w:val="21"/>
              </w:rPr>
              <w:t xml:space="preserve"> and exemptions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before="43" w:after="311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before="43" w:after="311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after="23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17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2" w:after="307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Section 143(2)(a)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2" w:after="306" w:line="227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 xml:space="preserve">Compliance requirements following service of </w:t>
            </w:r>
            <w:proofErr w:type="spellStart"/>
            <w:r w:rsidRPr="00BC58F7">
              <w:rPr>
                <w:rFonts w:ascii="Calibri" w:eastAsia="Calibri" w:hAnsi="Calibri"/>
                <w:color w:val="000000"/>
              </w:rPr>
              <w:t>RoLR</w:t>
            </w:r>
            <w:proofErr w:type="spellEnd"/>
            <w:r w:rsidRPr="00BC58F7">
              <w:rPr>
                <w:rFonts w:ascii="Calibri" w:eastAsia="Calibri" w:hAnsi="Calibri"/>
                <w:color w:val="000000"/>
              </w:rPr>
              <w:t xml:space="preserve"> notice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before="42" w:after="307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before="42" w:after="306" w:line="227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Consumer Harm Type 1</w:t>
            </w:r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after="19" w:line="278" w:lineRule="exact"/>
              <w:ind w:left="36" w:right="28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Consumers' access to electricity and gas services</w:t>
            </w:r>
          </w:p>
        </w:tc>
        <w:tc>
          <w:tcPr>
            <w:tcW w:w="17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2" w:after="302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Section 156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2" w:after="302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 xml:space="preserve">Compliance with </w:t>
            </w:r>
            <w:proofErr w:type="spellStart"/>
            <w:r w:rsidRPr="00BC58F7">
              <w:rPr>
                <w:rFonts w:ascii="Calibri" w:eastAsia="Calibri" w:hAnsi="Calibri"/>
                <w:color w:val="000000"/>
              </w:rPr>
              <w:t>RoLR</w:t>
            </w:r>
            <w:proofErr w:type="spellEnd"/>
            <w:r w:rsidRPr="00BC58F7">
              <w:rPr>
                <w:rFonts w:ascii="Calibri" w:eastAsia="Calibri" w:hAnsi="Calibri"/>
                <w:color w:val="000000"/>
              </w:rPr>
              <w:t xml:space="preserve"> regulatory information notices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3A642C" w:rsidRPr="00BC58F7" w:rsidRDefault="004A5758">
            <w:pPr>
              <w:spacing w:before="42" w:after="302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3A642C" w:rsidRPr="00BC58F7" w:rsidRDefault="004A5758">
            <w:pPr>
              <w:spacing w:after="14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 xml:space="preserve">Inappropriate Market </w:t>
            </w:r>
            <w:r w:rsidRPr="00BC58F7">
              <w:rPr>
                <w:rFonts w:ascii="Calibri" w:eastAsia="Calibri" w:hAnsi="Calibri"/>
                <w:color w:val="000000"/>
              </w:rPr>
              <w:br/>
              <w:t xml:space="preserve">Participant </w:t>
            </w:r>
            <w:proofErr w:type="spellStart"/>
            <w:r w:rsidRPr="00BC58F7"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3A642C" w:rsidRPr="00BC58F7" w:rsidRDefault="004A5758">
            <w:pPr>
              <w:spacing w:before="42" w:after="30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General reporting obligations</w:t>
            </w:r>
          </w:p>
        </w:tc>
        <w:tc>
          <w:tcPr>
            <w:tcW w:w="17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3" w:after="297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Section 274(1)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after="9" w:line="278" w:lineRule="exact"/>
              <w:ind w:left="36" w:right="46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Obligation of regulated entities to provide information and data about compliance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before="43" w:after="297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after="9" w:line="278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 xml:space="preserve">Unacceptable Market </w:t>
            </w:r>
            <w:r w:rsidRPr="00BC58F7">
              <w:rPr>
                <w:rFonts w:ascii="Calibri" w:eastAsia="Calibri" w:hAnsi="Calibri"/>
                <w:color w:val="000000"/>
              </w:rPr>
              <w:br/>
              <w:t xml:space="preserve">Participant </w:t>
            </w:r>
            <w:proofErr w:type="spellStart"/>
            <w:r w:rsidRPr="00BC58F7"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after="9" w:line="278" w:lineRule="exact"/>
              <w:ind w:left="36" w:right="216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Failure to comply with specific notices or requests from a regulator</w:t>
            </w:r>
          </w:p>
        </w:tc>
        <w:tc>
          <w:tcPr>
            <w:tcW w:w="17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after="19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 xml:space="preserve">Section 276(1), </w:t>
            </w:r>
            <w:r w:rsidRPr="00BC58F7">
              <w:rPr>
                <w:rFonts w:ascii="Calibri" w:eastAsia="Calibri" w:hAnsi="Calibri"/>
                <w:color w:val="000000"/>
              </w:rPr>
              <w:br/>
              <w:t>(2), (4)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3" w:after="307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Compliance audits by regulated entities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before="43" w:after="307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after="19" w:line="278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 xml:space="preserve">Unacceptable Market </w:t>
            </w:r>
            <w:r w:rsidRPr="00BC58F7">
              <w:rPr>
                <w:rFonts w:ascii="Calibri" w:eastAsia="Calibri" w:hAnsi="Calibri"/>
                <w:color w:val="000000"/>
              </w:rPr>
              <w:br/>
              <w:t xml:space="preserve">Participant </w:t>
            </w:r>
            <w:proofErr w:type="spellStart"/>
            <w:r w:rsidRPr="00BC58F7"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after="19" w:line="278" w:lineRule="exact"/>
              <w:ind w:left="36" w:right="216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Failure to comply with specific notices or requests from a regulator</w:t>
            </w:r>
          </w:p>
        </w:tc>
        <w:tc>
          <w:tcPr>
            <w:tcW w:w="17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3A642C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190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before="43" w:after="316" w:line="226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Section 282(1)</w:t>
            </w:r>
          </w:p>
        </w:tc>
        <w:tc>
          <w:tcPr>
            <w:tcW w:w="62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Pr="00BC58F7" w:rsidRDefault="004A5758">
            <w:pPr>
              <w:spacing w:after="28" w:line="278" w:lineRule="exact"/>
              <w:ind w:left="36" w:right="468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Obligation of regulated entities to provide information and data about performance</w:t>
            </w:r>
          </w:p>
        </w:tc>
        <w:tc>
          <w:tcPr>
            <w:tcW w:w="137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before="43" w:after="316" w:line="226" w:lineRule="exact"/>
              <w:ind w:right="825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3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after="28" w:line="278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 xml:space="preserve">Unacceptable Market </w:t>
            </w:r>
            <w:r w:rsidRPr="00BC58F7">
              <w:rPr>
                <w:rFonts w:ascii="Calibri" w:eastAsia="Calibri" w:hAnsi="Calibri"/>
                <w:color w:val="000000"/>
              </w:rPr>
              <w:br/>
              <w:t xml:space="preserve">Participant </w:t>
            </w:r>
            <w:proofErr w:type="spellStart"/>
            <w:r w:rsidRPr="00BC58F7"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392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3A642C" w:rsidRPr="00BC58F7" w:rsidRDefault="004A5758">
            <w:pPr>
              <w:spacing w:after="28" w:line="278" w:lineRule="exact"/>
              <w:ind w:left="36" w:right="216"/>
              <w:textAlignment w:val="baseline"/>
              <w:rPr>
                <w:rFonts w:ascii="Calibri" w:eastAsia="Calibri" w:hAnsi="Calibri"/>
                <w:color w:val="000000"/>
              </w:rPr>
            </w:pPr>
            <w:r w:rsidRPr="00BC58F7">
              <w:rPr>
                <w:rFonts w:ascii="Calibri" w:eastAsia="Calibri" w:hAnsi="Calibri"/>
                <w:color w:val="000000"/>
              </w:rPr>
              <w:t>Failure to comply with specific notices or requests from a regulator</w:t>
            </w:r>
          </w:p>
        </w:tc>
        <w:tc>
          <w:tcPr>
            <w:tcW w:w="17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3A642C" w:rsidRDefault="004A5758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000000" w:rsidRDefault="004A5758"/>
    <w:sectPr w:rsidR="00000000">
      <w:pgSz w:w="23813" w:h="16838" w:orient="landscape"/>
      <w:pgMar w:top="1040" w:right="3661" w:bottom="10082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2C"/>
    <w:rsid w:val="003A642C"/>
    <w:rsid w:val="004A5758"/>
    <w:rsid w:val="00B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4DF3E9-CEC5-4A44-B594-5A2A8F436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fId" Type="http://schemas.openxmlformats.org/wordprocessingml/2006/fontTable" Target="fontTable0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Industry, Innovation and Science</Company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Eastgate, Pip</dc:creator>
  <cp:lastModifiedBy>Hirscher, Andrew</cp:lastModifiedBy>
  <cp:revision>2</cp:revision>
  <dcterms:created xsi:type="dcterms:W3CDTF">2021-01-11T02:24:00Z</dcterms:created>
  <dcterms:modified xsi:type="dcterms:W3CDTF">2021-01-11T02:24:00Z</dcterms:modified>
</cp:coreProperties>
</file>