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A04" w:rsidRDefault="00424A04">
      <w:pPr>
        <w:spacing w:before="20" w:line="20" w:lineRule="exact"/>
      </w:pPr>
      <w:bookmarkStart w:id="0" w:name="_GoBack"/>
      <w:bookmarkEnd w:id="0"/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230"/>
        <w:gridCol w:w="1378"/>
        <w:gridCol w:w="3921"/>
        <w:gridCol w:w="3927"/>
        <w:gridCol w:w="2918"/>
      </w:tblGrid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24A04" w:rsidRDefault="004C453D">
            <w:pPr>
              <w:spacing w:after="9" w:line="283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 xml:space="preserve">Civil Penalty </w:t>
            </w:r>
            <w:r>
              <w:rPr>
                <w:rFonts w:ascii="Calibri" w:eastAsia="Calibri" w:hAnsi="Calibri"/>
                <w:b/>
                <w:color w:val="000000"/>
                <w:sz w:val="23"/>
              </w:rPr>
              <w:br/>
              <w:t>Provision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24A04" w:rsidRDefault="004C453D">
            <w:pPr>
              <w:spacing w:before="188" w:after="158" w:line="230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Conduct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24A04" w:rsidRDefault="004C453D">
            <w:pPr>
              <w:spacing w:before="188" w:after="158" w:line="230" w:lineRule="exact"/>
              <w:ind w:left="39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Proposed tier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24A04" w:rsidRDefault="004C453D">
            <w:pPr>
              <w:spacing w:before="188" w:after="158" w:line="230" w:lineRule="exact"/>
              <w:ind w:left="1170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Matrix category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24A04" w:rsidRDefault="004C453D">
            <w:pPr>
              <w:spacing w:before="188" w:after="158" w:line="230" w:lineRule="exact"/>
              <w:ind w:left="1128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23"/>
              </w:rPr>
              <w:t>Subclassification</w:t>
            </w:r>
            <w:proofErr w:type="spellEnd"/>
          </w:p>
        </w:tc>
        <w:tc>
          <w:tcPr>
            <w:tcW w:w="2918" w:type="dxa"/>
            <w:tcBorders>
              <w:top w:val="none" w:sz="0" w:space="0" w:color="02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424A04" w:rsidRDefault="004C453D">
            <w:pPr>
              <w:spacing w:before="188" w:after="158" w:line="230" w:lineRule="exact"/>
              <w:ind w:right="585"/>
              <w:jc w:val="right"/>
              <w:textAlignment w:val="baseline"/>
              <w:rPr>
                <w:rFonts w:ascii="Calibri" w:eastAsia="Calibri" w:hAnsi="Calibri"/>
                <w:b/>
                <w:color w:val="000000"/>
                <w:spacing w:val="-7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pacing w:val="-7"/>
                <w:sz w:val="23"/>
              </w:rPr>
              <w:t>Post consultation change</w:t>
            </w:r>
          </w:p>
        </w:tc>
      </w:tr>
      <w:tr w:rsidR="004C453D" w:rsidTr="00840E82">
        <w:trPr>
          <w:trHeight w:hRule="exact" w:val="326"/>
        </w:trPr>
        <w:tc>
          <w:tcPr>
            <w:tcW w:w="20275" w:type="dxa"/>
            <w:gridSpan w:val="6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C453D" w:rsidRPr="004C453D" w:rsidRDefault="004C453D" w:rsidP="004C453D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  <w:r>
              <w:rPr>
                <w:rFonts w:ascii="Calibri" w:eastAsia="Calibri" w:hAnsi="Calibri"/>
                <w:color w:val="FFFFFF" w:themeColor="background1"/>
                <w:sz w:val="24"/>
              </w:rPr>
              <w:t>National Energy Retail Rules – Final Classification of Tiers</w:t>
            </w:r>
          </w:p>
          <w:p w:rsidR="004C453D" w:rsidRPr="004C453D" w:rsidRDefault="004C453D" w:rsidP="004C453D">
            <w:pPr>
              <w:spacing w:before="44" w:after="37" w:line="230" w:lineRule="exact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z w:val="23"/>
              </w:rPr>
            </w:pPr>
            <w:r w:rsidRPr="004C453D">
              <w:rPr>
                <w:rFonts w:ascii="Calibri" w:eastAsia="Calibri" w:hAnsi="Calibri"/>
                <w:b/>
                <w:color w:val="FFFFFF" w:themeColor="background1"/>
                <w:sz w:val="23"/>
              </w:rPr>
              <w:t>National</w:t>
            </w:r>
          </w:p>
          <w:p w:rsidR="004C453D" w:rsidRPr="004C453D" w:rsidRDefault="004C453D" w:rsidP="004C453D">
            <w:pPr>
              <w:spacing w:before="44" w:after="37" w:line="230" w:lineRule="exact"/>
              <w:ind w:left="39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z w:val="23"/>
              </w:rPr>
            </w:pPr>
            <w:r w:rsidRPr="004C453D">
              <w:rPr>
                <w:rFonts w:ascii="Calibri" w:eastAsia="Calibri" w:hAnsi="Calibri"/>
                <w:b/>
                <w:color w:val="FFFFFF" w:themeColor="background1"/>
                <w:sz w:val="23"/>
              </w:rPr>
              <w:t>Energy Retail</w:t>
            </w:r>
          </w:p>
          <w:p w:rsidR="004C453D" w:rsidRPr="004C453D" w:rsidRDefault="004C453D" w:rsidP="004C453D">
            <w:pPr>
              <w:spacing w:before="44" w:after="37" w:line="230" w:lineRule="exact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z w:val="23"/>
              </w:rPr>
            </w:pPr>
            <w:r w:rsidRPr="004C453D">
              <w:rPr>
                <w:rFonts w:ascii="Calibri" w:eastAsia="Calibri" w:hAnsi="Calibri"/>
                <w:b/>
                <w:color w:val="FFFFFF" w:themeColor="background1"/>
                <w:sz w:val="23"/>
              </w:rPr>
              <w:t>Rules</w:t>
            </w:r>
          </w:p>
          <w:p w:rsidR="004C453D" w:rsidRPr="004C453D" w:rsidRDefault="004C453D" w:rsidP="004C453D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  <w:p w:rsidR="004C453D" w:rsidRPr="004C453D" w:rsidRDefault="004C453D" w:rsidP="004C453D">
            <w:pPr>
              <w:jc w:val="center"/>
              <w:textAlignment w:val="baseline"/>
              <w:rPr>
                <w:rFonts w:ascii="Calibri" w:eastAsia="Calibri" w:hAnsi="Calibri"/>
                <w:color w:val="FFFFFF" w:themeColor="background1"/>
                <w:sz w:val="24"/>
              </w:rPr>
            </w:pPr>
          </w:p>
        </w:tc>
      </w:tr>
      <w:tr w:rsidR="00424A04">
        <w:trPr>
          <w:trHeight w:hRule="exact" w:val="1147"/>
        </w:trPr>
        <w:tc>
          <w:tcPr>
            <w:tcW w:w="1901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888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5(5)</w:t>
            </w:r>
          </w:p>
        </w:tc>
        <w:tc>
          <w:tcPr>
            <w:tcW w:w="6230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306" w:line="277" w:lineRule="exact"/>
              <w:ind w:left="36" w:right="432"/>
              <w:textAlignment w:val="baseline"/>
              <w:rPr>
                <w:rFonts w:ascii="Calibri" w:eastAsia="Calibri" w:hAnsi="Calibri"/>
                <w:color w:val="000000"/>
                <w:spacing w:val="-4"/>
                <w:sz w:val="23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23"/>
              </w:rPr>
              <w:t>Retailer must not on its own initiative treat upper consumption thresholds as applying to 2 or more premises on the basis of the aggregation of premises</w:t>
            </w:r>
          </w:p>
        </w:tc>
        <w:tc>
          <w:tcPr>
            <w:tcW w:w="1378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888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1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887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1</w:t>
            </w: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line="270" w:lineRule="exact"/>
              <w:ind w:left="72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Consumers' access to electricity and gas services</w:t>
            </w:r>
          </w:p>
          <w:p w:rsidR="00424A04" w:rsidRDefault="004C453D">
            <w:pPr>
              <w:spacing w:after="15" w:line="290" w:lineRule="exact"/>
              <w:ind w:left="72" w:right="684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Financial harm or economic loss for consumers</w:t>
            </w:r>
          </w:p>
        </w:tc>
        <w:tc>
          <w:tcPr>
            <w:tcW w:w="2918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16(2)(b)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Retailer must advise customer of availability of standing offer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4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5" w:line="228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Pre-contractual duties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874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0" w:after="601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17(2)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312" w:line="278" w:lineRule="exact"/>
              <w:ind w:left="36" w:right="108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Distributor must advise small customer which retailer has obligation to make a standing offer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0" w:after="601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0" w:after="600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0" w:line="229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 not being informed of their</w:t>
            </w:r>
          </w:p>
          <w:p w:rsidR="00424A04" w:rsidRDefault="004C453D">
            <w:pPr>
              <w:spacing w:before="59" w:line="229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rights</w:t>
            </w:r>
          </w:p>
          <w:p w:rsidR="00424A04" w:rsidRDefault="004C453D">
            <w:pPr>
              <w:spacing w:before="64" w:after="20" w:line="228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Pre-contractual duties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8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19(2)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5" w:line="278" w:lineRule="exact"/>
              <w:ind w:left="36" w:right="61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Retailer must arrange </w:t>
            </w:r>
            <w:proofErr w:type="spellStart"/>
            <w:r>
              <w:rPr>
                <w:rFonts w:ascii="Calibri" w:eastAsia="Calibri" w:hAnsi="Calibri"/>
                <w:color w:val="000000"/>
                <w:sz w:val="23"/>
              </w:rPr>
              <w:t>energisation</w:t>
            </w:r>
            <w:proofErr w:type="spellEnd"/>
            <w:r>
              <w:rPr>
                <w:rFonts w:ascii="Calibri" w:eastAsia="Calibri" w:hAnsi="Calibri"/>
                <w:color w:val="000000"/>
                <w:sz w:val="23"/>
              </w:rPr>
              <w:t>/forward relevant details of customer to the distributor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5" w:after="308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5" w:after="307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5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Consumers' access to electricity and gas services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5" w:line="277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Rule 21(1), (2),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(3D), 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17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Estimation of basis for bills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7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6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38" w:line="271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Estimation, content or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issuing of bills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313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21(3B), (3G)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313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Estimation of basis for bills - inform customer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313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311" w:line="230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33" w:line="271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Estimation, content or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issuing of bills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8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24(1)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Frequency of bills (SRC)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8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7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28" w:line="271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Estimation, content or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issuing of bills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25(1) and 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5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Contents of bills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35" w:after="1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2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28(1) and 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2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Historical billing information (SRC and MRC)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40" w:after="2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2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29(1) and (7)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2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Billing disputes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4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4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874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0" w:after="596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30(2)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0" w:after="595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Recovery of undercharging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0" w:after="596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0" w:after="595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6" w:line="282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undercharging or overcharging requirements for small customers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86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592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31(1)—(3)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590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Overcharging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592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590" w:line="230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1" w:line="281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comply with undercharging or overcharging requirements for small customers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2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32(1) and 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Acceptance of payment methods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2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19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19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2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33(3)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Payment difficulties (SRC and MRC)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9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9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1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34(2) and 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Shortened collection cycles (SRC and MRC)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1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14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40" w:after="14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40(1), (2), (3), (6) and (7)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16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Requirement for security deposit (SRC and MRC)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7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6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6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24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42(1)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23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Amount of security deposit (SRC)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4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3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23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9" w:after="2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43(1)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9" w:after="18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Interest on security deposit (SRC and MRC)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2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18" w:line="230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18" w:line="230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4" w:after="2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44(1)—(3)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4" w:after="18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Use of security deposit (SRC)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4" w:after="2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4" w:after="18" w:line="230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4" w:after="18" w:line="230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2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9" w:after="1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45(1) and 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9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Obligation to return security deposit (SRC)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1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14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9" w:after="14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5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46(4)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14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Notice of tariffs and charges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5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4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  <w:vAlign w:val="center"/>
          </w:tcPr>
          <w:p w:rsidR="00424A04" w:rsidRDefault="004C453D">
            <w:pPr>
              <w:spacing w:before="35" w:after="14" w:line="229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Security deposits or billing disputes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1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46(4A)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0" w:after="9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Notice of tariffs and charges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40" w:after="1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0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Rule 46B(1)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and 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12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Energy rates - discounting practices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3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2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9" w:line="278" w:lineRule="exact"/>
              <w:ind w:left="36" w:right="144"/>
              <w:jc w:val="both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Failure to give proper notice of tariffs and charges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8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47(5) and (6)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7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Cooling off rights to be set out in contract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8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7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 not being informed of their rights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17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16" w:line="229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Retailer must notify fixed term retail contract due to end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7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16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2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 not being informed of their rights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313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48A(1)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4" w:after="311" w:line="230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Retailer must notify SRC of benefit change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313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4" w:after="311" w:line="230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9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 not being informed of their rights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5" w:after="308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50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5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 xml:space="preserve">Small customer complaints and dispute resolution </w:t>
            </w:r>
            <w:r>
              <w:rPr>
                <w:rFonts w:ascii="Calibri" w:eastAsia="Calibri" w:hAnsi="Calibri"/>
                <w:color w:val="000000"/>
                <w:sz w:val="23"/>
              </w:rPr>
              <w:br/>
              <w:t>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8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5" w:after="307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Consumers not being informed of their rights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30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30" w:line="228" w:lineRule="exact"/>
              <w:ind w:left="5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Rule 51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5" w:after="30" w:line="228" w:lineRule="exact"/>
              <w:ind w:left="43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Liabilities and immunities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5" w:after="30" w:line="228" w:lineRule="exact"/>
              <w:ind w:left="39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5" w:after="29" w:line="229" w:lineRule="exact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5" w:after="30" w:line="228" w:lineRule="exact"/>
              <w:ind w:left="48"/>
              <w:textAlignment w:val="baseline"/>
              <w:rPr>
                <w:rFonts w:ascii="Calibri" w:eastAsia="Calibri" w:hAnsi="Calibri"/>
                <w:color w:val="000000"/>
                <w:sz w:val="23"/>
              </w:rPr>
            </w:pPr>
            <w:r>
              <w:rPr>
                <w:rFonts w:ascii="Calibri" w:eastAsia="Calibri" w:hAnsi="Calibri"/>
                <w:color w:val="000000"/>
                <w:sz w:val="23"/>
              </w:rPr>
              <w:t>Financial harm or economic loss</w:t>
            </w:r>
          </w:p>
        </w:tc>
        <w:tc>
          <w:tcPr>
            <w:tcW w:w="29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24A04" w:rsidRDefault="00424A04">
      <w:pPr>
        <w:sectPr w:rsidR="00424A04">
          <w:pgSz w:w="23813" w:h="16838" w:orient="landscape"/>
          <w:pgMar w:top="1040" w:right="2506" w:bottom="782" w:left="984" w:header="720" w:footer="720" w:gutter="0"/>
          <w:cols w:space="720"/>
        </w:sectPr>
      </w:pPr>
    </w:p>
    <w:p w:rsidR="00424A04" w:rsidRDefault="00424A04">
      <w:pPr>
        <w:spacing w:before="20" w:line="20" w:lineRule="exact"/>
      </w:pP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230"/>
        <w:gridCol w:w="1378"/>
        <w:gridCol w:w="3921"/>
        <w:gridCol w:w="3927"/>
        <w:gridCol w:w="2923"/>
      </w:tblGrid>
      <w:tr w:rsidR="00424A04">
        <w:trPr>
          <w:trHeight w:hRule="exact" w:val="29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7" w:after="15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52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7" w:after="15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Indemnities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7" w:after="15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7" w:after="14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7" w:after="15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194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1666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55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166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Referral to interpreter services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1666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166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166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provide supplementary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424A04" w:rsidRDefault="004C453D">
            <w:pPr>
              <w:spacing w:before="41" w:line="199" w:lineRule="exact"/>
              <w:textAlignment w:val="baseline"/>
              <w:rPr>
                <w:rFonts w:ascii="Calibri" w:eastAsia="Calibri" w:hAnsi="Calibri"/>
                <w:b/>
                <w:color w:val="000000"/>
                <w:sz w:val="18"/>
              </w:rPr>
            </w:pPr>
            <w:r>
              <w:rPr>
                <w:rFonts w:ascii="Calibri" w:eastAsia="Calibri" w:hAnsi="Calibri"/>
                <w:b/>
                <w:color w:val="000000"/>
                <w:sz w:val="18"/>
              </w:rPr>
              <w:t>From</w:t>
            </w:r>
          </w:p>
          <w:p w:rsidR="00424A04" w:rsidRDefault="004C453D">
            <w:pPr>
              <w:spacing w:line="231" w:lineRule="exact"/>
              <w:ind w:left="72" w:right="504"/>
              <w:textAlignment w:val="baseline"/>
              <w:rPr>
                <w:rFonts w:ascii="Calibri" w:eastAsia="Calibri" w:hAnsi="Calibri"/>
                <w:color w:val="000000"/>
                <w:spacing w:val="-4"/>
                <w:sz w:val="19"/>
              </w:rPr>
            </w:pPr>
            <w:r>
              <w:rPr>
                <w:rFonts w:ascii="Calibri" w:eastAsia="Calibri" w:hAnsi="Calibri"/>
                <w:color w:val="000000"/>
                <w:spacing w:val="-4"/>
                <w:sz w:val="19"/>
              </w:rPr>
              <w:t>Tier 1 - Consumer Harm Type 1 - Conduct affecting vulnerable consumers</w:t>
            </w:r>
          </w:p>
          <w:p w:rsidR="00424A04" w:rsidRDefault="004C453D">
            <w:pPr>
              <w:spacing w:before="56" w:line="199" w:lineRule="exact"/>
              <w:textAlignment w:val="baseline"/>
              <w:rPr>
                <w:rFonts w:ascii="Calibri" w:eastAsia="Calibri" w:hAnsi="Calibri"/>
                <w:b/>
                <w:color w:val="000000"/>
                <w:sz w:val="18"/>
              </w:rPr>
            </w:pPr>
            <w:r>
              <w:rPr>
                <w:rFonts w:ascii="Calibri" w:eastAsia="Calibri" w:hAnsi="Calibri"/>
                <w:b/>
                <w:color w:val="000000"/>
                <w:sz w:val="18"/>
              </w:rPr>
              <w:t>To</w:t>
            </w:r>
          </w:p>
          <w:p w:rsidR="00424A04" w:rsidRDefault="004C453D">
            <w:pPr>
              <w:spacing w:after="49" w:line="231" w:lineRule="exact"/>
              <w:ind w:left="72" w:right="468"/>
              <w:textAlignment w:val="baseline"/>
              <w:rPr>
                <w:rFonts w:ascii="Calibri" w:eastAsia="Calibri" w:hAnsi="Calibri"/>
                <w:color w:val="000000"/>
                <w:spacing w:val="-7"/>
                <w:sz w:val="19"/>
              </w:rPr>
            </w:pPr>
            <w:r>
              <w:rPr>
                <w:rFonts w:ascii="Calibri" w:eastAsia="Calibri" w:hAnsi="Calibri"/>
                <w:color w:val="000000"/>
                <w:spacing w:val="-7"/>
                <w:sz w:val="19"/>
              </w:rPr>
              <w:t>Tier 2 - Consumer Harm Type 2 - Failure to provide supplementary services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56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Provision of information to customers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1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9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9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56A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Energy consumption 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38" w:after="19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0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59A(1)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Notices to small customers on deployment of new </w:t>
            </w:r>
            <w:r>
              <w:rPr>
                <w:rFonts w:ascii="Calibri" w:eastAsia="Calibri" w:hAnsi="Calibri"/>
                <w:color w:val="000000"/>
              </w:rPr>
              <w:br/>
              <w:t>electricity meters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0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11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59A(2)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3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Notices to small customers on deployment of new </w:t>
            </w:r>
            <w:r>
              <w:rPr>
                <w:rFonts w:ascii="Calibri" w:eastAsia="Calibri" w:hAnsi="Calibri"/>
                <w:color w:val="000000"/>
              </w:rPr>
              <w:br/>
              <w:t>electricity meters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11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11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2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07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59A(3)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8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Notices to small customers on deployment of new </w:t>
            </w:r>
            <w:r>
              <w:rPr>
                <w:rFonts w:ascii="Calibri" w:eastAsia="Calibri" w:hAnsi="Calibri"/>
                <w:color w:val="000000"/>
              </w:rPr>
              <w:br/>
              <w:t>electricity meters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307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306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8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0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59A(7)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4" w:line="278" w:lineRule="exact"/>
              <w:ind w:left="36" w:right="11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Must not proceed with deployment if consumer has not been given opt out 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30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2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7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59C(2)—(5)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interruption to supply - electricity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7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227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1948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70(4)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1948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must not impose a termination charge under a SRC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1948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1948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660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rules regarding fees and charges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424A04" w:rsidRDefault="004C453D">
            <w:pPr>
              <w:spacing w:before="403" w:line="218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424A04" w:rsidRDefault="004C453D">
            <w:pPr>
              <w:spacing w:before="7" w:line="260" w:lineRule="exact"/>
              <w:ind w:left="72" w:right="288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 xml:space="preserve">Tier 1 - Consumer Harm Type 1 - Financial harm or economic loss </w:t>
            </w: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424A04" w:rsidRDefault="004C453D">
            <w:pPr>
              <w:spacing w:after="42" w:line="255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2 - Consumer Harm Type 2 - Failure to comply with rules regarding fees and charges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71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communicate hardship policy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9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72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Payment plans for hardship customers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9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7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73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Waiver of late payment fee for hardship customer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7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4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6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74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Requirement to permit Centrepay as a payment option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6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23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75B(1) </w:t>
            </w:r>
            <w:r>
              <w:rPr>
                <w:rFonts w:ascii="Calibri" w:eastAsia="Calibri" w:hAnsi="Calibri"/>
                <w:color w:val="000000"/>
              </w:rPr>
              <w:br/>
              <w:t>and 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7" w:after="311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Hardship policy must comply with AER guideline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7" w:after="312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7" w:after="311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9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7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80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4" w:line="278" w:lineRule="exact"/>
              <w:ind w:left="36" w:right="720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Provision of information to customers - customer connection contracts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07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1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7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82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4" w:line="278" w:lineRule="exact"/>
              <w:ind w:left="36" w:right="100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Negotiated connection contracts - complaints and dispute resolution 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17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38" w:after="31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24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4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83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Liabilities and immunities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4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95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21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85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21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Fault reporting and correction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21" w:line="226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21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33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24A04" w:rsidRDefault="00424A04">
      <w:pPr>
        <w:sectPr w:rsidR="00424A04">
          <w:pgSz w:w="23813" w:h="16838" w:orient="landscape"/>
          <w:pgMar w:top="1040" w:right="2503" w:bottom="2142" w:left="987" w:header="720" w:footer="720" w:gutter="0"/>
          <w:cols w:space="720"/>
        </w:sectPr>
      </w:pPr>
    </w:p>
    <w:p w:rsidR="00424A04" w:rsidRDefault="00424A04">
      <w:pPr>
        <w:spacing w:before="20" w:line="20" w:lineRule="exact"/>
      </w:pP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230"/>
        <w:gridCol w:w="1378"/>
        <w:gridCol w:w="3921"/>
        <w:gridCol w:w="3927"/>
        <w:gridCol w:w="2923"/>
      </w:tblGrid>
      <w:tr w:rsidR="00424A04">
        <w:trPr>
          <w:trHeight w:hRule="exact" w:val="2174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7" w:after="1888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86A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7" w:after="1886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Provision of information - supply of electricity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spacing w:before="47" w:after="188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86B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Provision of information - supply of gas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43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8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90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Notice of distributor planned interruptions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08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Tier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5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7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91(c)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6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Unplanned interruptions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7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7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Tier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2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4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99(4)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3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on distributor planned interruptions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38" w:after="24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99A(3)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8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on retailer planned interruptions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42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7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100(3)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7" w:after="18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Information on unplanned interruptions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37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03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106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Gas re-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energisation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in accordance with energy laws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2" w:after="30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2" w:after="303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Tier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5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8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106A(1)—(6)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Electricity re-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energisation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in accordance with energy laws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8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Tier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0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0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107(2) </w:t>
            </w:r>
            <w:r>
              <w:rPr>
                <w:rFonts w:ascii="Calibri" w:eastAsia="Calibri" w:hAnsi="Calibri"/>
                <w:color w:val="000000"/>
              </w:rPr>
              <w:br/>
              <w:t>and 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0" w:line="278" w:lineRule="exact"/>
              <w:ind w:left="36" w:right="50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Retailer/Distributor must not arrange de-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energisation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except in accordance with Division 2/3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20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03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121(1)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on retailer to arrange re-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energisation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of premises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5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13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122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2" w:after="311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on distributor to re-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energise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premises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2" w:after="31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2" w:after="311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25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2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124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Registration of life support equipment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124A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Confirmation of premises as requiring life support equipment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15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124B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Ongoing retailer and distributor obligations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3" w:after="15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3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3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5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125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Life support - deregistration in accordance with this section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5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4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13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126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25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Life support - registration and deregistration details must be kept by retailers and distributors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1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08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128(1)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9" w:line="278" w:lineRule="exact"/>
              <w:ind w:left="36" w:right="1260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Prepayment meter - disclosure requirements at energy marketing stage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30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Conduct affecting vulnerable consumers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6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129(1)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4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Prepayment meter system requirements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6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4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4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Conduct affecting vulnerable consumers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1" w:line="277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130(3) </w:t>
            </w:r>
            <w:r>
              <w:rPr>
                <w:rFonts w:ascii="Calibri" w:eastAsia="Calibri" w:hAnsi="Calibri"/>
                <w:color w:val="000000"/>
              </w:rPr>
              <w:br/>
              <w:t>and (4)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7" w:after="302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Prepayment meter trial period requirements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7" w:after="304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7" w:after="302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7" w:after="302" w:line="227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Conduct affecting vulnerable consumers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1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131(1)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0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Prepayment meter operating instructions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1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0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0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Conduct affecting vulnerable consumers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3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132(1)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3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Consumption information to be provided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  <w:vAlign w:val="center"/>
          </w:tcPr>
          <w:p w:rsidR="00424A04" w:rsidRDefault="004C453D">
            <w:pPr>
              <w:spacing w:before="43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3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1CC" w:fill="FFF1CC"/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20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133(1)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Limitation on recovery of debt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9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20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15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135(1) </w:t>
            </w:r>
            <w:r>
              <w:rPr>
                <w:rFonts w:ascii="Calibri" w:eastAsia="Calibri" w:hAnsi="Calibri"/>
                <w:color w:val="000000"/>
              </w:rPr>
              <w:br/>
              <w:t>and 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System testing - request by customer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0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provide supplementary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907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341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136(2) </w:t>
            </w:r>
            <w:r>
              <w:rPr>
                <w:rFonts w:ascii="Calibri" w:eastAsia="Calibri" w:hAnsi="Calibri"/>
                <w:color w:val="000000"/>
              </w:rPr>
              <w:br/>
              <w:t>and 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628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Overcharging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629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628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49" w:line="282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undercharging or overcharging requirements for small customers</w:t>
            </w:r>
          </w:p>
        </w:tc>
        <w:tc>
          <w:tcPr>
            <w:tcW w:w="292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874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after="313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Rule 137(2) </w:t>
            </w:r>
            <w:r>
              <w:rPr>
                <w:rFonts w:ascii="Calibri" w:eastAsia="Calibri" w:hAnsi="Calibri"/>
                <w:color w:val="000000"/>
              </w:rPr>
              <w:br/>
              <w:t>and (3)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600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Undercharging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601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600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20" w:line="283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undercharging or overcharging requirements for small customers</w:t>
            </w:r>
          </w:p>
        </w:tc>
        <w:tc>
          <w:tcPr>
            <w:tcW w:w="2923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24A04"/>
        </w:tc>
      </w:tr>
      <w:tr w:rsidR="00424A04">
        <w:trPr>
          <w:trHeight w:hRule="exact" w:val="302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34" w:line="225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139(2)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33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Life support equipment - information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34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33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33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24A04" w:rsidRDefault="00424A04">
      <w:pPr>
        <w:sectPr w:rsidR="00424A04">
          <w:pgSz w:w="23813" w:h="16838" w:orient="landscape"/>
          <w:pgMar w:top="1040" w:right="2503" w:bottom="1202" w:left="987" w:header="720" w:footer="720" w:gutter="0"/>
          <w:cols w:space="720"/>
        </w:sectPr>
      </w:pPr>
    </w:p>
    <w:p w:rsidR="00424A04" w:rsidRDefault="00424A04">
      <w:pPr>
        <w:spacing w:before="20" w:line="20" w:lineRule="exact"/>
      </w:pP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230"/>
        <w:gridCol w:w="1378"/>
        <w:gridCol w:w="3921"/>
        <w:gridCol w:w="3927"/>
        <w:gridCol w:w="2923"/>
      </w:tblGrid>
      <w:tr w:rsidR="00424A04">
        <w:trPr>
          <w:trHeight w:hRule="exact" w:val="590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7" w:after="304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140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7" w:after="302" w:line="227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Customer enquiries and complaints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7" w:after="304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7" w:after="302" w:line="227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1" w:line="282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3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141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312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Payment difficulties and hardship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3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312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9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50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2238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142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38" w:after="223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Payment towards prepayment meter system account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223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38" w:after="2237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1944" w:line="278" w:lineRule="exact"/>
              <w:ind w:left="36" w:right="180"/>
              <w:jc w:val="both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loss; conduct affecting vulnerable consumers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424A04" w:rsidRDefault="004C453D">
            <w:pPr>
              <w:spacing w:before="158" w:line="218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FROM:</w:t>
            </w:r>
          </w:p>
          <w:p w:rsidR="00424A04" w:rsidRDefault="004C453D">
            <w:pPr>
              <w:spacing w:before="41" w:line="201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2 - Consumer Harm Tier 2 -</w:t>
            </w:r>
          </w:p>
          <w:p w:rsidR="00424A04" w:rsidRDefault="004C453D">
            <w:pPr>
              <w:spacing w:before="63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Failure to provide supplementary</w:t>
            </w:r>
          </w:p>
          <w:p w:rsidR="00424A04" w:rsidRDefault="004C453D">
            <w:pPr>
              <w:spacing w:before="57" w:line="201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services</w:t>
            </w:r>
          </w:p>
          <w:p w:rsidR="00424A04" w:rsidRDefault="004C453D">
            <w:pPr>
              <w:spacing w:before="63" w:line="218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424A04" w:rsidRDefault="004C453D">
            <w:pPr>
              <w:spacing w:before="41" w:line="201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Consumer Harm</w:t>
            </w:r>
          </w:p>
          <w:p w:rsidR="00424A04" w:rsidRDefault="004C453D">
            <w:pPr>
              <w:spacing w:before="63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Type 1 - Financial harm or</w:t>
            </w:r>
          </w:p>
          <w:p w:rsidR="00424A04" w:rsidRDefault="004C453D">
            <w:pPr>
              <w:spacing w:before="57" w:line="202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economic loss; conduct affecting</w:t>
            </w:r>
          </w:p>
          <w:p w:rsidR="00424A04" w:rsidRDefault="004C453D">
            <w:pPr>
              <w:spacing w:before="62" w:after="49" w:line="201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vulnerable consumers</w:t>
            </w:r>
          </w:p>
        </w:tc>
      </w:tr>
      <w:tr w:rsidR="00424A04">
        <w:trPr>
          <w:trHeight w:hRule="exact" w:val="1114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840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144(1)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839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Billing for other goods and services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84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839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after="551" w:line="278" w:lineRule="exact"/>
              <w:ind w:left="36" w:right="72"/>
              <w:jc w:val="both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loss; Access to supply of energy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  <w:vAlign w:val="bottom"/>
          </w:tcPr>
          <w:p w:rsidR="00424A04" w:rsidRDefault="004C453D">
            <w:pPr>
              <w:spacing w:before="335" w:line="218" w:lineRule="exact"/>
              <w:ind w:left="72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ADD:</w:t>
            </w:r>
          </w:p>
          <w:p w:rsidR="00424A04" w:rsidRDefault="004C453D">
            <w:pPr>
              <w:spacing w:before="46" w:line="201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Tier 1 - Consumer Harm</w:t>
            </w:r>
          </w:p>
          <w:p w:rsidR="00424A04" w:rsidRDefault="004C453D">
            <w:pPr>
              <w:spacing w:before="58" w:after="47" w:line="203" w:lineRule="exact"/>
              <w:ind w:lef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>Type 1 - Access to supply of energy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7" w:after="20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145(1)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7" w:after="18" w:line="227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Customer termination of contract or request for removal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7" w:after="20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7" w:after="18" w:line="227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7" w:after="20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92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5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146(1)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42" w:after="14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Change to different retailer with prepayment meter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5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4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42" w:after="15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288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5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147(5)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24A04" w:rsidRDefault="004C453D">
            <w:pPr>
              <w:spacing w:before="38" w:after="14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Fees, charges and costs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5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4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424A04" w:rsidRDefault="004C453D">
            <w:pPr>
              <w:spacing w:before="38" w:after="15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81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8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147(6)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29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Removal and replacement of prepayment meter system on request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8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7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24A04" w:rsidRDefault="004C453D">
            <w:pPr>
              <w:spacing w:before="43" w:after="298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24A04">
        <w:trPr>
          <w:trHeight w:hRule="exact" w:val="595"/>
        </w:trPr>
        <w:tc>
          <w:tcPr>
            <w:tcW w:w="190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22" w:line="225" w:lineRule="exact"/>
              <w:ind w:left="6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Rule 147(7)</w:t>
            </w:r>
          </w:p>
        </w:tc>
        <w:tc>
          <w:tcPr>
            <w:tcW w:w="62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spacing w:before="43" w:after="321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Notice requirements</w:t>
            </w:r>
          </w:p>
        </w:tc>
        <w:tc>
          <w:tcPr>
            <w:tcW w:w="1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22" w:line="225" w:lineRule="exact"/>
              <w:ind w:right="830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before="43" w:after="321" w:line="226" w:lineRule="exact"/>
              <w:ind w:right="166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- Type 2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24A04" w:rsidRDefault="004C453D">
            <w:pPr>
              <w:spacing w:after="33" w:line="278" w:lineRule="exact"/>
              <w:ind w:left="36" w:right="3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 not being informed of their rights</w:t>
            </w:r>
          </w:p>
        </w:tc>
        <w:tc>
          <w:tcPr>
            <w:tcW w:w="29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24A04" w:rsidRDefault="004C453D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EE0899" w:rsidRDefault="00EE0899"/>
    <w:sectPr w:rsidR="00EE0899">
      <w:pgSz w:w="23813" w:h="16838" w:orient="landscape"/>
      <w:pgMar w:top="1040" w:right="2503" w:bottom="8502" w:left="9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04"/>
    <w:rsid w:val="00424A04"/>
    <w:rsid w:val="004C453D"/>
    <w:rsid w:val="00AA2ACC"/>
    <w:rsid w:val="00EE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C81521-3B97-48D5-9B20-98AB5D5A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11430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Eastgate, Pip</dc:creator>
  <cp:lastModifiedBy>Hirscher, Andrew</cp:lastModifiedBy>
  <cp:revision>2</cp:revision>
  <dcterms:created xsi:type="dcterms:W3CDTF">2021-01-11T02:32:00Z</dcterms:created>
  <dcterms:modified xsi:type="dcterms:W3CDTF">2021-01-11T02:32:00Z</dcterms:modified>
</cp:coreProperties>
</file>