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50F" w:rsidRPr="0055050F" w:rsidRDefault="0055050F" w:rsidP="00A4341F">
      <w:pPr>
        <w:spacing w:after="480"/>
        <w:jc w:val="center"/>
        <w:rPr>
          <w:b/>
          <w:szCs w:val="28"/>
        </w:rPr>
      </w:pPr>
      <w:r w:rsidRPr="0055050F">
        <w:rPr>
          <w:rFonts w:ascii="Cambria" w:hAnsi="Cambria"/>
          <w:noProof/>
          <w:sz w:val="22"/>
        </w:rPr>
        <mc:AlternateContent>
          <mc:Choice Requires="wps">
            <w:drawing>
              <wp:anchor distT="0" distB="0" distL="114300" distR="114300" simplePos="0" relativeHeight="251659264" behindDoc="0" locked="0" layoutInCell="1" allowOverlap="1" wp14:anchorId="6F37DEF2" wp14:editId="4D70EF10">
                <wp:simplePos x="0" y="0"/>
                <wp:positionH relativeFrom="column">
                  <wp:posOffset>2665730</wp:posOffset>
                </wp:positionH>
                <wp:positionV relativeFrom="paragraph">
                  <wp:posOffset>395605</wp:posOffset>
                </wp:positionV>
                <wp:extent cx="3952240" cy="950595"/>
                <wp:effectExtent l="0" t="0" r="10160" b="1905"/>
                <wp:wrapTight wrapText="bothSides">
                  <wp:wrapPolygon edited="0">
                    <wp:start x="0" y="0"/>
                    <wp:lineTo x="0" y="21210"/>
                    <wp:lineTo x="21551" y="21210"/>
                    <wp:lineTo x="21551" y="0"/>
                    <wp:lineTo x="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2240" cy="950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50F" w:rsidRDefault="0055050F" w:rsidP="0055050F">
                            <w:pPr>
                              <w:pStyle w:val="Title1"/>
                              <w:jc w:val="right"/>
                            </w:pPr>
                            <w:bookmarkStart w:id="0" w:name="_GoBack"/>
                            <w:r w:rsidRPr="0055050F">
                              <w:t>COAG Energy Council Statement</w:t>
                            </w:r>
                            <w:r>
                              <w:t xml:space="preserve"> </w:t>
                            </w:r>
                          </w:p>
                          <w:p w:rsidR="0055050F" w:rsidRDefault="0055050F" w:rsidP="0055050F">
                            <w:pPr>
                              <w:pStyle w:val="Date1"/>
                              <w:jc w:val="right"/>
                            </w:pPr>
                            <w:r w:rsidRPr="0055050F">
                              <w:rPr>
                                <w:sz w:val="21"/>
                              </w:rPr>
                              <w:t>PERTH – 23 JULY 2015</w:t>
                            </w:r>
                            <w:r>
                              <w:t xml:space="preserve">  </w:t>
                            </w:r>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09.9pt;margin-top:31.15pt;width:311.2pt;height:7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" filled="f" stroked="f">
                <v:textbox inset="0,0,0,0">
                  <w:txbxContent>
                    <w:p w:rsidR="0055050F" w:rsidRDefault="0055050F" w:rsidP="0055050F">
                      <w:pPr>
                        <w:pStyle w:val="Title1"/>
                        <w:jc w:val="right"/>
                      </w:pPr>
                      <w:bookmarkStart w:id="1" w:name="_GoBack"/>
                      <w:r w:rsidRPr="0055050F">
                        <w:t>COAG Energy Council Statement</w:t>
                      </w:r>
                      <w:r>
                        <w:t xml:space="preserve"> </w:t>
                      </w:r>
                    </w:p>
                    <w:p w:rsidR="0055050F" w:rsidRDefault="0055050F" w:rsidP="0055050F">
                      <w:pPr>
                        <w:pStyle w:val="Date1"/>
                        <w:jc w:val="right"/>
                      </w:pPr>
                      <w:r w:rsidRPr="0055050F">
                        <w:rPr>
                          <w:sz w:val="21"/>
                        </w:rPr>
                        <w:t>PERTH – 23 JULY 2015</w:t>
                      </w:r>
                      <w:r>
                        <w:t xml:space="preserve">  </w:t>
                      </w:r>
                      <w:bookmarkEnd w:id="1"/>
                    </w:p>
                  </w:txbxContent>
                </v:textbox>
                <w10:wrap type="tight"/>
              </v:shape>
            </w:pict>
          </mc:Fallback>
        </mc:AlternateContent>
      </w:r>
      <w:r w:rsidRPr="0055050F">
        <w:rPr>
          <w:b/>
          <w:szCs w:val="28"/>
        </w:rPr>
        <w:t>National Energy Productivity Plan</w:t>
      </w:r>
    </w:p>
    <w:p w:rsidR="0055050F" w:rsidRPr="0055050F" w:rsidRDefault="0055050F" w:rsidP="00A4341F">
      <w:pPr>
        <w:pStyle w:val="bulletscyan"/>
        <w:spacing w:before="240" w:after="240"/>
        <w:ind w:left="0" w:firstLine="0"/>
        <w:rPr>
          <w:sz w:val="21"/>
        </w:rPr>
      </w:pPr>
      <w:r w:rsidRPr="0055050F">
        <w:rPr>
          <w:sz w:val="21"/>
        </w:rPr>
        <w:t xml:space="preserve">The COAG Energy Council (the Council) agrees to common objectives in improving Australia’s energy productivity: to reduce costs for household and business energy users; maintain our competitiveness; grow Australia’s economy; reduce carbon emissions; and improve our sustainability.  </w:t>
      </w:r>
    </w:p>
    <w:p w:rsidR="0055050F" w:rsidRPr="0055050F" w:rsidRDefault="0055050F" w:rsidP="00A4341F">
      <w:pPr>
        <w:pStyle w:val="bulletscyan"/>
        <w:spacing w:before="240" w:after="240"/>
        <w:ind w:left="0" w:firstLine="0"/>
        <w:rPr>
          <w:sz w:val="21"/>
        </w:rPr>
      </w:pPr>
      <w:r w:rsidRPr="0055050F">
        <w:rPr>
          <w:sz w:val="21"/>
        </w:rPr>
        <w:t>Energy productivity allows us to get more value from the energy we consume. The Council acknowledges that energy productivity measures can also drive a range of wider economic benefits, such as labour and capital productivity improvements to businesses and jobs in new services.</w:t>
      </w:r>
    </w:p>
    <w:p w:rsidR="0055050F" w:rsidRPr="0055050F" w:rsidRDefault="0055050F" w:rsidP="00A4341F">
      <w:pPr>
        <w:pStyle w:val="bulletscyan"/>
        <w:spacing w:before="240" w:after="240"/>
        <w:ind w:left="0" w:firstLine="0"/>
        <w:rPr>
          <w:sz w:val="21"/>
        </w:rPr>
      </w:pPr>
      <w:r w:rsidRPr="0055050F">
        <w:rPr>
          <w:sz w:val="21"/>
        </w:rPr>
        <w:t xml:space="preserve">The Council agreed in December 2014 to develop a new collaborative policy framework for energy productivity to ensure energy consumers can effectively manage and reduce their energy bills and are maximising the value of their energy to support a growing, competitive and sustainable economy. </w:t>
      </w:r>
    </w:p>
    <w:p w:rsidR="0055050F" w:rsidRPr="0055050F" w:rsidRDefault="0055050F" w:rsidP="00A4341F">
      <w:pPr>
        <w:pStyle w:val="bulletscyan"/>
        <w:spacing w:before="240" w:after="240"/>
        <w:ind w:left="0" w:firstLine="0"/>
        <w:rPr>
          <w:sz w:val="21"/>
        </w:rPr>
      </w:pPr>
      <w:r w:rsidRPr="0055050F">
        <w:rPr>
          <w:sz w:val="21"/>
        </w:rPr>
        <w:t xml:space="preserve">The Commonwealth Government also announced in its April 2015 Energy White Paper a commitment to lead the development of a National Energy Productivity Plan (the NEPP). </w:t>
      </w:r>
    </w:p>
    <w:p w:rsidR="0055050F" w:rsidRPr="0055050F" w:rsidRDefault="0055050F" w:rsidP="00A4341F">
      <w:pPr>
        <w:pStyle w:val="bulletscyan"/>
        <w:spacing w:before="240" w:after="240"/>
        <w:ind w:left="0" w:firstLine="0"/>
        <w:rPr>
          <w:sz w:val="21"/>
        </w:rPr>
      </w:pPr>
      <w:r w:rsidRPr="0055050F">
        <w:rPr>
          <w:sz w:val="21"/>
        </w:rPr>
        <w:t>In addition to collaborative measures, the NEPP may be broader, recognising opportunities in wider sectors, such as vehicles, and the roles played by the Commonwealth, all levels of government, industry and wider stakeholders.</w:t>
      </w:r>
    </w:p>
    <w:p w:rsidR="0055050F" w:rsidRPr="0055050F" w:rsidRDefault="0055050F" w:rsidP="00A4341F">
      <w:pPr>
        <w:pStyle w:val="bulletscyan"/>
        <w:spacing w:before="240" w:after="240"/>
        <w:ind w:left="0" w:firstLine="0"/>
        <w:rPr>
          <w:sz w:val="21"/>
        </w:rPr>
      </w:pPr>
      <w:r w:rsidRPr="0055050F">
        <w:rPr>
          <w:sz w:val="21"/>
        </w:rPr>
        <w:t xml:space="preserve">Acknowledging the likely complementary nature of these two commitments and the benefit of a comprehensive national approach, the Council welcomes the Commonwealth’s commitment and agrees to work together to support the development of the NEPP as a coordinated national plan. </w:t>
      </w:r>
    </w:p>
    <w:p w:rsidR="0055050F" w:rsidRPr="0055050F" w:rsidRDefault="0055050F" w:rsidP="00A4341F">
      <w:pPr>
        <w:pStyle w:val="bulletscyan"/>
        <w:spacing w:before="240" w:after="240"/>
        <w:ind w:left="0" w:firstLine="0"/>
        <w:rPr>
          <w:sz w:val="21"/>
        </w:rPr>
      </w:pPr>
      <w:r w:rsidRPr="0055050F">
        <w:rPr>
          <w:sz w:val="21"/>
        </w:rPr>
        <w:t xml:space="preserve">The Council agrees that the NEPP should seek the following outcomes in improving the energy productivity of Australia’s businesses, households and the energy system: </w:t>
      </w:r>
    </w:p>
    <w:p w:rsidR="0055050F" w:rsidRPr="0055050F" w:rsidRDefault="0055050F" w:rsidP="00A4341F">
      <w:pPr>
        <w:pStyle w:val="bulletscyan"/>
        <w:numPr>
          <w:ilvl w:val="0"/>
          <w:numId w:val="7"/>
        </w:numPr>
        <w:spacing w:before="240" w:after="240"/>
        <w:rPr>
          <w:sz w:val="21"/>
        </w:rPr>
      </w:pPr>
      <w:r w:rsidRPr="0055050F">
        <w:rPr>
          <w:sz w:val="21"/>
        </w:rPr>
        <w:t>Energy consumers are able to effectively manage their energy costs and are engaged in improving the productivity of their energy use to support a growing, competitive, and sustainable economy; and</w:t>
      </w:r>
    </w:p>
    <w:p w:rsidR="0055050F" w:rsidRPr="0055050F" w:rsidRDefault="0055050F" w:rsidP="00A4341F">
      <w:pPr>
        <w:pStyle w:val="bulletscyan"/>
        <w:numPr>
          <w:ilvl w:val="0"/>
          <w:numId w:val="7"/>
        </w:numPr>
        <w:spacing w:before="240" w:after="240"/>
        <w:rPr>
          <w:sz w:val="21"/>
        </w:rPr>
      </w:pPr>
      <w:r w:rsidRPr="0055050F">
        <w:rPr>
          <w:sz w:val="21"/>
        </w:rPr>
        <w:t xml:space="preserve">The energy system (including electricity, gas and transport fuels) delivers least cost energy in the long term interests of consumers to drive a competitive and sustainable economy.  </w:t>
      </w:r>
    </w:p>
    <w:p w:rsidR="0055050F" w:rsidRPr="0055050F" w:rsidRDefault="0055050F" w:rsidP="00A4341F">
      <w:pPr>
        <w:pStyle w:val="bulletscyan"/>
        <w:spacing w:before="240" w:after="240"/>
        <w:ind w:left="0" w:firstLine="0"/>
        <w:rPr>
          <w:sz w:val="21"/>
        </w:rPr>
      </w:pPr>
      <w:r w:rsidRPr="0055050F">
        <w:rPr>
          <w:sz w:val="21"/>
        </w:rPr>
        <w:t xml:space="preserve">The Council also acknowledges the Commonwealth’s commitment to an aspirational National Energy Productivity Target to improve Australia’s energy productivity by up to 40 per cent between 2015 and 2030. The Council will consider this target in its wider analysis. </w:t>
      </w:r>
    </w:p>
    <w:p w:rsidR="0055050F" w:rsidRPr="0055050F" w:rsidRDefault="0055050F" w:rsidP="00A4341F">
      <w:pPr>
        <w:pStyle w:val="bulletscyan"/>
        <w:spacing w:before="240" w:after="240"/>
        <w:ind w:left="0" w:firstLine="0"/>
        <w:rPr>
          <w:sz w:val="21"/>
        </w:rPr>
      </w:pPr>
      <w:r w:rsidRPr="0055050F">
        <w:rPr>
          <w:sz w:val="21"/>
        </w:rPr>
        <w:t xml:space="preserve">To allow for ongoing benchmarking of Australia’s energy productivity performance with that of other countries, Australia’s economy wide energy productivity will be measured as national Gross Domestic Product divided by primary energy ($GDP/PJ). </w:t>
      </w:r>
    </w:p>
    <w:p w:rsidR="0055050F" w:rsidRPr="0055050F" w:rsidRDefault="0055050F" w:rsidP="00A4341F">
      <w:pPr>
        <w:pStyle w:val="bulletscyan"/>
        <w:spacing w:before="240" w:after="240"/>
        <w:ind w:left="0" w:firstLine="0"/>
        <w:rPr>
          <w:sz w:val="21"/>
        </w:rPr>
      </w:pPr>
      <w:r w:rsidRPr="0055050F">
        <w:rPr>
          <w:sz w:val="21"/>
        </w:rPr>
        <w:t xml:space="preserve">Recent studies have identified opportunities for energy productivity improvements across many sectors including: industrial, commercial and residential sectors, passenger and freight transport, and within the </w:t>
      </w:r>
      <w:r w:rsidRPr="0055050F">
        <w:rPr>
          <w:sz w:val="21"/>
        </w:rPr>
        <w:lastRenderedPageBreak/>
        <w:t>energy system itself. There are further opportunities for energy productivity improvements to be gained through ongoing reform to Australia’s energy markets and supporting mechanisms to allow energy users to effectively participate in these markets.</w:t>
      </w:r>
    </w:p>
    <w:p w:rsidR="0055050F" w:rsidRPr="0055050F" w:rsidRDefault="0055050F" w:rsidP="00A4341F">
      <w:pPr>
        <w:pStyle w:val="bulletscyan"/>
        <w:spacing w:before="240" w:after="240"/>
        <w:ind w:left="0" w:firstLine="0"/>
        <w:rPr>
          <w:sz w:val="21"/>
        </w:rPr>
      </w:pPr>
      <w:r w:rsidRPr="0055050F">
        <w:rPr>
          <w:sz w:val="21"/>
        </w:rPr>
        <w:t xml:space="preserve">With the growing complexity of new services in the energy market and more active consumers, the Council recognises that an important part of the NEPP will be ensuring that energy efficiency measures and energy market reforms are coordinated and complementary.  </w:t>
      </w:r>
    </w:p>
    <w:p w:rsidR="0055050F" w:rsidRPr="0055050F" w:rsidRDefault="0055050F" w:rsidP="00A4341F">
      <w:pPr>
        <w:pStyle w:val="bulletscyan"/>
        <w:spacing w:before="240" w:after="240"/>
        <w:ind w:left="0" w:firstLine="0"/>
        <w:rPr>
          <w:sz w:val="21"/>
        </w:rPr>
      </w:pPr>
      <w:r w:rsidRPr="0055050F">
        <w:rPr>
          <w:sz w:val="21"/>
        </w:rPr>
        <w:t xml:space="preserve">The Council agrees to undertake an initial review of the opportunities across the economy for improving energy productivity and consider a gap analysis of existing relevant work streams and potential areas for further work, working with stakeholders. The Council will seek to agree collaborative measures to support an initial NEPP work plan by the end of 2015.  </w:t>
      </w:r>
    </w:p>
    <w:p w:rsidR="0055050F" w:rsidRPr="0055050F" w:rsidRDefault="0055050F" w:rsidP="00A4341F">
      <w:pPr>
        <w:pStyle w:val="bulletscyan"/>
        <w:spacing w:before="240" w:after="240"/>
        <w:ind w:left="0" w:firstLine="0"/>
        <w:rPr>
          <w:sz w:val="21"/>
        </w:rPr>
      </w:pPr>
      <w:r w:rsidRPr="0055050F">
        <w:rPr>
          <w:sz w:val="21"/>
        </w:rPr>
        <w:t xml:space="preserve">The Council has a well-established work program across both energy efficiency and energy market reform. Collaboration on the NEPP will operate within the context of existing agreements.  The NEPP will reference existing work, but not duplicate it, proposing new measures which are complementary and build on current energy market frameworks.  Individual measures will be subject to robust decision criteria including policy rationale, appropriate cost-benefit analysis, regulatory impact assessments and stakeholder consultation. Measures may be prioritised based on their expected impact. </w:t>
      </w:r>
    </w:p>
    <w:p w:rsidR="0055050F" w:rsidRPr="0055050F" w:rsidRDefault="0055050F" w:rsidP="00A4341F">
      <w:pPr>
        <w:pStyle w:val="bulletscyan"/>
        <w:spacing w:before="240" w:after="240"/>
        <w:ind w:left="0" w:firstLine="0"/>
        <w:rPr>
          <w:sz w:val="21"/>
        </w:rPr>
      </w:pPr>
      <w:r w:rsidRPr="0055050F">
        <w:rPr>
          <w:sz w:val="21"/>
        </w:rPr>
        <w:t>The Council agrees that the NEPP will be a coordinated approach in order to create a comprehensive national plan. Beyond Council agreed collaborative measures, the Council acknowledges that the NEPP may also include Commonwealth measures, measures undertaken by one or more jurisdictions, and voluntary industry action.</w:t>
      </w:r>
    </w:p>
    <w:p w:rsidR="0055050F" w:rsidRPr="0055050F" w:rsidRDefault="0055050F" w:rsidP="00A4341F">
      <w:pPr>
        <w:pStyle w:val="bulletscyan"/>
        <w:spacing w:before="240" w:after="240"/>
        <w:ind w:left="0" w:firstLine="0"/>
        <w:rPr>
          <w:sz w:val="21"/>
        </w:rPr>
      </w:pPr>
      <w:r w:rsidRPr="0055050F">
        <w:rPr>
          <w:sz w:val="21"/>
        </w:rPr>
        <w:t>The NEPP will not be static and its work plan will be reviewed periodically by the Council, to reprioritise Council efforts and achieve agreed objectives.</w:t>
      </w:r>
    </w:p>
    <w:p w:rsidR="0055050F" w:rsidRDefault="0055050F" w:rsidP="00550EDE">
      <w:pPr>
        <w:pStyle w:val="bulletscyan"/>
        <w:rPr>
          <w:b/>
          <w:color w:val="0070C0"/>
        </w:rPr>
      </w:pPr>
    </w:p>
    <w:p w:rsidR="00550EDE" w:rsidRDefault="00550EDE" w:rsidP="00550EDE">
      <w:pPr>
        <w:pStyle w:val="bulletscyan"/>
        <w:rPr>
          <w:b/>
          <w:color w:val="0070C0"/>
        </w:rPr>
      </w:pPr>
    </w:p>
    <w:p w:rsidR="00550EDE" w:rsidRDefault="00550EDE" w:rsidP="00550EDE">
      <w:pPr>
        <w:pStyle w:val="bulletscyan"/>
        <w:rPr>
          <w:b/>
          <w:color w:val="0070C0"/>
        </w:rPr>
      </w:pPr>
    </w:p>
    <w:p w:rsidR="00550EDE" w:rsidRDefault="00550EDE" w:rsidP="00550EDE">
      <w:pPr>
        <w:pStyle w:val="bulletscyan"/>
        <w:rPr>
          <w:b/>
          <w:color w:val="0070C0"/>
        </w:rPr>
      </w:pPr>
    </w:p>
    <w:p w:rsidR="00550EDE" w:rsidRDefault="00550EDE" w:rsidP="00550EDE">
      <w:pPr>
        <w:pStyle w:val="bulletscyan"/>
        <w:rPr>
          <w:b/>
          <w:color w:val="0070C0"/>
        </w:rPr>
      </w:pPr>
    </w:p>
    <w:p w:rsidR="00550EDE" w:rsidRDefault="00550EDE" w:rsidP="00550EDE">
      <w:pPr>
        <w:pStyle w:val="bulletscyan"/>
        <w:rPr>
          <w:b/>
          <w:color w:val="0070C0"/>
        </w:rPr>
      </w:pPr>
    </w:p>
    <w:p w:rsidR="00550EDE" w:rsidRDefault="00550EDE" w:rsidP="00550EDE">
      <w:pPr>
        <w:pStyle w:val="bulletscyan"/>
        <w:rPr>
          <w:b/>
          <w:color w:val="0070C0"/>
        </w:rPr>
      </w:pPr>
    </w:p>
    <w:p w:rsidR="00550EDE" w:rsidRDefault="00550EDE" w:rsidP="00550EDE">
      <w:pPr>
        <w:pStyle w:val="bulletscyan"/>
        <w:rPr>
          <w:b/>
          <w:color w:val="0070C0"/>
        </w:rPr>
      </w:pPr>
    </w:p>
    <w:p w:rsidR="00550EDE" w:rsidRDefault="00550EDE" w:rsidP="00550EDE">
      <w:pPr>
        <w:pStyle w:val="bulletscyan"/>
        <w:rPr>
          <w:b/>
          <w:color w:val="0070C0"/>
        </w:rPr>
      </w:pPr>
    </w:p>
    <w:p w:rsidR="00550EDE" w:rsidRDefault="00550EDE" w:rsidP="00550EDE">
      <w:pPr>
        <w:pStyle w:val="bulletscyan"/>
        <w:rPr>
          <w:b/>
          <w:color w:val="0070C0"/>
        </w:rPr>
      </w:pPr>
    </w:p>
    <w:p w:rsidR="00550EDE" w:rsidRDefault="00550EDE" w:rsidP="00550EDE">
      <w:pPr>
        <w:pStyle w:val="bulletscyan"/>
        <w:rPr>
          <w:b/>
          <w:color w:val="0070C0"/>
        </w:rPr>
      </w:pPr>
    </w:p>
    <w:p w:rsidR="0055050F" w:rsidRDefault="0055050F" w:rsidP="00550EDE">
      <w:pPr>
        <w:pStyle w:val="bulletscyan"/>
        <w:rPr>
          <w:b/>
          <w:color w:val="0070C0"/>
        </w:rPr>
      </w:pPr>
    </w:p>
    <w:p w:rsidR="0055050F" w:rsidRPr="00F43E2B" w:rsidRDefault="0055050F" w:rsidP="00550EDE">
      <w:pPr>
        <w:pStyle w:val="bulletscyan"/>
        <w:rPr>
          <w:b/>
          <w:color w:val="0070C0"/>
        </w:rPr>
      </w:pPr>
      <w:r w:rsidRPr="00F43E2B">
        <w:rPr>
          <w:b/>
          <w:color w:val="0070C0"/>
        </w:rPr>
        <w:t>COAG Energy Council Secretariat</w:t>
      </w:r>
    </w:p>
    <w:p w:rsidR="0055050F" w:rsidRDefault="0055050F" w:rsidP="00550EDE">
      <w:pPr>
        <w:pStyle w:val="bulletscyan"/>
        <w:ind w:left="0" w:firstLine="0"/>
      </w:pPr>
      <w:r w:rsidRPr="00F43E2B">
        <w:t>Telephone: (02) 6243 7788</w:t>
      </w:r>
    </w:p>
    <w:p w:rsidR="0055050F" w:rsidRPr="009D072F" w:rsidRDefault="0055050F" w:rsidP="00550EDE">
      <w:pPr>
        <w:pStyle w:val="bulletscyan"/>
        <w:ind w:left="0" w:firstLine="0"/>
      </w:pPr>
      <w:r w:rsidRPr="009D072F">
        <w:t xml:space="preserve">Email: energycouncil@industry.gov.au </w:t>
      </w:r>
    </w:p>
    <w:p w:rsidR="0055050F" w:rsidRPr="00F43E2B" w:rsidRDefault="0055050F" w:rsidP="00550EDE">
      <w:pPr>
        <w:pStyle w:val="bulletscyan"/>
        <w:ind w:left="0" w:firstLine="0"/>
        <w:rPr>
          <w:rFonts w:ascii="Times New Roman" w:hAnsi="Times New Roman" w:cs="Times New Roman"/>
        </w:rPr>
      </w:pPr>
      <w:r w:rsidRPr="00F43E2B">
        <w:t xml:space="preserve">GPO Box </w:t>
      </w:r>
      <w:r>
        <w:t>9839</w:t>
      </w:r>
      <w:r w:rsidRPr="00F43E2B">
        <w:t>, Canberra ACT 2601</w:t>
      </w:r>
    </w:p>
    <w:sectPr w:rsidR="0055050F" w:rsidRPr="00F43E2B" w:rsidSect="00747A62">
      <w:headerReference w:type="default" r:id="rId8"/>
      <w:footerReference w:type="default" r:id="rId9"/>
      <w:pgSz w:w="11906" w:h="16838" w:code="9"/>
      <w:pgMar w:top="1440" w:right="1134" w:bottom="709" w:left="1134" w:header="56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50F" w:rsidRDefault="0055050F">
      <w:r>
        <w:separator/>
      </w:r>
    </w:p>
  </w:endnote>
  <w:endnote w:type="continuationSeparator" w:id="0">
    <w:p w:rsidR="0055050F" w:rsidRDefault="00550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50F" w:rsidRDefault="0055050F" w:rsidP="009B3DCC">
    <w:pPr>
      <w:jc w:val="right"/>
      <w:rPr>
        <w:rFonts w:ascii="ArialMT" w:hAnsi="ArialMT" w:cs="Arial"/>
        <w:sz w:val="16"/>
        <w:szCs w:val="20"/>
        <w:lang w:eastAsia="en-US"/>
      </w:rPr>
    </w:pPr>
  </w:p>
  <w:p w:rsidR="0055050F" w:rsidRDefault="0055050F" w:rsidP="009B3DCC">
    <w:pPr>
      <w:jc w:val="right"/>
      <w:rPr>
        <w:rFonts w:ascii="ArialMT" w:hAnsi="ArialMT" w:cs="Arial"/>
        <w:sz w:val="16"/>
        <w:szCs w:val="20"/>
        <w:lang w:eastAsia="en-US"/>
      </w:rPr>
    </w:pPr>
  </w:p>
  <w:p w:rsidR="00373D07" w:rsidRPr="009B3DCC" w:rsidRDefault="00373D07" w:rsidP="009B3DCC">
    <w:pPr>
      <w:jc w:val="right"/>
      <w:rPr>
        <w:rFonts w:ascii="ArialMT" w:hAnsi="ArialMT" w:cs="Arial"/>
        <w:sz w:val="16"/>
        <w:szCs w:val="20"/>
        <w:lang w:eastAsia="en-US"/>
      </w:rPr>
    </w:pPr>
    <w:r w:rsidRPr="009B3DCC">
      <w:rPr>
        <w:rFonts w:ascii="ArialMT" w:hAnsi="ArialMT" w:cs="Arial"/>
        <w:sz w:val="16"/>
        <w:szCs w:val="20"/>
        <w:lang w:eastAsia="en-US"/>
      </w:rPr>
      <w:t xml:space="preserve">Page </w:t>
    </w:r>
    <w:r w:rsidRPr="009B3DCC">
      <w:rPr>
        <w:rFonts w:ascii="ArialMT" w:hAnsi="ArialMT" w:cs="Arial"/>
        <w:sz w:val="16"/>
        <w:szCs w:val="20"/>
        <w:lang w:eastAsia="en-US"/>
      </w:rPr>
      <w:fldChar w:fldCharType="begin"/>
    </w:r>
    <w:r w:rsidRPr="009B3DCC">
      <w:rPr>
        <w:rFonts w:ascii="ArialMT" w:hAnsi="ArialMT" w:cs="Arial"/>
        <w:sz w:val="16"/>
        <w:szCs w:val="20"/>
        <w:lang w:eastAsia="en-US"/>
      </w:rPr>
      <w:instrText xml:space="preserve"> PAGE </w:instrText>
    </w:r>
    <w:r w:rsidRPr="009B3DCC">
      <w:rPr>
        <w:rFonts w:ascii="ArialMT" w:hAnsi="ArialMT" w:cs="Arial"/>
        <w:sz w:val="16"/>
        <w:szCs w:val="20"/>
        <w:lang w:eastAsia="en-US"/>
      </w:rPr>
      <w:fldChar w:fldCharType="separate"/>
    </w:r>
    <w:r w:rsidR="00F96DF0">
      <w:rPr>
        <w:rFonts w:ascii="ArialMT" w:hAnsi="ArialMT" w:cs="Arial"/>
        <w:noProof/>
        <w:sz w:val="16"/>
        <w:szCs w:val="20"/>
        <w:lang w:eastAsia="en-US"/>
      </w:rPr>
      <w:t>1</w:t>
    </w:r>
    <w:r w:rsidRPr="009B3DCC">
      <w:rPr>
        <w:rFonts w:ascii="ArialMT" w:hAnsi="ArialMT" w:cs="Arial"/>
        <w:sz w:val="16"/>
        <w:szCs w:val="20"/>
        <w:lang w:val="en-US" w:eastAsia="en-US"/>
      </w:rPr>
      <w:fldChar w:fldCharType="end"/>
    </w:r>
    <w:r w:rsidRPr="009B3DCC">
      <w:rPr>
        <w:rFonts w:ascii="ArialMT" w:hAnsi="ArialMT" w:cs="Arial"/>
        <w:sz w:val="16"/>
        <w:szCs w:val="20"/>
        <w:lang w:eastAsia="en-US"/>
      </w:rPr>
      <w:t xml:space="preserve"> of </w:t>
    </w:r>
    <w:r w:rsidRPr="009B3DCC">
      <w:rPr>
        <w:rFonts w:ascii="ArialMT" w:hAnsi="ArialMT" w:cs="Arial"/>
        <w:sz w:val="16"/>
        <w:szCs w:val="20"/>
        <w:lang w:eastAsia="en-US"/>
      </w:rPr>
      <w:fldChar w:fldCharType="begin"/>
    </w:r>
    <w:r w:rsidRPr="009B3DCC">
      <w:rPr>
        <w:rFonts w:ascii="ArialMT" w:hAnsi="ArialMT" w:cs="Arial"/>
        <w:sz w:val="16"/>
        <w:szCs w:val="20"/>
        <w:lang w:eastAsia="en-US"/>
      </w:rPr>
      <w:instrText xml:space="preserve"> NUMPAGES </w:instrText>
    </w:r>
    <w:r w:rsidRPr="009B3DCC">
      <w:rPr>
        <w:rFonts w:ascii="ArialMT" w:hAnsi="ArialMT" w:cs="Arial"/>
        <w:sz w:val="16"/>
        <w:szCs w:val="20"/>
        <w:lang w:eastAsia="en-US"/>
      </w:rPr>
      <w:fldChar w:fldCharType="separate"/>
    </w:r>
    <w:r w:rsidR="00F96DF0">
      <w:rPr>
        <w:rFonts w:ascii="ArialMT" w:hAnsi="ArialMT" w:cs="Arial"/>
        <w:noProof/>
        <w:sz w:val="16"/>
        <w:szCs w:val="20"/>
        <w:lang w:eastAsia="en-US"/>
      </w:rPr>
      <w:t>2</w:t>
    </w:r>
    <w:r w:rsidRPr="009B3DCC">
      <w:rPr>
        <w:rFonts w:ascii="ArialMT" w:hAnsi="ArialMT" w:cs="Arial"/>
        <w:sz w:val="16"/>
        <w:szCs w:val="20"/>
        <w:lang w:val="en-US" w:eastAsia="en-US"/>
      </w:rPr>
      <w:fldChar w:fldCharType="end"/>
    </w:r>
  </w:p>
  <w:p w:rsidR="00373D07" w:rsidRDefault="00373D07">
    <w:pPr>
      <w:pStyle w:val="Footer"/>
    </w:pPr>
  </w:p>
  <w:p w:rsidR="0055050F" w:rsidRDefault="005505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50F" w:rsidRDefault="0055050F">
      <w:r>
        <w:separator/>
      </w:r>
    </w:p>
  </w:footnote>
  <w:footnote w:type="continuationSeparator" w:id="0">
    <w:p w:rsidR="0055050F" w:rsidRDefault="005505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D07" w:rsidRDefault="00A772B9" w:rsidP="008E1413">
    <w:pPr>
      <w:pStyle w:val="Header"/>
      <w:ind w:left="-284"/>
    </w:pPr>
    <w:r>
      <w:rPr>
        <w:rFonts w:ascii="Cambria" w:hAnsi="Cambria"/>
        <w:noProof/>
      </w:rPr>
      <w:drawing>
        <wp:inline distT="0" distB="0" distL="0" distR="0" wp14:anchorId="222AEB13" wp14:editId="6388F3EB">
          <wp:extent cx="2200275" cy="619125"/>
          <wp:effectExtent l="0" t="0" r="9525" b="9525"/>
          <wp:docPr id="1" name="Picture 1" descr="COAG_EnergyCouncil_inline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G_EnergyCouncil_inline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619125"/>
                  </a:xfrm>
                  <a:prstGeom prst="rect">
                    <a:avLst/>
                  </a:prstGeom>
                  <a:noFill/>
                  <a:ln>
                    <a:noFill/>
                  </a:ln>
                </pic:spPr>
              </pic:pic>
            </a:graphicData>
          </a:graphic>
        </wp:inline>
      </w:drawing>
    </w:r>
    <w:r>
      <w:rPr>
        <w:noProof/>
      </w:rPr>
      <w:drawing>
        <wp:anchor distT="0" distB="0" distL="114300" distR="114300" simplePos="0" relativeHeight="251657728" behindDoc="1" locked="0" layoutInCell="1" allowOverlap="1" wp14:anchorId="18026B2B" wp14:editId="2FD62092">
          <wp:simplePos x="0" y="0"/>
          <wp:positionH relativeFrom="column">
            <wp:posOffset>-720090</wp:posOffset>
          </wp:positionH>
          <wp:positionV relativeFrom="paragraph">
            <wp:posOffset>-360045</wp:posOffset>
          </wp:positionV>
          <wp:extent cx="7560310" cy="2693670"/>
          <wp:effectExtent l="0" t="0" r="2540" b="0"/>
          <wp:wrapThrough wrapText="bothSides">
            <wp:wrapPolygon edited="0">
              <wp:start x="0" y="0"/>
              <wp:lineTo x="0" y="21386"/>
              <wp:lineTo x="21553" y="21386"/>
              <wp:lineTo x="21553" y="0"/>
              <wp:lineTo x="0" y="0"/>
            </wp:wrapPolygon>
          </wp:wrapThrough>
          <wp:docPr id="2" name="Picture 2" descr="Graphic_Header_pur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_Header_purpl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26936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85D07"/>
    <w:multiLevelType w:val="hybridMultilevel"/>
    <w:tmpl w:val="3900051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
    <w:nsid w:val="1ED47243"/>
    <w:multiLevelType w:val="hybridMultilevel"/>
    <w:tmpl w:val="881AE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740F63"/>
    <w:multiLevelType w:val="hybridMultilevel"/>
    <w:tmpl w:val="E35617F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
    <w:nsid w:val="4EE43F22"/>
    <w:multiLevelType w:val="hybridMultilevel"/>
    <w:tmpl w:val="61124B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58A75050"/>
    <w:multiLevelType w:val="hybridMultilevel"/>
    <w:tmpl w:val="CAD8463C"/>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5">
    <w:nsid w:val="5B6B4E81"/>
    <w:multiLevelType w:val="multilevel"/>
    <w:tmpl w:val="6F9AFB8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644463A0"/>
    <w:multiLevelType w:val="hybridMultilevel"/>
    <w:tmpl w:val="FEC44A16"/>
    <w:lvl w:ilvl="0" w:tplc="7AEA0712">
      <w:start w:val="1"/>
      <w:numFmt w:val="upp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num w:numId="1">
    <w:abstractNumId w:val="0"/>
  </w:num>
  <w:num w:numId="2">
    <w:abstractNumId w:val="2"/>
  </w:num>
  <w:num w:numId="3">
    <w:abstractNumId w:val="4"/>
  </w:num>
  <w:num w:numId="4">
    <w:abstractNumId w:val="6"/>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50F"/>
    <w:rsid w:val="00002743"/>
    <w:rsid w:val="00003B28"/>
    <w:rsid w:val="00010861"/>
    <w:rsid w:val="00030832"/>
    <w:rsid w:val="00065A7E"/>
    <w:rsid w:val="0007293A"/>
    <w:rsid w:val="00072FFE"/>
    <w:rsid w:val="000B4463"/>
    <w:rsid w:val="000C18E0"/>
    <w:rsid w:val="000C4387"/>
    <w:rsid w:val="000D5519"/>
    <w:rsid w:val="000E5FB0"/>
    <w:rsid w:val="00122021"/>
    <w:rsid w:val="0012322E"/>
    <w:rsid w:val="00123423"/>
    <w:rsid w:val="0013103F"/>
    <w:rsid w:val="00134765"/>
    <w:rsid w:val="00135716"/>
    <w:rsid w:val="00135CC9"/>
    <w:rsid w:val="00140496"/>
    <w:rsid w:val="00141E75"/>
    <w:rsid w:val="00147324"/>
    <w:rsid w:val="00161A65"/>
    <w:rsid w:val="00163A15"/>
    <w:rsid w:val="00165396"/>
    <w:rsid w:val="00171196"/>
    <w:rsid w:val="00186C8A"/>
    <w:rsid w:val="0019449A"/>
    <w:rsid w:val="00194D5B"/>
    <w:rsid w:val="00196515"/>
    <w:rsid w:val="001C1340"/>
    <w:rsid w:val="001D001C"/>
    <w:rsid w:val="001D12DA"/>
    <w:rsid w:val="001D2A84"/>
    <w:rsid w:val="001D767B"/>
    <w:rsid w:val="001E671C"/>
    <w:rsid w:val="00206E70"/>
    <w:rsid w:val="0022127E"/>
    <w:rsid w:val="00226354"/>
    <w:rsid w:val="00227AAE"/>
    <w:rsid w:val="00230C97"/>
    <w:rsid w:val="00242074"/>
    <w:rsid w:val="00245A83"/>
    <w:rsid w:val="00246CA8"/>
    <w:rsid w:val="00255C4D"/>
    <w:rsid w:val="002639C9"/>
    <w:rsid w:val="002645CB"/>
    <w:rsid w:val="00272290"/>
    <w:rsid w:val="00281D67"/>
    <w:rsid w:val="00286118"/>
    <w:rsid w:val="00291B2D"/>
    <w:rsid w:val="002922C2"/>
    <w:rsid w:val="002941A1"/>
    <w:rsid w:val="002B3BAB"/>
    <w:rsid w:val="002B4ACC"/>
    <w:rsid w:val="002B6262"/>
    <w:rsid w:val="002C037E"/>
    <w:rsid w:val="002D249F"/>
    <w:rsid w:val="002D2883"/>
    <w:rsid w:val="002D4CDE"/>
    <w:rsid w:val="002D5185"/>
    <w:rsid w:val="002D7837"/>
    <w:rsid w:val="002F0F21"/>
    <w:rsid w:val="002F47DF"/>
    <w:rsid w:val="003077C0"/>
    <w:rsid w:val="00330CE0"/>
    <w:rsid w:val="00333AC8"/>
    <w:rsid w:val="0034774E"/>
    <w:rsid w:val="00350A1B"/>
    <w:rsid w:val="00351FCC"/>
    <w:rsid w:val="003520D6"/>
    <w:rsid w:val="00373D07"/>
    <w:rsid w:val="003755AD"/>
    <w:rsid w:val="0038068A"/>
    <w:rsid w:val="00386B18"/>
    <w:rsid w:val="003A48CD"/>
    <w:rsid w:val="003B0385"/>
    <w:rsid w:val="003C7448"/>
    <w:rsid w:val="003D364E"/>
    <w:rsid w:val="003F38EB"/>
    <w:rsid w:val="003F4F83"/>
    <w:rsid w:val="00406A85"/>
    <w:rsid w:val="0040738A"/>
    <w:rsid w:val="00412631"/>
    <w:rsid w:val="00423153"/>
    <w:rsid w:val="004246ED"/>
    <w:rsid w:val="004331B1"/>
    <w:rsid w:val="00440005"/>
    <w:rsid w:val="00450CD2"/>
    <w:rsid w:val="004552FF"/>
    <w:rsid w:val="0046004C"/>
    <w:rsid w:val="00460CA2"/>
    <w:rsid w:val="00465958"/>
    <w:rsid w:val="004851F3"/>
    <w:rsid w:val="00486E5D"/>
    <w:rsid w:val="00492647"/>
    <w:rsid w:val="004A420C"/>
    <w:rsid w:val="004B5A52"/>
    <w:rsid w:val="004B656F"/>
    <w:rsid w:val="004C1B17"/>
    <w:rsid w:val="004C4D10"/>
    <w:rsid w:val="004C5213"/>
    <w:rsid w:val="004C6C94"/>
    <w:rsid w:val="004D12FF"/>
    <w:rsid w:val="004E2A15"/>
    <w:rsid w:val="004E5BD5"/>
    <w:rsid w:val="004F0707"/>
    <w:rsid w:val="004F2891"/>
    <w:rsid w:val="00502EC6"/>
    <w:rsid w:val="00515305"/>
    <w:rsid w:val="00517892"/>
    <w:rsid w:val="0053013C"/>
    <w:rsid w:val="00533040"/>
    <w:rsid w:val="00536D17"/>
    <w:rsid w:val="00543DCB"/>
    <w:rsid w:val="0055050F"/>
    <w:rsid w:val="00550EDE"/>
    <w:rsid w:val="00562D64"/>
    <w:rsid w:val="00585576"/>
    <w:rsid w:val="00586B12"/>
    <w:rsid w:val="0059218E"/>
    <w:rsid w:val="005C35E0"/>
    <w:rsid w:val="005C5C13"/>
    <w:rsid w:val="005D73C5"/>
    <w:rsid w:val="005E12B9"/>
    <w:rsid w:val="005E273C"/>
    <w:rsid w:val="005E486E"/>
    <w:rsid w:val="005F75C8"/>
    <w:rsid w:val="00625D92"/>
    <w:rsid w:val="006269D4"/>
    <w:rsid w:val="0063179E"/>
    <w:rsid w:val="00634E34"/>
    <w:rsid w:val="00637EF1"/>
    <w:rsid w:val="006411CA"/>
    <w:rsid w:val="00644470"/>
    <w:rsid w:val="0064645E"/>
    <w:rsid w:val="00655203"/>
    <w:rsid w:val="00656515"/>
    <w:rsid w:val="0066120F"/>
    <w:rsid w:val="00662339"/>
    <w:rsid w:val="00664669"/>
    <w:rsid w:val="00685A23"/>
    <w:rsid w:val="00685F23"/>
    <w:rsid w:val="00687949"/>
    <w:rsid w:val="00690DBC"/>
    <w:rsid w:val="00697828"/>
    <w:rsid w:val="006A05F5"/>
    <w:rsid w:val="006C33E0"/>
    <w:rsid w:val="006E2F52"/>
    <w:rsid w:val="006E7B40"/>
    <w:rsid w:val="006F3E5C"/>
    <w:rsid w:val="006F5BDD"/>
    <w:rsid w:val="006F79C3"/>
    <w:rsid w:val="00700225"/>
    <w:rsid w:val="00723686"/>
    <w:rsid w:val="00727B84"/>
    <w:rsid w:val="00747A62"/>
    <w:rsid w:val="00760A11"/>
    <w:rsid w:val="00774EDC"/>
    <w:rsid w:val="0079077F"/>
    <w:rsid w:val="007B06F9"/>
    <w:rsid w:val="007B1ED0"/>
    <w:rsid w:val="007C1415"/>
    <w:rsid w:val="007C2E28"/>
    <w:rsid w:val="007C6FAB"/>
    <w:rsid w:val="007D2552"/>
    <w:rsid w:val="007D2A1F"/>
    <w:rsid w:val="007D73C7"/>
    <w:rsid w:val="007E79D1"/>
    <w:rsid w:val="007F2553"/>
    <w:rsid w:val="00830B32"/>
    <w:rsid w:val="00834E00"/>
    <w:rsid w:val="00835D14"/>
    <w:rsid w:val="00846569"/>
    <w:rsid w:val="00852DC5"/>
    <w:rsid w:val="008619AF"/>
    <w:rsid w:val="008624B6"/>
    <w:rsid w:val="00864831"/>
    <w:rsid w:val="00866113"/>
    <w:rsid w:val="0087121D"/>
    <w:rsid w:val="00871728"/>
    <w:rsid w:val="008735CD"/>
    <w:rsid w:val="00873914"/>
    <w:rsid w:val="0087626C"/>
    <w:rsid w:val="00876781"/>
    <w:rsid w:val="00877CB2"/>
    <w:rsid w:val="00886855"/>
    <w:rsid w:val="008B5A29"/>
    <w:rsid w:val="008B6CFE"/>
    <w:rsid w:val="008C4CD8"/>
    <w:rsid w:val="008E119D"/>
    <w:rsid w:val="008E1413"/>
    <w:rsid w:val="008E5B5D"/>
    <w:rsid w:val="008E79D4"/>
    <w:rsid w:val="008F7363"/>
    <w:rsid w:val="0090169A"/>
    <w:rsid w:val="009070C1"/>
    <w:rsid w:val="00913839"/>
    <w:rsid w:val="009169A1"/>
    <w:rsid w:val="00920B4A"/>
    <w:rsid w:val="00923B9D"/>
    <w:rsid w:val="00923EE5"/>
    <w:rsid w:val="00924B38"/>
    <w:rsid w:val="00932B9B"/>
    <w:rsid w:val="00932C75"/>
    <w:rsid w:val="0093328B"/>
    <w:rsid w:val="00941B60"/>
    <w:rsid w:val="009444AD"/>
    <w:rsid w:val="00946911"/>
    <w:rsid w:val="009508C0"/>
    <w:rsid w:val="00961F4F"/>
    <w:rsid w:val="00993B03"/>
    <w:rsid w:val="009A4387"/>
    <w:rsid w:val="009A6306"/>
    <w:rsid w:val="009A6799"/>
    <w:rsid w:val="009B3DCC"/>
    <w:rsid w:val="009B5A1A"/>
    <w:rsid w:val="009B5F85"/>
    <w:rsid w:val="009C0C44"/>
    <w:rsid w:val="009C6C23"/>
    <w:rsid w:val="009D6303"/>
    <w:rsid w:val="009D758B"/>
    <w:rsid w:val="009E2200"/>
    <w:rsid w:val="009E6021"/>
    <w:rsid w:val="009E684F"/>
    <w:rsid w:val="009E711D"/>
    <w:rsid w:val="009F68DB"/>
    <w:rsid w:val="009F7357"/>
    <w:rsid w:val="00A021C0"/>
    <w:rsid w:val="00A037EB"/>
    <w:rsid w:val="00A03ACB"/>
    <w:rsid w:val="00A1031B"/>
    <w:rsid w:val="00A31A69"/>
    <w:rsid w:val="00A327C4"/>
    <w:rsid w:val="00A4341F"/>
    <w:rsid w:val="00A56A24"/>
    <w:rsid w:val="00A5714D"/>
    <w:rsid w:val="00A57D57"/>
    <w:rsid w:val="00A64E4E"/>
    <w:rsid w:val="00A72DF4"/>
    <w:rsid w:val="00A7416A"/>
    <w:rsid w:val="00A7609D"/>
    <w:rsid w:val="00A76F32"/>
    <w:rsid w:val="00A772B9"/>
    <w:rsid w:val="00A84A5D"/>
    <w:rsid w:val="00A85D9C"/>
    <w:rsid w:val="00A87E01"/>
    <w:rsid w:val="00AA761A"/>
    <w:rsid w:val="00AD528A"/>
    <w:rsid w:val="00AE157B"/>
    <w:rsid w:val="00AE5804"/>
    <w:rsid w:val="00AF5034"/>
    <w:rsid w:val="00B01498"/>
    <w:rsid w:val="00B01663"/>
    <w:rsid w:val="00B0668E"/>
    <w:rsid w:val="00B13CF2"/>
    <w:rsid w:val="00B16632"/>
    <w:rsid w:val="00B16A93"/>
    <w:rsid w:val="00B20B5D"/>
    <w:rsid w:val="00B27442"/>
    <w:rsid w:val="00B32CE2"/>
    <w:rsid w:val="00B349EE"/>
    <w:rsid w:val="00B4361A"/>
    <w:rsid w:val="00B63599"/>
    <w:rsid w:val="00B80857"/>
    <w:rsid w:val="00B95910"/>
    <w:rsid w:val="00BB490F"/>
    <w:rsid w:val="00BC11A0"/>
    <w:rsid w:val="00BD7C35"/>
    <w:rsid w:val="00BE4540"/>
    <w:rsid w:val="00BE6F42"/>
    <w:rsid w:val="00BE7DAD"/>
    <w:rsid w:val="00BF038C"/>
    <w:rsid w:val="00BF0875"/>
    <w:rsid w:val="00BF0A67"/>
    <w:rsid w:val="00BF2F54"/>
    <w:rsid w:val="00BF73DD"/>
    <w:rsid w:val="00C10A3D"/>
    <w:rsid w:val="00C10F1D"/>
    <w:rsid w:val="00C11243"/>
    <w:rsid w:val="00C14B7E"/>
    <w:rsid w:val="00C14FA3"/>
    <w:rsid w:val="00C51162"/>
    <w:rsid w:val="00C53C12"/>
    <w:rsid w:val="00C759DF"/>
    <w:rsid w:val="00C840FD"/>
    <w:rsid w:val="00C90DF4"/>
    <w:rsid w:val="00C969AA"/>
    <w:rsid w:val="00CA678E"/>
    <w:rsid w:val="00CB6859"/>
    <w:rsid w:val="00CC22EE"/>
    <w:rsid w:val="00CC7944"/>
    <w:rsid w:val="00CC7CF6"/>
    <w:rsid w:val="00CD59A8"/>
    <w:rsid w:val="00CD79DA"/>
    <w:rsid w:val="00CE3F7E"/>
    <w:rsid w:val="00CF7948"/>
    <w:rsid w:val="00CF7A32"/>
    <w:rsid w:val="00D21EC8"/>
    <w:rsid w:val="00D23DA5"/>
    <w:rsid w:val="00D250CB"/>
    <w:rsid w:val="00D3572C"/>
    <w:rsid w:val="00D366AC"/>
    <w:rsid w:val="00D37CC7"/>
    <w:rsid w:val="00D46070"/>
    <w:rsid w:val="00D51994"/>
    <w:rsid w:val="00D55B52"/>
    <w:rsid w:val="00D55E6B"/>
    <w:rsid w:val="00D56A00"/>
    <w:rsid w:val="00D61889"/>
    <w:rsid w:val="00D77B04"/>
    <w:rsid w:val="00D822AC"/>
    <w:rsid w:val="00DA2E9A"/>
    <w:rsid w:val="00DA5213"/>
    <w:rsid w:val="00DA6065"/>
    <w:rsid w:val="00DA74C0"/>
    <w:rsid w:val="00DC78EC"/>
    <w:rsid w:val="00DD3389"/>
    <w:rsid w:val="00DE2C62"/>
    <w:rsid w:val="00DF1109"/>
    <w:rsid w:val="00DF7812"/>
    <w:rsid w:val="00E013D6"/>
    <w:rsid w:val="00E03F91"/>
    <w:rsid w:val="00E056BB"/>
    <w:rsid w:val="00E105A2"/>
    <w:rsid w:val="00E14B67"/>
    <w:rsid w:val="00E16AC0"/>
    <w:rsid w:val="00E303B6"/>
    <w:rsid w:val="00E30645"/>
    <w:rsid w:val="00E512C8"/>
    <w:rsid w:val="00E566DA"/>
    <w:rsid w:val="00E964A8"/>
    <w:rsid w:val="00EA1FEC"/>
    <w:rsid w:val="00EC3738"/>
    <w:rsid w:val="00ED35D2"/>
    <w:rsid w:val="00EE026C"/>
    <w:rsid w:val="00EF4391"/>
    <w:rsid w:val="00EF4C28"/>
    <w:rsid w:val="00F0315A"/>
    <w:rsid w:val="00F06C63"/>
    <w:rsid w:val="00F16C68"/>
    <w:rsid w:val="00F2305A"/>
    <w:rsid w:val="00F267F7"/>
    <w:rsid w:val="00F4305C"/>
    <w:rsid w:val="00F563BD"/>
    <w:rsid w:val="00F65CCE"/>
    <w:rsid w:val="00F66D89"/>
    <w:rsid w:val="00F933BA"/>
    <w:rsid w:val="00F96DF0"/>
    <w:rsid w:val="00F96EFC"/>
    <w:rsid w:val="00FA7778"/>
    <w:rsid w:val="00FB6CCC"/>
    <w:rsid w:val="00FC614E"/>
    <w:rsid w:val="00FD03F9"/>
    <w:rsid w:val="00FE004E"/>
    <w:rsid w:val="00FE1B18"/>
    <w:rsid w:val="00FE28F9"/>
    <w:rsid w:val="00FE782D"/>
    <w:rsid w:val="00FF4D90"/>
    <w:rsid w:val="00FF64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55050F"/>
    <w:rPr>
      <w:sz w:val="24"/>
      <w:szCs w:val="24"/>
    </w:rPr>
  </w:style>
  <w:style w:type="paragraph" w:styleId="Heading1">
    <w:name w:val="heading 1"/>
    <w:basedOn w:val="Normal"/>
    <w:next w:val="Normal"/>
    <w:qFormat/>
    <w:rsid w:val="00924B38"/>
    <w:pPr>
      <w:keepNext/>
      <w:keepLines/>
      <w:spacing w:before="720" w:after="240"/>
      <w:outlineLvl w:val="0"/>
    </w:pPr>
    <w:rPr>
      <w:rFonts w:ascii="Calibri" w:hAnsi="Calibri"/>
      <w:b/>
      <w:bCs/>
      <w:color w:val="345A8A"/>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2C8"/>
    <w:pPr>
      <w:tabs>
        <w:tab w:val="center" w:pos="4153"/>
        <w:tab w:val="right" w:pos="8306"/>
      </w:tabs>
    </w:pPr>
  </w:style>
  <w:style w:type="paragraph" w:styleId="Footer">
    <w:name w:val="footer"/>
    <w:basedOn w:val="Normal"/>
    <w:rsid w:val="00E512C8"/>
    <w:pPr>
      <w:tabs>
        <w:tab w:val="center" w:pos="4153"/>
        <w:tab w:val="right" w:pos="8306"/>
      </w:tabs>
    </w:pPr>
  </w:style>
  <w:style w:type="paragraph" w:customStyle="1" w:styleId="Subtitle1">
    <w:name w:val="Subtitle1"/>
    <w:basedOn w:val="Normal"/>
    <w:rsid w:val="00291B2D"/>
    <w:pPr>
      <w:widowControl w:val="0"/>
      <w:suppressAutoHyphens/>
      <w:autoSpaceDE w:val="0"/>
      <w:autoSpaceDN w:val="0"/>
      <w:adjustRightInd w:val="0"/>
      <w:spacing w:after="227" w:line="320" w:lineRule="atLeast"/>
      <w:textAlignment w:val="center"/>
    </w:pPr>
    <w:rPr>
      <w:rFonts w:ascii="ArialMT" w:eastAsia="Cambria" w:hAnsi="ArialMT" w:cs="ArialMT"/>
      <w:color w:val="FFFFFF"/>
      <w:sz w:val="32"/>
      <w:szCs w:val="32"/>
      <w:lang w:val="en-GB" w:eastAsia="en-US"/>
    </w:rPr>
  </w:style>
  <w:style w:type="paragraph" w:customStyle="1" w:styleId="Title1">
    <w:name w:val="Title1"/>
    <w:basedOn w:val="Normal"/>
    <w:rsid w:val="00291B2D"/>
    <w:pPr>
      <w:widowControl w:val="0"/>
      <w:suppressAutoHyphens/>
      <w:autoSpaceDE w:val="0"/>
      <w:autoSpaceDN w:val="0"/>
      <w:adjustRightInd w:val="0"/>
      <w:spacing w:after="227" w:line="440" w:lineRule="atLeast"/>
      <w:textAlignment w:val="center"/>
    </w:pPr>
    <w:rPr>
      <w:rFonts w:ascii="ArialMT" w:eastAsia="Cambria" w:hAnsi="ArialMT" w:cs="ArialMT"/>
      <w:color w:val="FFFFFF"/>
      <w:sz w:val="44"/>
      <w:szCs w:val="44"/>
      <w:lang w:val="en-GB" w:eastAsia="en-US"/>
    </w:rPr>
  </w:style>
  <w:style w:type="paragraph" w:customStyle="1" w:styleId="Date1">
    <w:name w:val="Date1"/>
    <w:basedOn w:val="Normal"/>
    <w:rsid w:val="00291B2D"/>
    <w:pPr>
      <w:widowControl w:val="0"/>
      <w:suppressAutoHyphens/>
      <w:autoSpaceDE w:val="0"/>
      <w:autoSpaceDN w:val="0"/>
      <w:adjustRightInd w:val="0"/>
      <w:spacing w:after="227" w:line="210" w:lineRule="atLeast"/>
      <w:textAlignment w:val="center"/>
    </w:pPr>
    <w:rPr>
      <w:rFonts w:ascii="ArialMT" w:eastAsia="Cambria" w:hAnsi="ArialMT" w:cs="ArialMT"/>
      <w:color w:val="FFFFFF"/>
      <w:spacing w:val="10"/>
      <w:sz w:val="17"/>
      <w:szCs w:val="17"/>
      <w:lang w:val="en-GB" w:eastAsia="en-US"/>
    </w:rPr>
  </w:style>
  <w:style w:type="table" w:styleId="TableGrid">
    <w:name w:val="Table Grid"/>
    <w:basedOn w:val="TableNormal"/>
    <w:rsid w:val="00924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9B3DCC"/>
  </w:style>
  <w:style w:type="paragraph" w:styleId="BalloonText">
    <w:name w:val="Balloon Text"/>
    <w:basedOn w:val="Normal"/>
    <w:link w:val="BalloonTextChar"/>
    <w:rsid w:val="00386B18"/>
    <w:rPr>
      <w:rFonts w:ascii="Tahoma" w:hAnsi="Tahoma" w:cs="Tahoma"/>
      <w:sz w:val="16"/>
      <w:szCs w:val="16"/>
    </w:rPr>
  </w:style>
  <w:style w:type="character" w:customStyle="1" w:styleId="BalloonTextChar">
    <w:name w:val="Balloon Text Char"/>
    <w:basedOn w:val="DefaultParagraphFont"/>
    <w:link w:val="BalloonText"/>
    <w:rsid w:val="00386B18"/>
    <w:rPr>
      <w:rFonts w:ascii="Tahoma" w:hAnsi="Tahoma" w:cs="Tahoma"/>
      <w:sz w:val="16"/>
      <w:szCs w:val="16"/>
    </w:rPr>
  </w:style>
  <w:style w:type="paragraph" w:styleId="NormalWeb">
    <w:name w:val="Normal (Web)"/>
    <w:basedOn w:val="Normal"/>
    <w:uiPriority w:val="99"/>
    <w:unhideWhenUsed/>
    <w:rsid w:val="0055050F"/>
    <w:pPr>
      <w:spacing w:before="100" w:beforeAutospacing="1" w:after="100" w:afterAutospacing="1"/>
    </w:pPr>
    <w:rPr>
      <w:rFonts w:eastAsiaTheme="minorHAnsi"/>
    </w:rPr>
  </w:style>
  <w:style w:type="paragraph" w:customStyle="1" w:styleId="bulletscyan">
    <w:name w:val="bullets_cyan"/>
    <w:basedOn w:val="Normal"/>
    <w:uiPriority w:val="99"/>
    <w:rsid w:val="0055050F"/>
    <w:pPr>
      <w:widowControl w:val="0"/>
      <w:suppressAutoHyphens/>
      <w:autoSpaceDE w:val="0"/>
      <w:autoSpaceDN w:val="0"/>
      <w:adjustRightInd w:val="0"/>
      <w:spacing w:after="85" w:line="210" w:lineRule="atLeast"/>
      <w:ind w:left="227" w:hanging="227"/>
      <w:textAlignment w:val="center"/>
    </w:pPr>
    <w:rPr>
      <w:rFonts w:ascii="ArialMT" w:eastAsia="Cambria" w:hAnsi="ArialMT" w:cs="ArialMT"/>
      <w:color w:val="000000"/>
      <w:sz w:val="17"/>
      <w:szCs w:val="17"/>
      <w:lang w:val="en-GB" w:eastAsia="en-US"/>
    </w:rPr>
  </w:style>
  <w:style w:type="paragraph" w:customStyle="1" w:styleId="Default">
    <w:name w:val="Default"/>
    <w:basedOn w:val="Normal"/>
    <w:uiPriority w:val="99"/>
    <w:rsid w:val="00550EDE"/>
    <w:pPr>
      <w:autoSpaceDE w:val="0"/>
      <w:autoSpaceDN w:val="0"/>
    </w:pPr>
    <w:rPr>
      <w:rFonts w:eastAsiaTheme="minorHAns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55050F"/>
    <w:rPr>
      <w:sz w:val="24"/>
      <w:szCs w:val="24"/>
    </w:rPr>
  </w:style>
  <w:style w:type="paragraph" w:styleId="Heading1">
    <w:name w:val="heading 1"/>
    <w:basedOn w:val="Normal"/>
    <w:next w:val="Normal"/>
    <w:qFormat/>
    <w:rsid w:val="00924B38"/>
    <w:pPr>
      <w:keepNext/>
      <w:keepLines/>
      <w:spacing w:before="720" w:after="240"/>
      <w:outlineLvl w:val="0"/>
    </w:pPr>
    <w:rPr>
      <w:rFonts w:ascii="Calibri" w:hAnsi="Calibri"/>
      <w:b/>
      <w:bCs/>
      <w:color w:val="345A8A"/>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2C8"/>
    <w:pPr>
      <w:tabs>
        <w:tab w:val="center" w:pos="4153"/>
        <w:tab w:val="right" w:pos="8306"/>
      </w:tabs>
    </w:pPr>
  </w:style>
  <w:style w:type="paragraph" w:styleId="Footer">
    <w:name w:val="footer"/>
    <w:basedOn w:val="Normal"/>
    <w:rsid w:val="00E512C8"/>
    <w:pPr>
      <w:tabs>
        <w:tab w:val="center" w:pos="4153"/>
        <w:tab w:val="right" w:pos="8306"/>
      </w:tabs>
    </w:pPr>
  </w:style>
  <w:style w:type="paragraph" w:customStyle="1" w:styleId="Subtitle1">
    <w:name w:val="Subtitle1"/>
    <w:basedOn w:val="Normal"/>
    <w:rsid w:val="00291B2D"/>
    <w:pPr>
      <w:widowControl w:val="0"/>
      <w:suppressAutoHyphens/>
      <w:autoSpaceDE w:val="0"/>
      <w:autoSpaceDN w:val="0"/>
      <w:adjustRightInd w:val="0"/>
      <w:spacing w:after="227" w:line="320" w:lineRule="atLeast"/>
      <w:textAlignment w:val="center"/>
    </w:pPr>
    <w:rPr>
      <w:rFonts w:ascii="ArialMT" w:eastAsia="Cambria" w:hAnsi="ArialMT" w:cs="ArialMT"/>
      <w:color w:val="FFFFFF"/>
      <w:sz w:val="32"/>
      <w:szCs w:val="32"/>
      <w:lang w:val="en-GB" w:eastAsia="en-US"/>
    </w:rPr>
  </w:style>
  <w:style w:type="paragraph" w:customStyle="1" w:styleId="Title1">
    <w:name w:val="Title1"/>
    <w:basedOn w:val="Normal"/>
    <w:rsid w:val="00291B2D"/>
    <w:pPr>
      <w:widowControl w:val="0"/>
      <w:suppressAutoHyphens/>
      <w:autoSpaceDE w:val="0"/>
      <w:autoSpaceDN w:val="0"/>
      <w:adjustRightInd w:val="0"/>
      <w:spacing w:after="227" w:line="440" w:lineRule="atLeast"/>
      <w:textAlignment w:val="center"/>
    </w:pPr>
    <w:rPr>
      <w:rFonts w:ascii="ArialMT" w:eastAsia="Cambria" w:hAnsi="ArialMT" w:cs="ArialMT"/>
      <w:color w:val="FFFFFF"/>
      <w:sz w:val="44"/>
      <w:szCs w:val="44"/>
      <w:lang w:val="en-GB" w:eastAsia="en-US"/>
    </w:rPr>
  </w:style>
  <w:style w:type="paragraph" w:customStyle="1" w:styleId="Date1">
    <w:name w:val="Date1"/>
    <w:basedOn w:val="Normal"/>
    <w:rsid w:val="00291B2D"/>
    <w:pPr>
      <w:widowControl w:val="0"/>
      <w:suppressAutoHyphens/>
      <w:autoSpaceDE w:val="0"/>
      <w:autoSpaceDN w:val="0"/>
      <w:adjustRightInd w:val="0"/>
      <w:spacing w:after="227" w:line="210" w:lineRule="atLeast"/>
      <w:textAlignment w:val="center"/>
    </w:pPr>
    <w:rPr>
      <w:rFonts w:ascii="ArialMT" w:eastAsia="Cambria" w:hAnsi="ArialMT" w:cs="ArialMT"/>
      <w:color w:val="FFFFFF"/>
      <w:spacing w:val="10"/>
      <w:sz w:val="17"/>
      <w:szCs w:val="17"/>
      <w:lang w:val="en-GB" w:eastAsia="en-US"/>
    </w:rPr>
  </w:style>
  <w:style w:type="table" w:styleId="TableGrid">
    <w:name w:val="Table Grid"/>
    <w:basedOn w:val="TableNormal"/>
    <w:rsid w:val="00924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9B3DCC"/>
  </w:style>
  <w:style w:type="paragraph" w:styleId="BalloonText">
    <w:name w:val="Balloon Text"/>
    <w:basedOn w:val="Normal"/>
    <w:link w:val="BalloonTextChar"/>
    <w:rsid w:val="00386B18"/>
    <w:rPr>
      <w:rFonts w:ascii="Tahoma" w:hAnsi="Tahoma" w:cs="Tahoma"/>
      <w:sz w:val="16"/>
      <w:szCs w:val="16"/>
    </w:rPr>
  </w:style>
  <w:style w:type="character" w:customStyle="1" w:styleId="BalloonTextChar">
    <w:name w:val="Balloon Text Char"/>
    <w:basedOn w:val="DefaultParagraphFont"/>
    <w:link w:val="BalloonText"/>
    <w:rsid w:val="00386B18"/>
    <w:rPr>
      <w:rFonts w:ascii="Tahoma" w:hAnsi="Tahoma" w:cs="Tahoma"/>
      <w:sz w:val="16"/>
      <w:szCs w:val="16"/>
    </w:rPr>
  </w:style>
  <w:style w:type="paragraph" w:styleId="NormalWeb">
    <w:name w:val="Normal (Web)"/>
    <w:basedOn w:val="Normal"/>
    <w:uiPriority w:val="99"/>
    <w:unhideWhenUsed/>
    <w:rsid w:val="0055050F"/>
    <w:pPr>
      <w:spacing w:before="100" w:beforeAutospacing="1" w:after="100" w:afterAutospacing="1"/>
    </w:pPr>
    <w:rPr>
      <w:rFonts w:eastAsiaTheme="minorHAnsi"/>
    </w:rPr>
  </w:style>
  <w:style w:type="paragraph" w:customStyle="1" w:styleId="bulletscyan">
    <w:name w:val="bullets_cyan"/>
    <w:basedOn w:val="Normal"/>
    <w:uiPriority w:val="99"/>
    <w:rsid w:val="0055050F"/>
    <w:pPr>
      <w:widowControl w:val="0"/>
      <w:suppressAutoHyphens/>
      <w:autoSpaceDE w:val="0"/>
      <w:autoSpaceDN w:val="0"/>
      <w:adjustRightInd w:val="0"/>
      <w:spacing w:after="85" w:line="210" w:lineRule="atLeast"/>
      <w:ind w:left="227" w:hanging="227"/>
      <w:textAlignment w:val="center"/>
    </w:pPr>
    <w:rPr>
      <w:rFonts w:ascii="ArialMT" w:eastAsia="Cambria" w:hAnsi="ArialMT" w:cs="ArialMT"/>
      <w:color w:val="000000"/>
      <w:sz w:val="17"/>
      <w:szCs w:val="17"/>
      <w:lang w:val="en-GB" w:eastAsia="en-US"/>
    </w:rPr>
  </w:style>
  <w:style w:type="paragraph" w:customStyle="1" w:styleId="Default">
    <w:name w:val="Default"/>
    <w:basedOn w:val="Normal"/>
    <w:uiPriority w:val="99"/>
    <w:rsid w:val="00550EDE"/>
    <w:pPr>
      <w:autoSpaceDE w:val="0"/>
      <w:autoSpaceDN w:val="0"/>
    </w:pPr>
    <w:rPr>
      <w:rFonts w:eastAsiaTheme="minorHAns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17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Energy\ENERGY\ENERGY%20POLICY%20BRANCH\SCER\Templates\10.%20EC%20OOS\EC%20-%20OOS%20-%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 - OOS - Paper</Template>
  <TotalTime>1</TotalTime>
  <Pages>2</Pages>
  <Words>703</Words>
  <Characters>4209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DIISR</Company>
  <LinksUpToDate>false</LinksUpToDate>
  <CharactersWithSpaces>4903</CharactersWithSpaces>
  <SharedDoc>false</SharedDoc>
  <HLinks>
    <vt:vector size="12" baseType="variant">
      <vt:variant>
        <vt:i4>8323102</vt:i4>
      </vt:variant>
      <vt:variant>
        <vt:i4>2448</vt:i4>
      </vt:variant>
      <vt:variant>
        <vt:i4>1025</vt:i4>
      </vt:variant>
      <vt:variant>
        <vt:i4>1</vt:i4>
      </vt:variant>
      <vt:variant>
        <vt:lpwstr>COAG_EnergyCouncil_inline_300dpi</vt:lpwstr>
      </vt:variant>
      <vt:variant>
        <vt:lpwstr/>
      </vt:variant>
      <vt:variant>
        <vt:i4>2687070</vt:i4>
      </vt:variant>
      <vt:variant>
        <vt:i4>-1</vt:i4>
      </vt:variant>
      <vt:variant>
        <vt:i4>2050</vt:i4>
      </vt:variant>
      <vt:variant>
        <vt:i4>1</vt:i4>
      </vt:variant>
      <vt:variant>
        <vt:lpwstr>Graphic_Header_purple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Strong, Jessie</dc:creator>
  <cp:lastModifiedBy>Chu, Anna</cp:lastModifiedBy>
  <cp:revision>3</cp:revision>
  <cp:lastPrinted>2011-12-16T05:30:00Z</cp:lastPrinted>
  <dcterms:created xsi:type="dcterms:W3CDTF">2015-12-04T00:40:00Z</dcterms:created>
  <dcterms:modified xsi:type="dcterms:W3CDTF">2015-12-04T00:40:00Z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ies>
</file>