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263" w:type="dxa"/>
        <w:tblLayout w:type="fixed"/>
        <w:tblCellMar>
          <w:left w:w="0" w:type="dxa"/>
          <w:right w:w="0" w:type="dxa"/>
        </w:tblCellMar>
        <w:tblLook w:val="0000" w:firstRow="0" w:lastRow="0" w:firstColumn="0" w:lastColumn="0" w:noHBand="0" w:noVBand="0"/>
      </w:tblPr>
      <w:tblGrid>
        <w:gridCol w:w="6263"/>
      </w:tblGrid>
      <w:tr w:rsidR="00AE3B9A" w:rsidRPr="00A172CB" w14:paraId="75604F0B" w14:textId="77777777" w:rsidTr="00D73F24">
        <w:trPr>
          <w:cantSplit/>
          <w:trHeight w:hRule="exact" w:val="2332"/>
        </w:trPr>
        <w:tc>
          <w:tcPr>
            <w:tcW w:w="6263" w:type="dxa"/>
          </w:tcPr>
          <w:p w14:paraId="017453A7" w14:textId="77777777" w:rsidR="00D05CBC" w:rsidRDefault="00D05CBC" w:rsidP="00B84943">
            <w:pPr>
              <w:pStyle w:val="RWEFlietext"/>
              <w:rPr>
                <w:rFonts w:ascii="RWE Sans" w:hAnsi="RWE Sans" w:cs="RWE Sans"/>
                <w:lang w:val="en-GB"/>
              </w:rPr>
            </w:pPr>
            <w:bookmarkStart w:id="0" w:name="Vermerk"/>
            <w:bookmarkStart w:id="1" w:name="Adresse"/>
            <w:bookmarkEnd w:id="0"/>
            <w:bookmarkEnd w:id="1"/>
          </w:p>
          <w:p w14:paraId="66B9DEBE" w14:textId="77777777" w:rsidR="00D73F24" w:rsidRDefault="00D73F24" w:rsidP="00D73F24">
            <w:pPr>
              <w:pStyle w:val="RWEFlietext"/>
              <w:ind w:left="283"/>
              <w:rPr>
                <w:rFonts w:ascii="RWE Sans" w:hAnsi="RWE Sans" w:cs="RWE Sans"/>
                <w:lang w:val="en-GB"/>
              </w:rPr>
            </w:pPr>
            <w:r>
              <w:rPr>
                <w:rFonts w:ascii="RWE Sans" w:hAnsi="RWE Sans" w:cs="RWE Sans"/>
                <w:lang w:val="en-GB"/>
              </w:rPr>
              <w:t>Kerry Schott AO</w:t>
            </w:r>
          </w:p>
          <w:p w14:paraId="03A31E42" w14:textId="77777777" w:rsidR="00EB24D4" w:rsidRDefault="00CE0902" w:rsidP="00D73F24">
            <w:pPr>
              <w:pStyle w:val="RWEFlietext"/>
              <w:ind w:left="283"/>
              <w:rPr>
                <w:rFonts w:ascii="RWE Sans" w:hAnsi="RWE Sans" w:cs="RWE Sans"/>
                <w:lang w:val="en-GB"/>
              </w:rPr>
            </w:pPr>
            <w:r>
              <w:rPr>
                <w:rFonts w:ascii="RWE Sans" w:hAnsi="RWE Sans" w:cs="RWE Sans"/>
                <w:lang w:val="en-GB"/>
              </w:rPr>
              <w:t>Energy Security Board</w:t>
            </w:r>
          </w:p>
          <w:p w14:paraId="23CC72E4" w14:textId="77777777" w:rsidR="00CE0902" w:rsidRPr="00571380" w:rsidRDefault="00CE0902" w:rsidP="00D73F24">
            <w:pPr>
              <w:pStyle w:val="RWEFlietext"/>
              <w:ind w:left="283"/>
              <w:rPr>
                <w:rFonts w:ascii="RWE Sans" w:hAnsi="RWE Sans" w:cs="RWE Sans"/>
                <w:lang w:val="en-GB"/>
              </w:rPr>
            </w:pPr>
            <w:r>
              <w:rPr>
                <w:rFonts w:ascii="RWE Sans" w:hAnsi="RWE Sans" w:cs="RWE Sans"/>
                <w:lang w:val="en-GB"/>
              </w:rPr>
              <w:t>By email: info@esb.org.au</w:t>
            </w:r>
          </w:p>
        </w:tc>
      </w:tr>
    </w:tbl>
    <w:p w14:paraId="0AC55E5F" w14:textId="77777777" w:rsidR="00AE3B9A" w:rsidRPr="00EB24D4" w:rsidRDefault="00AE3B9A" w:rsidP="00AE3B9A">
      <w:pPr>
        <w:pStyle w:val="RWEBezugtitel"/>
        <w:rPr>
          <w:rFonts w:ascii="RWE Sans" w:hAnsi="RWE Sans" w:cs="RWE Sans"/>
          <w:sz w:val="20"/>
          <w:lang w:val="en-AU"/>
        </w:rPr>
      </w:pPr>
    </w:p>
    <w:p w14:paraId="50C22246" w14:textId="77777777" w:rsidR="00AE3B9A" w:rsidRPr="006D3F2A" w:rsidRDefault="00AE3B9A" w:rsidP="00AE3B9A">
      <w:pPr>
        <w:pStyle w:val="RWEFlietext"/>
        <w:rPr>
          <w:lang w:val="en-GB"/>
        </w:rPr>
        <w:sectPr w:rsidR="00AE3B9A" w:rsidRPr="006D3F2A">
          <w:headerReference w:type="default" r:id="rId11"/>
          <w:footerReference w:type="default" r:id="rId12"/>
          <w:headerReference w:type="first" r:id="rId13"/>
          <w:footerReference w:type="first" r:id="rId14"/>
          <w:type w:val="continuous"/>
          <w:pgSz w:w="11907" w:h="16840" w:code="9"/>
          <w:pgMar w:top="2722" w:right="2835" w:bottom="964" w:left="1134" w:header="567" w:footer="567" w:gutter="0"/>
          <w:cols w:num="2" w:space="227" w:equalWidth="0">
            <w:col w:w="4820" w:space="227"/>
            <w:col w:w="2891"/>
          </w:cols>
          <w:titlePg/>
        </w:sectPr>
      </w:pPr>
    </w:p>
    <w:p w14:paraId="42A9C75F" w14:textId="77777777" w:rsidR="00AE3B9A" w:rsidRPr="006D3F2A" w:rsidRDefault="00EB24D4" w:rsidP="00AE3B9A">
      <w:pPr>
        <w:pStyle w:val="RWEFlietext"/>
        <w:spacing w:after="120"/>
        <w:rPr>
          <w:rFonts w:ascii="RWE Sans" w:hAnsi="RWE Sans" w:cs="RWE Sans"/>
          <w:lang w:val="en-GB"/>
        </w:rPr>
      </w:pPr>
      <w:r w:rsidRPr="0011533F">
        <w:rPr>
          <w:rFonts w:ascii="Times New Roman" w:hAnsi="Times New Roman" w:cs="RWE Sans"/>
          <w:noProof/>
          <w:sz w:val="24"/>
          <w:szCs w:val="24"/>
        </w:rPr>
        <mc:AlternateContent>
          <mc:Choice Requires="wps">
            <w:drawing>
              <wp:anchor distT="0" distB="0" distL="0" distR="0" simplePos="0" relativeHeight="251659264" behindDoc="1" locked="0" layoutInCell="0" allowOverlap="1" wp14:anchorId="7F25291A" wp14:editId="4FA6CBD9">
                <wp:simplePos x="0" y="0"/>
                <wp:positionH relativeFrom="page">
                  <wp:posOffset>5900420</wp:posOffset>
                </wp:positionH>
                <wp:positionV relativeFrom="page">
                  <wp:posOffset>1720850</wp:posOffset>
                </wp:positionV>
                <wp:extent cx="1115695" cy="1255594"/>
                <wp:effectExtent l="0" t="0" r="8255" b="1905"/>
                <wp:wrapThrough wrapText="bothSides">
                  <wp:wrapPolygon edited="0">
                    <wp:start x="0" y="0"/>
                    <wp:lineTo x="0" y="21305"/>
                    <wp:lineTo x="21391" y="21305"/>
                    <wp:lineTo x="21391" y="0"/>
                    <wp:lineTo x="0" y="0"/>
                  </wp:wrapPolygon>
                </wp:wrapThrough>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12555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48FF6" w14:textId="77777777" w:rsidR="00395E09" w:rsidRPr="00144383" w:rsidRDefault="00395E09" w:rsidP="00AE3B9A">
                            <w:pPr>
                              <w:pStyle w:val="Vorstandsleistefett"/>
                              <w:rPr>
                                <w:lang w:val="en-GB"/>
                              </w:rPr>
                            </w:pPr>
                            <w:r w:rsidRPr="00144383">
                              <w:rPr>
                                <w:lang w:val="en-GB"/>
                              </w:rPr>
                              <w:t>RWE Renewables Australia</w:t>
                            </w:r>
                            <w:r>
                              <w:rPr>
                                <w:lang w:val="en-GB"/>
                              </w:rPr>
                              <w:t xml:space="preserve"> Pty Ltd</w:t>
                            </w:r>
                          </w:p>
                          <w:p w14:paraId="29C37994" w14:textId="77777777" w:rsidR="00395E09" w:rsidRPr="00144383" w:rsidRDefault="00395E09" w:rsidP="00AE3B9A">
                            <w:pPr>
                              <w:pStyle w:val="VorstandsleisteZwiZei"/>
                              <w:rPr>
                                <w:lang w:val="en-GB"/>
                              </w:rPr>
                            </w:pPr>
                          </w:p>
                          <w:p w14:paraId="4B1BF8DC" w14:textId="77777777" w:rsidR="00395E09" w:rsidRPr="00144383" w:rsidRDefault="00395E09" w:rsidP="00AE3B9A">
                            <w:pPr>
                              <w:pStyle w:val="Vorstandsleiste"/>
                              <w:rPr>
                                <w:lang w:val="en-GB"/>
                              </w:rPr>
                            </w:pPr>
                            <w:r w:rsidRPr="00144383">
                              <w:rPr>
                                <w:lang w:val="en-GB"/>
                              </w:rPr>
                              <w:t>Suite 5, Level 9</w:t>
                            </w:r>
                          </w:p>
                          <w:p w14:paraId="0B26DE73" w14:textId="77777777" w:rsidR="00395E09" w:rsidRPr="002513C8" w:rsidRDefault="00395E09" w:rsidP="008C2A34">
                            <w:pPr>
                              <w:pStyle w:val="Vorstandsleiste"/>
                              <w:ind w:left="-284" w:firstLine="284"/>
                              <w:rPr>
                                <w:lang w:val="en-GB"/>
                              </w:rPr>
                            </w:pPr>
                            <w:r w:rsidRPr="002513C8">
                              <w:rPr>
                                <w:lang w:val="en-GB"/>
                              </w:rPr>
                              <w:t xml:space="preserve">350 Collins Street </w:t>
                            </w:r>
                          </w:p>
                          <w:p w14:paraId="6D30A30A" w14:textId="77777777" w:rsidR="00395E09" w:rsidRPr="00CE0902" w:rsidRDefault="00395E09" w:rsidP="00AE3B9A">
                            <w:pPr>
                              <w:pStyle w:val="Vorstandsleiste"/>
                              <w:rPr>
                                <w:lang w:val="it-IT"/>
                              </w:rPr>
                            </w:pPr>
                            <w:r w:rsidRPr="00CE0902">
                              <w:rPr>
                                <w:lang w:val="it-IT"/>
                              </w:rPr>
                              <w:t>Melbourne, VIC 3000</w:t>
                            </w:r>
                          </w:p>
                          <w:p w14:paraId="7DEB987C" w14:textId="77777777" w:rsidR="00395E09" w:rsidRPr="00CE0902" w:rsidRDefault="00395E09" w:rsidP="00AE3B9A">
                            <w:pPr>
                              <w:pStyle w:val="Vorstandsleiste"/>
                              <w:rPr>
                                <w:lang w:val="it-IT"/>
                              </w:rPr>
                            </w:pPr>
                            <w:r w:rsidRPr="00CE0902">
                              <w:rPr>
                                <w:lang w:val="it-IT"/>
                              </w:rPr>
                              <w:t>Australia</w:t>
                            </w:r>
                          </w:p>
                          <w:p w14:paraId="5245D5F1" w14:textId="77777777" w:rsidR="00395E09" w:rsidRPr="00CE0902" w:rsidRDefault="00395E09" w:rsidP="00AE3B9A">
                            <w:pPr>
                              <w:pStyle w:val="VorstandsleisteZwiZei"/>
                              <w:rPr>
                                <w:lang w:val="it-IT"/>
                              </w:rPr>
                            </w:pPr>
                          </w:p>
                          <w:p w14:paraId="5C2D52FE" w14:textId="77777777" w:rsidR="00395E09" w:rsidRPr="00CE0902" w:rsidRDefault="00395E09" w:rsidP="00AE3B9A">
                            <w:pPr>
                              <w:pStyle w:val="Vorstandsleiste"/>
                              <w:rPr>
                                <w:lang w:val="it-IT"/>
                              </w:rPr>
                            </w:pPr>
                            <w:r w:rsidRPr="00CE0902">
                              <w:rPr>
                                <w:lang w:val="it-IT"/>
                              </w:rPr>
                              <w:t>+61 (0) 3 9600 2698</w:t>
                            </w:r>
                          </w:p>
                          <w:p w14:paraId="51D5CF50" w14:textId="77777777" w:rsidR="00395E09" w:rsidRPr="00CE0902" w:rsidRDefault="002B3852" w:rsidP="00AE3B9A">
                            <w:pPr>
                              <w:pStyle w:val="Vorstandsleiste"/>
                              <w:rPr>
                                <w:lang w:val="it-IT"/>
                              </w:rPr>
                            </w:pPr>
                            <w:hyperlink r:id="rId15" w:history="1">
                              <w:r w:rsidR="00395E09" w:rsidRPr="00CE0902">
                                <w:rPr>
                                  <w:rStyle w:val="Hyperlink"/>
                                  <w:lang w:val="it-IT"/>
                                </w:rPr>
                                <w:t>www.rwe.com</w:t>
                              </w:r>
                            </w:hyperlink>
                          </w:p>
                          <w:p w14:paraId="127EFF44" w14:textId="77777777" w:rsidR="00395E09" w:rsidRPr="00CE0902" w:rsidRDefault="00395E09" w:rsidP="00AE3B9A">
                            <w:pPr>
                              <w:pStyle w:val="VorstandsleisteZwiZei"/>
                              <w:rPr>
                                <w:lang w:val="it-IT"/>
                              </w:rPr>
                            </w:pPr>
                          </w:p>
                          <w:p w14:paraId="2D1386F5" w14:textId="77777777" w:rsidR="00395E09" w:rsidRPr="00CE0902" w:rsidRDefault="00395E09" w:rsidP="005219B9">
                            <w:pPr>
                              <w:pStyle w:val="Vorstandsleiste"/>
                              <w:ind w:left="-142" w:firstLine="142"/>
                              <w:rPr>
                                <w:rFonts w:cs="RWE Sans"/>
                                <w:szCs w:val="14"/>
                                <w:lang w:val="it-IT"/>
                              </w:rPr>
                            </w:pPr>
                            <w:bookmarkStart w:id="2" w:name="_Hlk9595965"/>
                            <w:r w:rsidRPr="00CE0902">
                              <w:rPr>
                                <w:rFonts w:cs="RWE Sans"/>
                                <w:szCs w:val="14"/>
                                <w:lang w:val="it-IT"/>
                              </w:rPr>
                              <w:t>ABN 72 626 156 894</w:t>
                            </w:r>
                          </w:p>
                          <w:p w14:paraId="612D21C5" w14:textId="77777777" w:rsidR="00395E09" w:rsidRPr="00CE0902" w:rsidRDefault="00395E09" w:rsidP="00AE3B9A">
                            <w:pPr>
                              <w:pStyle w:val="Vorstandsleiste"/>
                              <w:rPr>
                                <w:rFonts w:cs="RWE Sans"/>
                                <w:szCs w:val="14"/>
                                <w:lang w:val="it-IT"/>
                              </w:rPr>
                            </w:pPr>
                            <w:r w:rsidRPr="00CE0902">
                              <w:rPr>
                                <w:rFonts w:cs="RWE Sans"/>
                                <w:szCs w:val="14"/>
                                <w:lang w:val="it-IT"/>
                              </w:rPr>
                              <w:t>ACN 626 156 894</w:t>
                            </w:r>
                          </w:p>
                          <w:p w14:paraId="1B756852" w14:textId="77777777" w:rsidR="00395E09" w:rsidRPr="00CE0902" w:rsidRDefault="00395E09" w:rsidP="00AE3B9A">
                            <w:pPr>
                              <w:pStyle w:val="VorstandsleisteZwiZei"/>
                              <w:rPr>
                                <w:lang w:val="it-IT"/>
                              </w:rPr>
                            </w:pPr>
                          </w:p>
                          <w:bookmarkEnd w:id="2"/>
                          <w:p w14:paraId="022FDEE5" w14:textId="77777777" w:rsidR="00395E09" w:rsidRPr="00CE0902" w:rsidRDefault="00395E09" w:rsidP="00AE3B9A">
                            <w:pPr>
                              <w:pStyle w:val="VorstandsleisteZwiZei"/>
                              <w:rPr>
                                <w:lang w:val="it-IT"/>
                              </w:rPr>
                            </w:pPr>
                          </w:p>
                          <w:p w14:paraId="0186A726" w14:textId="77777777" w:rsidR="00395E09" w:rsidRPr="00CE0902" w:rsidRDefault="00395E09" w:rsidP="007E1127">
                            <w:pPr>
                              <w:pStyle w:val="Vorstandsleiste"/>
                              <w:rPr>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25291A" id="_x0000_t202" coordsize="21600,21600" o:spt="202" path="m,l,21600r21600,l21600,xe">
                <v:stroke joinstyle="miter"/>
                <v:path gradientshapeok="t" o:connecttype="rect"/>
              </v:shapetype>
              <v:shape id="Textfeld 3" o:spid="_x0000_s1026" type="#_x0000_t202" style="position:absolute;margin-left:464.6pt;margin-top:135.5pt;width:87.85pt;height:98.8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" o:allowincell="f" filled="f" stroked="f">
                <v:textbox inset="0,0,0,0">
                  <w:txbxContent>
                    <w:p w14:paraId="03748FF6" w14:textId="77777777" w:rsidR="00395E09" w:rsidRPr="00144383" w:rsidRDefault="00395E09" w:rsidP="00AE3B9A">
                      <w:pPr>
                        <w:pStyle w:val="Vorstandsleistefett"/>
                        <w:rPr>
                          <w:lang w:val="en-GB"/>
                        </w:rPr>
                      </w:pPr>
                      <w:r w:rsidRPr="00144383">
                        <w:rPr>
                          <w:lang w:val="en-GB"/>
                        </w:rPr>
                        <w:t>RWE Renewables Australia</w:t>
                      </w:r>
                      <w:r>
                        <w:rPr>
                          <w:lang w:val="en-GB"/>
                        </w:rPr>
                        <w:t xml:space="preserve"> Pty Ltd</w:t>
                      </w:r>
                    </w:p>
                    <w:p w14:paraId="29C37994" w14:textId="77777777" w:rsidR="00395E09" w:rsidRPr="00144383" w:rsidRDefault="00395E09" w:rsidP="00AE3B9A">
                      <w:pPr>
                        <w:pStyle w:val="VorstandsleisteZwiZei"/>
                        <w:rPr>
                          <w:lang w:val="en-GB"/>
                        </w:rPr>
                      </w:pPr>
                    </w:p>
                    <w:p w14:paraId="4B1BF8DC" w14:textId="77777777" w:rsidR="00395E09" w:rsidRPr="00144383" w:rsidRDefault="00395E09" w:rsidP="00AE3B9A">
                      <w:pPr>
                        <w:pStyle w:val="Vorstandsleiste"/>
                        <w:rPr>
                          <w:lang w:val="en-GB"/>
                        </w:rPr>
                      </w:pPr>
                      <w:r w:rsidRPr="00144383">
                        <w:rPr>
                          <w:lang w:val="en-GB"/>
                        </w:rPr>
                        <w:t>Suite 5, Level 9</w:t>
                      </w:r>
                    </w:p>
                    <w:p w14:paraId="0B26DE73" w14:textId="77777777" w:rsidR="00395E09" w:rsidRPr="002513C8" w:rsidRDefault="00395E09" w:rsidP="008C2A34">
                      <w:pPr>
                        <w:pStyle w:val="Vorstandsleiste"/>
                        <w:ind w:left="-284" w:firstLine="284"/>
                        <w:rPr>
                          <w:lang w:val="en-GB"/>
                        </w:rPr>
                      </w:pPr>
                      <w:r w:rsidRPr="002513C8">
                        <w:rPr>
                          <w:lang w:val="en-GB"/>
                        </w:rPr>
                        <w:t xml:space="preserve">350 Collins Street </w:t>
                      </w:r>
                    </w:p>
                    <w:p w14:paraId="6D30A30A" w14:textId="77777777" w:rsidR="00395E09" w:rsidRPr="00CE0902" w:rsidRDefault="00395E09" w:rsidP="00AE3B9A">
                      <w:pPr>
                        <w:pStyle w:val="Vorstandsleiste"/>
                        <w:rPr>
                          <w:lang w:val="it-IT"/>
                        </w:rPr>
                      </w:pPr>
                      <w:r w:rsidRPr="00CE0902">
                        <w:rPr>
                          <w:lang w:val="it-IT"/>
                        </w:rPr>
                        <w:t>Melbourne, VIC 3000</w:t>
                      </w:r>
                    </w:p>
                    <w:p w14:paraId="7DEB987C" w14:textId="77777777" w:rsidR="00395E09" w:rsidRPr="00CE0902" w:rsidRDefault="00395E09" w:rsidP="00AE3B9A">
                      <w:pPr>
                        <w:pStyle w:val="Vorstandsleiste"/>
                        <w:rPr>
                          <w:lang w:val="it-IT"/>
                        </w:rPr>
                      </w:pPr>
                      <w:r w:rsidRPr="00CE0902">
                        <w:rPr>
                          <w:lang w:val="it-IT"/>
                        </w:rPr>
                        <w:t>Australia</w:t>
                      </w:r>
                    </w:p>
                    <w:p w14:paraId="5245D5F1" w14:textId="77777777" w:rsidR="00395E09" w:rsidRPr="00CE0902" w:rsidRDefault="00395E09" w:rsidP="00AE3B9A">
                      <w:pPr>
                        <w:pStyle w:val="VorstandsleisteZwiZei"/>
                        <w:rPr>
                          <w:lang w:val="it-IT"/>
                        </w:rPr>
                      </w:pPr>
                    </w:p>
                    <w:p w14:paraId="5C2D52FE" w14:textId="77777777" w:rsidR="00395E09" w:rsidRPr="00CE0902" w:rsidRDefault="00395E09" w:rsidP="00AE3B9A">
                      <w:pPr>
                        <w:pStyle w:val="Vorstandsleiste"/>
                        <w:rPr>
                          <w:lang w:val="it-IT"/>
                        </w:rPr>
                      </w:pPr>
                      <w:r w:rsidRPr="00CE0902">
                        <w:rPr>
                          <w:lang w:val="it-IT"/>
                        </w:rPr>
                        <w:t>+61 (0) 3 9600 2698</w:t>
                      </w:r>
                    </w:p>
                    <w:p w14:paraId="51D5CF50" w14:textId="77777777" w:rsidR="00395E09" w:rsidRPr="00CE0902" w:rsidRDefault="002B3852" w:rsidP="00AE3B9A">
                      <w:pPr>
                        <w:pStyle w:val="Vorstandsleiste"/>
                        <w:rPr>
                          <w:lang w:val="it-IT"/>
                        </w:rPr>
                      </w:pPr>
                      <w:hyperlink r:id="rId16" w:history="1">
                        <w:r w:rsidR="00395E09" w:rsidRPr="00CE0902">
                          <w:rPr>
                            <w:rStyle w:val="Hyperlink"/>
                            <w:lang w:val="it-IT"/>
                          </w:rPr>
                          <w:t>www.rwe.com</w:t>
                        </w:r>
                      </w:hyperlink>
                    </w:p>
                    <w:p w14:paraId="127EFF44" w14:textId="77777777" w:rsidR="00395E09" w:rsidRPr="00CE0902" w:rsidRDefault="00395E09" w:rsidP="00AE3B9A">
                      <w:pPr>
                        <w:pStyle w:val="VorstandsleisteZwiZei"/>
                        <w:rPr>
                          <w:lang w:val="it-IT"/>
                        </w:rPr>
                      </w:pPr>
                    </w:p>
                    <w:p w14:paraId="2D1386F5" w14:textId="77777777" w:rsidR="00395E09" w:rsidRPr="00CE0902" w:rsidRDefault="00395E09" w:rsidP="005219B9">
                      <w:pPr>
                        <w:pStyle w:val="Vorstandsleiste"/>
                        <w:ind w:left="-142" w:firstLine="142"/>
                        <w:rPr>
                          <w:rFonts w:cs="RWE Sans"/>
                          <w:szCs w:val="14"/>
                          <w:lang w:val="it-IT"/>
                        </w:rPr>
                      </w:pPr>
                      <w:bookmarkStart w:id="3" w:name="_Hlk9595965"/>
                      <w:r w:rsidRPr="00CE0902">
                        <w:rPr>
                          <w:rFonts w:cs="RWE Sans"/>
                          <w:szCs w:val="14"/>
                          <w:lang w:val="it-IT"/>
                        </w:rPr>
                        <w:t>ABN 72 626 156 894</w:t>
                      </w:r>
                    </w:p>
                    <w:p w14:paraId="612D21C5" w14:textId="77777777" w:rsidR="00395E09" w:rsidRPr="00CE0902" w:rsidRDefault="00395E09" w:rsidP="00AE3B9A">
                      <w:pPr>
                        <w:pStyle w:val="Vorstandsleiste"/>
                        <w:rPr>
                          <w:rFonts w:cs="RWE Sans"/>
                          <w:szCs w:val="14"/>
                          <w:lang w:val="it-IT"/>
                        </w:rPr>
                      </w:pPr>
                      <w:r w:rsidRPr="00CE0902">
                        <w:rPr>
                          <w:rFonts w:cs="RWE Sans"/>
                          <w:szCs w:val="14"/>
                          <w:lang w:val="it-IT"/>
                        </w:rPr>
                        <w:t>ACN 626 156 894</w:t>
                      </w:r>
                    </w:p>
                    <w:p w14:paraId="1B756852" w14:textId="77777777" w:rsidR="00395E09" w:rsidRPr="00CE0902" w:rsidRDefault="00395E09" w:rsidP="00AE3B9A">
                      <w:pPr>
                        <w:pStyle w:val="VorstandsleisteZwiZei"/>
                        <w:rPr>
                          <w:lang w:val="it-IT"/>
                        </w:rPr>
                      </w:pPr>
                    </w:p>
                    <w:bookmarkEnd w:id="3"/>
                    <w:p w14:paraId="022FDEE5" w14:textId="77777777" w:rsidR="00395E09" w:rsidRPr="00CE0902" w:rsidRDefault="00395E09" w:rsidP="00AE3B9A">
                      <w:pPr>
                        <w:pStyle w:val="VorstandsleisteZwiZei"/>
                        <w:rPr>
                          <w:lang w:val="it-IT"/>
                        </w:rPr>
                      </w:pPr>
                    </w:p>
                    <w:p w14:paraId="0186A726" w14:textId="77777777" w:rsidR="00395E09" w:rsidRPr="00CE0902" w:rsidRDefault="00395E09" w:rsidP="007E1127">
                      <w:pPr>
                        <w:pStyle w:val="Vorstandsleiste"/>
                        <w:rPr>
                          <w:lang w:val="it-IT"/>
                        </w:rPr>
                      </w:pPr>
                    </w:p>
                  </w:txbxContent>
                </v:textbox>
                <w10:wrap type="through" anchorx="page" anchory="page"/>
              </v:shape>
            </w:pict>
          </mc:Fallback>
        </mc:AlternateContent>
      </w:r>
    </w:p>
    <w:p w14:paraId="06526F97" w14:textId="77777777" w:rsidR="00AE3B9A" w:rsidRPr="006D3F2A" w:rsidRDefault="00CE0902" w:rsidP="00D73F24">
      <w:pPr>
        <w:pStyle w:val="RWEFlietext"/>
        <w:rPr>
          <w:rFonts w:ascii="RWE Sans" w:hAnsi="RWE Sans" w:cs="RWE Sans"/>
          <w:lang w:val="en-GB"/>
        </w:rPr>
      </w:pPr>
      <w:bookmarkStart w:id="4" w:name="Ort"/>
      <w:bookmarkStart w:id="5" w:name="Datum"/>
      <w:bookmarkEnd w:id="4"/>
      <w:bookmarkEnd w:id="5"/>
      <w:r>
        <w:rPr>
          <w:rFonts w:ascii="RWE Sans" w:hAnsi="RWE Sans" w:cs="RWE Sans"/>
          <w:lang w:val="en-GB"/>
        </w:rPr>
        <w:t>12 February</w:t>
      </w:r>
      <w:r w:rsidR="00EB24D4">
        <w:rPr>
          <w:rFonts w:ascii="RWE Sans" w:hAnsi="RWE Sans" w:cs="RWE Sans"/>
          <w:lang w:val="en-GB"/>
        </w:rPr>
        <w:t xml:space="preserve"> 202</w:t>
      </w:r>
      <w:r>
        <w:rPr>
          <w:rFonts w:ascii="RWE Sans" w:hAnsi="RWE Sans" w:cs="RWE Sans"/>
          <w:lang w:val="en-GB"/>
        </w:rPr>
        <w:t>1</w:t>
      </w:r>
    </w:p>
    <w:p w14:paraId="238FB2CC" w14:textId="77777777" w:rsidR="00AE3B9A" w:rsidRPr="006D3F2A" w:rsidRDefault="00AE3B9A" w:rsidP="00D73F24">
      <w:pPr>
        <w:pStyle w:val="RWEFlietext"/>
        <w:rPr>
          <w:rFonts w:ascii="RWE Sans" w:hAnsi="RWE Sans" w:cs="RWE Sans"/>
          <w:lang w:val="en-GB"/>
        </w:rPr>
      </w:pPr>
    </w:p>
    <w:p w14:paraId="5ACB05C3" w14:textId="77777777" w:rsidR="00AE3B9A" w:rsidRPr="00107B1A" w:rsidRDefault="00D73F24" w:rsidP="00DC36DE">
      <w:pPr>
        <w:pStyle w:val="RWEBetreffberschrift"/>
        <w:jc w:val="both"/>
        <w:rPr>
          <w:rFonts w:ascii="RWE Sans" w:hAnsi="RWE Sans" w:cs="RWE Sans"/>
          <w:lang w:val="en-GB"/>
        </w:rPr>
      </w:pPr>
      <w:bookmarkStart w:id="6" w:name="Betreff"/>
      <w:bookmarkEnd w:id="6"/>
      <w:r>
        <w:rPr>
          <w:rFonts w:ascii="RWE Sans" w:hAnsi="RWE Sans" w:cs="RWE Sans"/>
          <w:lang w:val="en-GB"/>
        </w:rPr>
        <w:t>Interim REZ framework Stage 2 consultation paper</w:t>
      </w:r>
    </w:p>
    <w:p w14:paraId="39A8F8E2" w14:textId="77777777" w:rsidR="00AE3B9A" w:rsidRPr="00107B1A" w:rsidRDefault="00AE3B9A" w:rsidP="00DC36DE">
      <w:pPr>
        <w:pStyle w:val="RWEFlietext"/>
        <w:jc w:val="both"/>
        <w:rPr>
          <w:rFonts w:ascii="RWE Sans" w:hAnsi="RWE Sans" w:cs="RWE Sans"/>
          <w:lang w:val="en-GB"/>
        </w:rPr>
      </w:pPr>
    </w:p>
    <w:p w14:paraId="2260D749" w14:textId="77777777" w:rsidR="00D73F24" w:rsidRDefault="00D73F24" w:rsidP="00DC36DE">
      <w:pPr>
        <w:jc w:val="both"/>
        <w:rPr>
          <w:rFonts w:ascii="RWE Sans" w:hAnsi="RWE Sans" w:cs="RWE Sans"/>
          <w:lang w:val="en-GB"/>
        </w:rPr>
      </w:pPr>
      <w:r>
        <w:rPr>
          <w:rFonts w:ascii="RWE Sans" w:hAnsi="RWE Sans" w:cs="RWE Sans"/>
          <w:lang w:val="en-GB"/>
        </w:rPr>
        <w:t>Dear Ms Schott,</w:t>
      </w:r>
    </w:p>
    <w:p w14:paraId="782FD58C" w14:textId="77777777" w:rsidR="00D73F24" w:rsidRDefault="00D73F24" w:rsidP="00DC36DE">
      <w:pPr>
        <w:jc w:val="both"/>
        <w:rPr>
          <w:rFonts w:ascii="RWE Sans" w:hAnsi="RWE Sans" w:cs="RWE Sans"/>
          <w:lang w:val="en-GB"/>
        </w:rPr>
      </w:pPr>
    </w:p>
    <w:p w14:paraId="5E204761" w14:textId="77777777" w:rsidR="00EB24D4" w:rsidRPr="00107B1A" w:rsidRDefault="00EB24D4" w:rsidP="00DC36DE">
      <w:pPr>
        <w:jc w:val="both"/>
        <w:rPr>
          <w:rFonts w:ascii="RWE Sans" w:hAnsi="RWE Sans" w:cs="RWE Sans"/>
          <w:lang w:val="en-GB"/>
        </w:rPr>
      </w:pPr>
      <w:r w:rsidRPr="00107B1A">
        <w:rPr>
          <w:rFonts w:ascii="RWE Sans" w:hAnsi="RWE Sans" w:cs="RWE Sans"/>
          <w:lang w:val="en-GB"/>
        </w:rPr>
        <w:t xml:space="preserve">Thank you for the opportunity to provide feedback on the </w:t>
      </w:r>
      <w:r w:rsidR="00D73F24">
        <w:rPr>
          <w:rFonts w:ascii="RWE Sans" w:hAnsi="RWE Sans" w:cs="RWE Sans"/>
          <w:lang w:val="en-GB"/>
        </w:rPr>
        <w:t xml:space="preserve">Energy Security Board’s (ESB) </w:t>
      </w:r>
      <w:r w:rsidR="008522D5">
        <w:rPr>
          <w:rFonts w:ascii="RWE Sans" w:hAnsi="RWE Sans" w:cs="RWE Sans"/>
          <w:lang w:val="en-GB"/>
        </w:rPr>
        <w:t>renewable energy zone (REZ) framework stage 2 consultation paper.</w:t>
      </w:r>
    </w:p>
    <w:p w14:paraId="175F4742" w14:textId="77777777" w:rsidR="00EB24D4" w:rsidRPr="00107B1A" w:rsidRDefault="00EB24D4" w:rsidP="00DC36DE">
      <w:pPr>
        <w:jc w:val="both"/>
        <w:rPr>
          <w:rFonts w:ascii="RWE Sans" w:hAnsi="RWE Sans" w:cs="RWE Sans"/>
          <w:lang w:val="en-GB"/>
        </w:rPr>
      </w:pPr>
    </w:p>
    <w:p w14:paraId="3D3D5B7C" w14:textId="77777777" w:rsidR="00EB24D4" w:rsidRPr="00107B1A" w:rsidRDefault="00EB24D4" w:rsidP="00DC36DE">
      <w:pPr>
        <w:jc w:val="both"/>
        <w:rPr>
          <w:rFonts w:ascii="RWE Sans" w:hAnsi="RWE Sans" w:cs="RWE Sans"/>
          <w:lang w:val="en-GB"/>
        </w:rPr>
      </w:pPr>
      <w:r w:rsidRPr="00107B1A">
        <w:rPr>
          <w:rFonts w:ascii="RWE Sans" w:hAnsi="RWE Sans" w:cs="RWE Sans"/>
          <w:lang w:val="en-GB"/>
        </w:rPr>
        <w:t xml:space="preserve">RWE is a global renewable energy company with 9.5GW of installed renewable energy capacity across our core technologies and markets. Its global renewable energy development pipeline exceeds 20GW. RWE operates across core markets including the Americas, Europe and Asia Pacific with operations in 18 countries. </w:t>
      </w:r>
    </w:p>
    <w:p w14:paraId="75EB79D6" w14:textId="77777777" w:rsidR="00107B1A" w:rsidRPr="00107B1A" w:rsidRDefault="00107B1A" w:rsidP="00DC36DE">
      <w:pPr>
        <w:jc w:val="both"/>
        <w:rPr>
          <w:rFonts w:ascii="RWE Sans" w:hAnsi="RWE Sans" w:cs="RWE Sans"/>
          <w:lang w:val="en-GB"/>
        </w:rPr>
      </w:pPr>
    </w:p>
    <w:p w14:paraId="65AE061E" w14:textId="77777777" w:rsidR="00107B1A" w:rsidRDefault="00107B1A" w:rsidP="00DC36DE">
      <w:pPr>
        <w:jc w:val="both"/>
        <w:rPr>
          <w:rFonts w:ascii="RWE Sans" w:hAnsi="RWE Sans" w:cs="RWE Sans"/>
          <w:lang w:val="en-GB"/>
        </w:rPr>
      </w:pPr>
      <w:r w:rsidRPr="00107B1A">
        <w:rPr>
          <w:rFonts w:ascii="RWE Sans" w:hAnsi="RWE Sans" w:cs="RWE Sans"/>
          <w:lang w:val="en-GB"/>
        </w:rPr>
        <w:t>RWE’s first Australian project is the 249 MW Limondale solar farm in Balranald, south-west NSW.</w:t>
      </w:r>
    </w:p>
    <w:p w14:paraId="602DA502" w14:textId="77777777" w:rsidR="00D115F7" w:rsidRDefault="00D115F7" w:rsidP="00DC36DE">
      <w:pPr>
        <w:jc w:val="both"/>
        <w:rPr>
          <w:rFonts w:ascii="RWE Sans" w:hAnsi="RWE Sans" w:cs="RWE Sans"/>
          <w:lang w:val="en-GB"/>
        </w:rPr>
      </w:pPr>
    </w:p>
    <w:p w14:paraId="52201E15" w14:textId="77777777" w:rsidR="006450CE" w:rsidRDefault="006450CE" w:rsidP="000B137A">
      <w:pPr>
        <w:jc w:val="both"/>
        <w:rPr>
          <w:rFonts w:ascii="RWE Sans" w:hAnsi="RWE Sans" w:cs="RWE Sans"/>
          <w:b/>
          <w:bCs/>
          <w:lang w:val="en-GB"/>
        </w:rPr>
      </w:pPr>
      <w:r>
        <w:rPr>
          <w:rFonts w:ascii="RWE Sans" w:hAnsi="RWE Sans" w:cs="RWE Sans"/>
          <w:b/>
          <w:bCs/>
          <w:lang w:val="en-GB"/>
        </w:rPr>
        <w:t>Introduction</w:t>
      </w:r>
    </w:p>
    <w:p w14:paraId="352EFC19" w14:textId="77777777" w:rsidR="000B137A" w:rsidRPr="006450CE" w:rsidRDefault="000B137A" w:rsidP="00DC36DE">
      <w:pPr>
        <w:jc w:val="both"/>
        <w:rPr>
          <w:rFonts w:ascii="RWE Sans" w:hAnsi="RWE Sans" w:cs="RWE Sans"/>
          <w:b/>
          <w:bCs/>
          <w:lang w:val="en-GB"/>
        </w:rPr>
      </w:pPr>
    </w:p>
    <w:p w14:paraId="668A1735" w14:textId="3288D7A7" w:rsidR="00D115F7" w:rsidRDefault="00D115F7" w:rsidP="00DC36DE">
      <w:pPr>
        <w:jc w:val="both"/>
        <w:rPr>
          <w:rFonts w:ascii="RWE Sans" w:hAnsi="RWE Sans" w:cs="RWE Sans"/>
          <w:lang w:val="en-GB"/>
        </w:rPr>
      </w:pPr>
      <w:r>
        <w:rPr>
          <w:rFonts w:ascii="RWE Sans" w:hAnsi="RWE Sans" w:cs="RWE Sans"/>
          <w:lang w:val="en-GB"/>
        </w:rPr>
        <w:t xml:space="preserve">We support the intent to </w:t>
      </w:r>
      <w:r w:rsidR="00EA713C">
        <w:rPr>
          <w:rFonts w:ascii="RWE Sans" w:hAnsi="RWE Sans" w:cs="RWE Sans"/>
          <w:lang w:val="en-GB"/>
        </w:rPr>
        <w:t xml:space="preserve">reform access arrangements in the </w:t>
      </w:r>
      <w:r w:rsidR="000E4A17">
        <w:rPr>
          <w:rFonts w:ascii="RWE Sans" w:hAnsi="RWE Sans" w:cs="RWE Sans"/>
          <w:lang w:val="en-GB"/>
        </w:rPr>
        <w:t>National Electricity Market (</w:t>
      </w:r>
      <w:r w:rsidR="00EA713C">
        <w:rPr>
          <w:rFonts w:ascii="RWE Sans" w:hAnsi="RWE Sans" w:cs="RWE Sans"/>
          <w:lang w:val="en-GB"/>
        </w:rPr>
        <w:t>NEM</w:t>
      </w:r>
      <w:r w:rsidR="000E4A17">
        <w:rPr>
          <w:rFonts w:ascii="RWE Sans" w:hAnsi="RWE Sans" w:cs="RWE Sans"/>
          <w:lang w:val="en-GB"/>
        </w:rPr>
        <w:t>)</w:t>
      </w:r>
      <w:r w:rsidR="00EA713C">
        <w:rPr>
          <w:rFonts w:ascii="RWE Sans" w:hAnsi="RWE Sans" w:cs="RWE Sans"/>
          <w:lang w:val="en-GB"/>
        </w:rPr>
        <w:t xml:space="preserve"> and </w:t>
      </w:r>
      <w:r>
        <w:rPr>
          <w:rFonts w:ascii="RWE Sans" w:hAnsi="RWE Sans" w:cs="RWE Sans"/>
          <w:lang w:val="en-GB"/>
        </w:rPr>
        <w:t>establish a REZ framework</w:t>
      </w:r>
      <w:r w:rsidR="00EA713C">
        <w:rPr>
          <w:rFonts w:ascii="RWE Sans" w:hAnsi="RWE Sans" w:cs="RWE Sans"/>
          <w:lang w:val="en-GB"/>
        </w:rPr>
        <w:t>, but diverge from the ESB’s initial views on how that best be done.</w:t>
      </w:r>
      <w:r w:rsidR="00FF4420">
        <w:rPr>
          <w:rFonts w:ascii="RWE Sans" w:hAnsi="RWE Sans" w:cs="RWE Sans"/>
          <w:lang w:val="en-GB"/>
        </w:rPr>
        <w:t xml:space="preserve"> We disagree with the ESB’s stated preference to move to locational marginal pricing and financial transmission rights (COGATI) in the longer term. And given the ESB’s views on the shorter-term REZ framework have been framed with that ultimate end goal</w:t>
      </w:r>
      <w:r w:rsidR="004502EC">
        <w:rPr>
          <w:rFonts w:ascii="RWE Sans" w:hAnsi="RWE Sans" w:cs="RWE Sans"/>
          <w:lang w:val="en-GB"/>
        </w:rPr>
        <w:t xml:space="preserve"> in mind</w:t>
      </w:r>
      <w:r w:rsidR="00FF4420">
        <w:rPr>
          <w:rFonts w:ascii="RWE Sans" w:hAnsi="RWE Sans" w:cs="RWE Sans"/>
          <w:lang w:val="en-GB"/>
        </w:rPr>
        <w:t>, we have address</w:t>
      </w:r>
      <w:r w:rsidR="00D12DBE">
        <w:rPr>
          <w:rFonts w:ascii="RWE Sans" w:hAnsi="RWE Sans" w:cs="RWE Sans"/>
          <w:lang w:val="en-GB"/>
        </w:rPr>
        <w:t>ed</w:t>
      </w:r>
      <w:r w:rsidR="00FF4420">
        <w:rPr>
          <w:rFonts w:ascii="RWE Sans" w:hAnsi="RWE Sans" w:cs="RWE Sans"/>
          <w:lang w:val="en-GB"/>
        </w:rPr>
        <w:t xml:space="preserve"> our views on wider access reform </w:t>
      </w:r>
      <w:r w:rsidR="004502EC">
        <w:rPr>
          <w:rFonts w:ascii="RWE Sans" w:hAnsi="RWE Sans" w:cs="RWE Sans"/>
          <w:lang w:val="en-GB"/>
        </w:rPr>
        <w:t xml:space="preserve">as well as the proposed REZ framework </w:t>
      </w:r>
      <w:r w:rsidR="00FF4420">
        <w:rPr>
          <w:rFonts w:ascii="RWE Sans" w:hAnsi="RWE Sans" w:cs="RWE Sans"/>
          <w:lang w:val="en-GB"/>
        </w:rPr>
        <w:t>in this response.</w:t>
      </w:r>
      <w:r w:rsidR="004A4F66">
        <w:rPr>
          <w:rFonts w:ascii="RWE Sans" w:hAnsi="RWE Sans" w:cs="RWE Sans"/>
          <w:lang w:val="en-GB"/>
        </w:rPr>
        <w:t xml:space="preserve"> We believe there are modifications to the ESB’s REZ framework that could be adopted to better address the key problems with the current open access model and which could set the NEM on a more sustainable long-term reform path than</w:t>
      </w:r>
      <w:r w:rsidR="000B137A">
        <w:rPr>
          <w:rFonts w:ascii="RWE Sans" w:hAnsi="RWE Sans" w:cs="RWE Sans"/>
          <w:lang w:val="en-GB"/>
        </w:rPr>
        <w:t xml:space="preserve"> would otherwise be achieved through</w:t>
      </w:r>
      <w:r w:rsidR="004A4F66">
        <w:rPr>
          <w:rFonts w:ascii="RWE Sans" w:hAnsi="RWE Sans" w:cs="RWE Sans"/>
          <w:lang w:val="en-GB"/>
        </w:rPr>
        <w:t xml:space="preserve"> COGATI.</w:t>
      </w:r>
      <w:r w:rsidR="00842CF5">
        <w:rPr>
          <w:rFonts w:ascii="RWE Sans" w:hAnsi="RWE Sans" w:cs="RWE Sans"/>
          <w:lang w:val="en-GB"/>
        </w:rPr>
        <w:t xml:space="preserve"> The “REZ+” options we outline later in this paper would require substantial amendments to the National Electricity Rules, </w:t>
      </w:r>
      <w:r w:rsidR="00395E09">
        <w:rPr>
          <w:rFonts w:ascii="RWE Sans" w:hAnsi="RWE Sans" w:cs="RWE Sans"/>
          <w:lang w:val="en-GB"/>
        </w:rPr>
        <w:t>but not much beyond what the ESB is already contemplating with its REZ model.</w:t>
      </w:r>
      <w:r w:rsidR="00842CF5">
        <w:rPr>
          <w:rFonts w:ascii="RWE Sans" w:hAnsi="RWE Sans" w:cs="RWE Sans"/>
          <w:lang w:val="en-GB"/>
        </w:rPr>
        <w:t xml:space="preserve"> </w:t>
      </w:r>
    </w:p>
    <w:p w14:paraId="5AA93B12" w14:textId="77777777" w:rsidR="00EA713C" w:rsidRDefault="00EA713C" w:rsidP="00DC36DE">
      <w:pPr>
        <w:jc w:val="both"/>
        <w:rPr>
          <w:rFonts w:ascii="RWE Sans" w:hAnsi="RWE Sans" w:cs="RWE Sans"/>
          <w:lang w:val="en-GB"/>
        </w:rPr>
      </w:pPr>
    </w:p>
    <w:p w14:paraId="294C142E" w14:textId="77777777" w:rsidR="00DD0306" w:rsidRDefault="004502EC" w:rsidP="000B137A">
      <w:pPr>
        <w:jc w:val="both"/>
        <w:rPr>
          <w:rFonts w:ascii="RWE Sans" w:hAnsi="RWE Sans" w:cs="RWE Sans"/>
          <w:b/>
          <w:bCs/>
          <w:lang w:val="en-GB"/>
        </w:rPr>
      </w:pPr>
      <w:r>
        <w:rPr>
          <w:rFonts w:ascii="RWE Sans" w:hAnsi="RWE Sans" w:cs="RWE Sans"/>
          <w:b/>
          <w:bCs/>
          <w:lang w:val="en-GB"/>
        </w:rPr>
        <w:t>The ESB has consulted well to understand many of the</w:t>
      </w:r>
      <w:r w:rsidR="00DD0306">
        <w:rPr>
          <w:rFonts w:ascii="RWE Sans" w:hAnsi="RWE Sans" w:cs="RWE Sans"/>
          <w:b/>
          <w:bCs/>
          <w:lang w:val="en-GB"/>
        </w:rPr>
        <w:t xml:space="preserve"> problems </w:t>
      </w:r>
      <w:r>
        <w:rPr>
          <w:rFonts w:ascii="RWE Sans" w:hAnsi="RWE Sans" w:cs="RWE Sans"/>
          <w:b/>
          <w:bCs/>
          <w:lang w:val="en-GB"/>
        </w:rPr>
        <w:t xml:space="preserve">that </w:t>
      </w:r>
      <w:r w:rsidR="00DD0306">
        <w:rPr>
          <w:rFonts w:ascii="RWE Sans" w:hAnsi="RWE Sans" w:cs="RWE Sans"/>
          <w:b/>
          <w:bCs/>
          <w:lang w:val="en-GB"/>
        </w:rPr>
        <w:t>access reform</w:t>
      </w:r>
      <w:r w:rsidR="006450CE">
        <w:rPr>
          <w:rFonts w:ascii="RWE Sans" w:hAnsi="RWE Sans" w:cs="RWE Sans"/>
          <w:b/>
          <w:bCs/>
          <w:lang w:val="en-GB"/>
        </w:rPr>
        <w:t xml:space="preserve">, including the REZ framework, </w:t>
      </w:r>
      <w:r>
        <w:rPr>
          <w:rFonts w:ascii="RWE Sans" w:hAnsi="RWE Sans" w:cs="RWE Sans"/>
          <w:b/>
          <w:bCs/>
          <w:lang w:val="en-GB"/>
        </w:rPr>
        <w:t>should</w:t>
      </w:r>
      <w:r w:rsidR="006450CE">
        <w:rPr>
          <w:rFonts w:ascii="RWE Sans" w:hAnsi="RWE Sans" w:cs="RWE Sans"/>
          <w:b/>
          <w:bCs/>
          <w:lang w:val="en-GB"/>
        </w:rPr>
        <w:t xml:space="preserve"> </w:t>
      </w:r>
      <w:r w:rsidR="00DD0306">
        <w:rPr>
          <w:rFonts w:ascii="RWE Sans" w:hAnsi="RWE Sans" w:cs="RWE Sans"/>
          <w:b/>
          <w:bCs/>
          <w:lang w:val="en-GB"/>
        </w:rPr>
        <w:t>seek to address</w:t>
      </w:r>
    </w:p>
    <w:p w14:paraId="66AEFF1A" w14:textId="77777777" w:rsidR="000B137A" w:rsidRPr="00DD0306" w:rsidRDefault="000B137A" w:rsidP="00DC36DE">
      <w:pPr>
        <w:jc w:val="both"/>
        <w:rPr>
          <w:rFonts w:ascii="RWE Sans" w:hAnsi="RWE Sans" w:cs="RWE Sans"/>
          <w:b/>
          <w:bCs/>
          <w:lang w:val="en-GB"/>
        </w:rPr>
      </w:pPr>
    </w:p>
    <w:p w14:paraId="627D72D7" w14:textId="77777777" w:rsidR="00DD0306" w:rsidRPr="006450CE" w:rsidRDefault="00EA713C" w:rsidP="00DC36DE">
      <w:pPr>
        <w:jc w:val="both"/>
        <w:rPr>
          <w:rFonts w:ascii="RWE Sans" w:hAnsi="RWE Sans" w:cs="RWE Sans"/>
          <w:lang w:val="en-GB"/>
        </w:rPr>
      </w:pPr>
      <w:r w:rsidRPr="006450CE">
        <w:rPr>
          <w:rFonts w:ascii="RWE Sans" w:hAnsi="RWE Sans" w:cs="RWE Sans"/>
          <w:lang w:val="en-GB"/>
        </w:rPr>
        <w:t xml:space="preserve">As a starting point, we agree with </w:t>
      </w:r>
      <w:r w:rsidR="004502EC">
        <w:rPr>
          <w:rFonts w:ascii="RWE Sans" w:hAnsi="RWE Sans" w:cs="RWE Sans"/>
          <w:lang w:val="en-GB"/>
        </w:rPr>
        <w:t xml:space="preserve">some of the ESB’s framing of the problems </w:t>
      </w:r>
      <w:r w:rsidR="00A66350">
        <w:rPr>
          <w:rFonts w:ascii="RWE Sans" w:hAnsi="RWE Sans" w:cs="RWE Sans"/>
          <w:lang w:val="en-GB"/>
        </w:rPr>
        <w:t xml:space="preserve">that need to be addressed through </w:t>
      </w:r>
      <w:r w:rsidR="004502EC">
        <w:rPr>
          <w:rFonts w:ascii="RWE Sans" w:hAnsi="RWE Sans" w:cs="RWE Sans"/>
          <w:lang w:val="en-GB"/>
        </w:rPr>
        <w:t>access reform and the REZ framework:</w:t>
      </w:r>
      <w:r w:rsidR="00AB0407" w:rsidRPr="006450CE">
        <w:rPr>
          <w:rFonts w:ascii="RWE Sans" w:hAnsi="RWE Sans" w:cs="RWE Sans"/>
          <w:lang w:val="en-GB"/>
        </w:rPr>
        <w:t xml:space="preserve"> </w:t>
      </w:r>
    </w:p>
    <w:p w14:paraId="01AB9F9D" w14:textId="77777777" w:rsidR="004104E3" w:rsidRDefault="004104E3" w:rsidP="00DC36DE">
      <w:pPr>
        <w:jc w:val="both"/>
        <w:rPr>
          <w:rFonts w:ascii="RWE Sans" w:hAnsi="RWE Sans" w:cs="RWE Sans"/>
          <w:lang w:val="en-GB"/>
        </w:rPr>
      </w:pPr>
    </w:p>
    <w:p w14:paraId="30170707" w14:textId="54D8601D" w:rsidR="004104E3" w:rsidRDefault="004104E3" w:rsidP="00DC36DE">
      <w:pPr>
        <w:pStyle w:val="RWEFlietext"/>
        <w:ind w:left="360"/>
        <w:jc w:val="both"/>
        <w:rPr>
          <w:rFonts w:ascii="RWE Sans" w:hAnsi="RWE Sans" w:cs="RWE Sans"/>
          <w:i/>
          <w:iCs/>
          <w:lang w:val="en-US"/>
        </w:rPr>
      </w:pPr>
      <w:r w:rsidRPr="004104E3">
        <w:rPr>
          <w:rFonts w:ascii="RWE Sans" w:hAnsi="RWE Sans" w:cs="RWE Sans"/>
          <w:i/>
          <w:iCs/>
          <w:lang w:val="en-US"/>
        </w:rPr>
        <w:lastRenderedPageBreak/>
        <w:t xml:space="preserve">The Post-2025 focus on transmission, access and REZs is </w:t>
      </w:r>
      <w:r w:rsidR="001F2926" w:rsidRPr="004104E3">
        <w:rPr>
          <w:rFonts w:ascii="RWE Sans" w:hAnsi="RWE Sans" w:cs="RWE Sans"/>
          <w:i/>
          <w:iCs/>
          <w:lang w:val="en-US"/>
        </w:rPr>
        <w:t>focused</w:t>
      </w:r>
      <w:r w:rsidRPr="004104E3">
        <w:rPr>
          <w:rFonts w:ascii="RWE Sans" w:hAnsi="RWE Sans" w:cs="RWE Sans"/>
          <w:i/>
          <w:iCs/>
          <w:lang w:val="en-US"/>
        </w:rPr>
        <w:t xml:space="preserve"> on providing the mechanisms to transform the national network to meet future needs, to change the access regime to coordinate generation and transmission build, to lower the cost of connecting to new generators and to ensure that the augmented transmission system is efficiently used to maximise the benefits to customers.</w:t>
      </w:r>
      <w:r w:rsidR="004502EC">
        <w:rPr>
          <w:rStyle w:val="FootnoteReference"/>
          <w:rFonts w:ascii="RWE Sans" w:hAnsi="RWE Sans" w:cs="RWE Sans"/>
          <w:i/>
          <w:iCs/>
          <w:lang w:val="en-US"/>
        </w:rPr>
        <w:footnoteReference w:id="1"/>
      </w:r>
    </w:p>
    <w:p w14:paraId="7E756BD6" w14:textId="77777777" w:rsidR="004A4F66" w:rsidRPr="004104E3" w:rsidRDefault="004A4F66" w:rsidP="00DC36DE">
      <w:pPr>
        <w:pStyle w:val="RWEFlietext"/>
        <w:ind w:left="360"/>
        <w:jc w:val="both"/>
        <w:rPr>
          <w:rFonts w:ascii="RWE Sans" w:hAnsi="RWE Sans" w:cs="RWE Sans"/>
          <w:i/>
          <w:iCs/>
          <w:lang w:val="en-GB"/>
        </w:rPr>
      </w:pPr>
    </w:p>
    <w:p w14:paraId="79B6EED8" w14:textId="77777777" w:rsidR="00DD0306" w:rsidRDefault="00DD0306" w:rsidP="00DC36DE">
      <w:pPr>
        <w:ind w:left="360"/>
        <w:jc w:val="both"/>
        <w:rPr>
          <w:rFonts w:ascii="RWE Sans" w:hAnsi="RWE Sans" w:cs="RWE Sans"/>
          <w:lang w:val="en-US"/>
        </w:rPr>
      </w:pPr>
      <w:r w:rsidRPr="00DD0306">
        <w:rPr>
          <w:rFonts w:ascii="RWE Sans" w:hAnsi="RWE Sans" w:cs="RWE Sans"/>
          <w:i/>
          <w:iCs/>
          <w:lang w:val="en-US"/>
        </w:rPr>
        <w:t>There are a number of areas in the NEM where uncoordinated renewable energy development is leading to network congestion, low marginal loss factors and technical difficulties. As more renewable generation connects, these issues are becoming increasingly widespread. Generators are exposed to lower revenues until remedies can be devised, approved and implemented.</w:t>
      </w:r>
      <w:r w:rsidR="00A66350">
        <w:rPr>
          <w:rStyle w:val="FootnoteReference"/>
          <w:rFonts w:ascii="RWE Sans" w:hAnsi="RWE Sans" w:cs="RWE Sans"/>
          <w:i/>
          <w:iCs/>
          <w:lang w:val="en-US"/>
        </w:rPr>
        <w:footnoteReference w:id="2"/>
      </w:r>
    </w:p>
    <w:p w14:paraId="79F5C947" w14:textId="77777777" w:rsidR="00DD0306" w:rsidRDefault="00DD0306" w:rsidP="00DC36DE">
      <w:pPr>
        <w:jc w:val="both"/>
        <w:rPr>
          <w:rFonts w:ascii="RWE Sans" w:hAnsi="RWE Sans" w:cs="RWE Sans"/>
          <w:lang w:val="en-US"/>
        </w:rPr>
      </w:pPr>
    </w:p>
    <w:p w14:paraId="6537AFE3" w14:textId="77777777" w:rsidR="00D33F1D" w:rsidRDefault="00D12DBE" w:rsidP="000B137A">
      <w:pPr>
        <w:jc w:val="both"/>
        <w:rPr>
          <w:rFonts w:ascii="RWE Sans" w:hAnsi="RWE Sans" w:cs="RWE Sans"/>
          <w:b/>
          <w:bCs/>
          <w:lang w:val="en-US"/>
        </w:rPr>
      </w:pPr>
      <w:r w:rsidRPr="00A66350">
        <w:rPr>
          <w:rFonts w:ascii="RWE Sans" w:hAnsi="RWE Sans" w:cs="RWE Sans"/>
          <w:b/>
          <w:bCs/>
          <w:lang w:val="en-US"/>
        </w:rPr>
        <w:t>Forecasting uncertainty</w:t>
      </w:r>
      <w:r w:rsidR="006450CE" w:rsidRPr="00A66350">
        <w:rPr>
          <w:rFonts w:ascii="RWE Sans" w:hAnsi="RWE Sans" w:cs="RWE Sans"/>
          <w:b/>
          <w:bCs/>
          <w:lang w:val="en-US"/>
        </w:rPr>
        <w:t xml:space="preserve"> will always remain under an open access framework</w:t>
      </w:r>
    </w:p>
    <w:p w14:paraId="2463847D" w14:textId="77777777" w:rsidR="001F2926" w:rsidRPr="00A66350" w:rsidRDefault="001F2926" w:rsidP="00DC36DE">
      <w:pPr>
        <w:jc w:val="both"/>
        <w:rPr>
          <w:rFonts w:ascii="RWE Sans" w:hAnsi="RWE Sans" w:cs="RWE Sans"/>
          <w:b/>
          <w:bCs/>
          <w:lang w:val="en-US"/>
        </w:rPr>
      </w:pPr>
    </w:p>
    <w:p w14:paraId="18DE6DE7" w14:textId="68C58457" w:rsidR="00AD2069" w:rsidRDefault="00DD0306" w:rsidP="00DC36DE">
      <w:pPr>
        <w:pStyle w:val="RWEFlietext"/>
        <w:jc w:val="both"/>
        <w:rPr>
          <w:rFonts w:ascii="RWE Sans" w:hAnsi="RWE Sans" w:cs="RWE Sans"/>
          <w:lang w:val="en-US"/>
        </w:rPr>
      </w:pPr>
      <w:r>
        <w:rPr>
          <w:rFonts w:ascii="RWE Sans" w:hAnsi="RWE Sans" w:cs="RWE Sans"/>
          <w:lang w:val="en-US"/>
        </w:rPr>
        <w:t xml:space="preserve">The inability of a generation investor, at the time of their investment </w:t>
      </w:r>
      <w:bookmarkStart w:id="7" w:name="_GoBack"/>
      <w:bookmarkEnd w:id="7"/>
      <w:r>
        <w:rPr>
          <w:rFonts w:ascii="RWE Sans" w:hAnsi="RWE Sans" w:cs="RWE Sans"/>
          <w:lang w:val="en-US"/>
        </w:rPr>
        <w:t xml:space="preserve">decision, to </w:t>
      </w:r>
      <w:r w:rsidR="001F2926">
        <w:rPr>
          <w:rFonts w:ascii="RWE Sans" w:hAnsi="RWE Sans" w:cs="RWE Sans"/>
          <w:lang w:val="en-US"/>
        </w:rPr>
        <w:t xml:space="preserve">accurately </w:t>
      </w:r>
      <w:r>
        <w:rPr>
          <w:rFonts w:ascii="RWE Sans" w:hAnsi="RWE Sans" w:cs="RWE Sans"/>
          <w:lang w:val="en-US"/>
        </w:rPr>
        <w:t xml:space="preserve">predict subsequent market entrants’ locational decisions </w:t>
      </w:r>
      <w:r w:rsidR="00D5449C">
        <w:rPr>
          <w:rFonts w:ascii="RWE Sans" w:hAnsi="RWE Sans" w:cs="RWE Sans"/>
          <w:lang w:val="en-US"/>
        </w:rPr>
        <w:t xml:space="preserve">has led in the past few years to many assets’ business cases being significantly impacted by congestion, losses and </w:t>
      </w:r>
      <w:r w:rsidR="00A11F60">
        <w:rPr>
          <w:rFonts w:ascii="RWE Sans" w:hAnsi="RWE Sans" w:cs="RWE Sans"/>
          <w:lang w:val="en-US"/>
        </w:rPr>
        <w:t xml:space="preserve">grid connection and commissioning </w:t>
      </w:r>
      <w:r w:rsidR="00D5449C">
        <w:rPr>
          <w:rFonts w:ascii="RWE Sans" w:hAnsi="RWE Sans" w:cs="RWE Sans"/>
          <w:lang w:val="en-US"/>
        </w:rPr>
        <w:t>delays at levels never before seen in the NEM.</w:t>
      </w:r>
    </w:p>
    <w:p w14:paraId="282AFD21" w14:textId="77777777" w:rsidR="00AD2069" w:rsidRDefault="00AD2069" w:rsidP="00DC36DE">
      <w:pPr>
        <w:pStyle w:val="RWEFlietext"/>
        <w:jc w:val="both"/>
        <w:rPr>
          <w:rFonts w:ascii="RWE Sans" w:hAnsi="RWE Sans" w:cs="RWE Sans"/>
          <w:lang w:val="en-US"/>
        </w:rPr>
      </w:pPr>
    </w:p>
    <w:p w14:paraId="143D9609" w14:textId="7E1ECC4B" w:rsidR="00FF4420" w:rsidRPr="00D12DBE" w:rsidRDefault="00FF4420" w:rsidP="00DC36DE">
      <w:pPr>
        <w:pStyle w:val="RWEFlietext"/>
        <w:jc w:val="both"/>
        <w:rPr>
          <w:rFonts w:ascii="RWE Sans" w:hAnsi="RWE Sans" w:cs="RWE Sans"/>
          <w:lang w:val="en-GB"/>
        </w:rPr>
      </w:pPr>
      <w:r>
        <w:rPr>
          <w:rFonts w:ascii="RWE Sans" w:hAnsi="RWE Sans" w:cs="RWE Sans"/>
          <w:lang w:val="en-GB"/>
        </w:rPr>
        <w:t xml:space="preserve">We note that the ESB, as part of its wider transmission and access reform work, </w:t>
      </w:r>
      <w:r w:rsidR="000E4A17">
        <w:rPr>
          <w:rFonts w:ascii="RWE Sans" w:hAnsi="RWE Sans" w:cs="RWE Sans"/>
          <w:lang w:val="en-GB"/>
        </w:rPr>
        <w:t xml:space="preserve">is </w:t>
      </w:r>
      <w:r>
        <w:rPr>
          <w:rFonts w:ascii="RWE Sans" w:hAnsi="RWE Sans" w:cs="RWE Sans"/>
          <w:lang w:val="en-GB"/>
        </w:rPr>
        <w:t xml:space="preserve">looking at enhancing and supplementing </w:t>
      </w:r>
      <w:r w:rsidR="001F2926">
        <w:rPr>
          <w:rFonts w:ascii="RWE Sans" w:hAnsi="RWE Sans" w:cs="RWE Sans"/>
          <w:lang w:val="en-GB"/>
        </w:rPr>
        <w:t>publicly</w:t>
      </w:r>
      <w:r w:rsidR="00AD2069">
        <w:rPr>
          <w:rFonts w:ascii="RWE Sans" w:hAnsi="RWE Sans" w:cs="RWE Sans"/>
          <w:lang w:val="en-GB"/>
        </w:rPr>
        <w:t xml:space="preserve"> available </w:t>
      </w:r>
      <w:r>
        <w:rPr>
          <w:rFonts w:ascii="RWE Sans" w:hAnsi="RWE Sans" w:cs="RWE Sans"/>
          <w:lang w:val="en-GB"/>
        </w:rPr>
        <w:t xml:space="preserve">congestion information. </w:t>
      </w:r>
      <w:r w:rsidR="005D01D2">
        <w:rPr>
          <w:rFonts w:ascii="RWE Sans" w:hAnsi="RWE Sans" w:cs="RWE Sans"/>
          <w:lang w:val="en-GB"/>
        </w:rPr>
        <w:t>More information is always helpful, and</w:t>
      </w:r>
      <w:r>
        <w:rPr>
          <w:rFonts w:ascii="RWE Sans" w:hAnsi="RWE Sans" w:cs="RWE Sans"/>
          <w:lang w:val="en-GB"/>
        </w:rPr>
        <w:t xml:space="preserve"> we already find AEMO’s Congestion Information Resource to be valuable</w:t>
      </w:r>
      <w:r w:rsidR="005D01D2">
        <w:rPr>
          <w:rFonts w:ascii="RWE Sans" w:hAnsi="RWE Sans" w:cs="RWE Sans"/>
          <w:lang w:val="en-GB"/>
        </w:rPr>
        <w:t>, at least for assessing the current status of parts of the network</w:t>
      </w:r>
      <w:r>
        <w:rPr>
          <w:rFonts w:ascii="RWE Sans" w:hAnsi="RWE Sans" w:cs="RWE Sans"/>
          <w:lang w:val="en-GB"/>
        </w:rPr>
        <w:t xml:space="preserve">. However the forecasting aspect which is already grappled with by any generator seeking to </w:t>
      </w:r>
      <w:r w:rsidR="005D01D2">
        <w:rPr>
          <w:rFonts w:ascii="RWE Sans" w:hAnsi="RWE Sans" w:cs="RWE Sans"/>
          <w:lang w:val="en-GB"/>
        </w:rPr>
        <w:t>predict</w:t>
      </w:r>
      <w:r>
        <w:rPr>
          <w:rFonts w:ascii="RWE Sans" w:hAnsi="RWE Sans" w:cs="RWE Sans"/>
          <w:lang w:val="en-GB"/>
        </w:rPr>
        <w:t xml:space="preserve"> it’s MLF and curtailment over a 25-30 year project life will always be fraught with uncertainty, unless there are changes to access policy.</w:t>
      </w:r>
      <w:r w:rsidR="005D01D2">
        <w:rPr>
          <w:rFonts w:ascii="RWE Sans" w:hAnsi="RWE Sans" w:cs="RWE Sans"/>
          <w:lang w:val="en-GB"/>
        </w:rPr>
        <w:t xml:space="preserve"> So we </w:t>
      </w:r>
      <w:r w:rsidR="00D12DBE">
        <w:rPr>
          <w:rFonts w:ascii="RWE Sans" w:hAnsi="RWE Sans" w:cs="RWE Sans"/>
          <w:lang w:val="en-GB"/>
        </w:rPr>
        <w:t>suggest that</w:t>
      </w:r>
      <w:r w:rsidR="005D01D2">
        <w:rPr>
          <w:rFonts w:ascii="RWE Sans" w:hAnsi="RWE Sans" w:cs="RWE Sans"/>
          <w:lang w:val="en-GB"/>
        </w:rPr>
        <w:t xml:space="preserve"> AEMO and the ESB don’t spend too much resourcing on trying to improve forecasting of generation investment under the current access policy and instead </w:t>
      </w:r>
      <w:r w:rsidR="00D12DBE">
        <w:rPr>
          <w:rFonts w:ascii="RWE Sans" w:hAnsi="RWE Sans" w:cs="RWE Sans"/>
          <w:lang w:val="en-GB"/>
        </w:rPr>
        <w:t xml:space="preserve">the </w:t>
      </w:r>
      <w:r w:rsidR="005D01D2">
        <w:rPr>
          <w:rFonts w:ascii="RWE Sans" w:hAnsi="RWE Sans" w:cs="RWE Sans"/>
          <w:lang w:val="en-GB"/>
        </w:rPr>
        <w:t>focus</w:t>
      </w:r>
      <w:r w:rsidR="00D12DBE">
        <w:rPr>
          <w:rFonts w:ascii="RWE Sans" w:hAnsi="RWE Sans" w:cs="RWE Sans"/>
          <w:lang w:val="en-GB"/>
        </w:rPr>
        <w:t xml:space="preserve"> is</w:t>
      </w:r>
      <w:r w:rsidR="005D01D2">
        <w:rPr>
          <w:rFonts w:ascii="RWE Sans" w:hAnsi="RWE Sans" w:cs="RWE Sans"/>
          <w:lang w:val="en-GB"/>
        </w:rPr>
        <w:t xml:space="preserve"> on improving the current access policy.</w:t>
      </w:r>
    </w:p>
    <w:p w14:paraId="19B18FD8" w14:textId="77777777" w:rsidR="00FF4420" w:rsidRDefault="00FF4420" w:rsidP="00DC36DE">
      <w:pPr>
        <w:jc w:val="both"/>
        <w:rPr>
          <w:rFonts w:ascii="RWE Sans" w:hAnsi="RWE Sans" w:cs="RWE Sans"/>
          <w:lang w:val="en-US"/>
        </w:rPr>
      </w:pPr>
    </w:p>
    <w:p w14:paraId="1FDEA068" w14:textId="77777777" w:rsidR="006450CE" w:rsidRDefault="003C6828" w:rsidP="000B137A">
      <w:pPr>
        <w:jc w:val="both"/>
        <w:rPr>
          <w:rFonts w:ascii="RWE Sans" w:hAnsi="RWE Sans" w:cs="RWE Sans"/>
          <w:b/>
          <w:bCs/>
          <w:lang w:val="en-US"/>
        </w:rPr>
      </w:pPr>
      <w:r w:rsidRPr="00A66350">
        <w:rPr>
          <w:rFonts w:ascii="RWE Sans" w:hAnsi="RWE Sans" w:cs="RWE Sans"/>
          <w:b/>
          <w:bCs/>
          <w:lang w:val="en-US"/>
        </w:rPr>
        <w:t>The transmission approval process has improved but there is still work to do</w:t>
      </w:r>
      <w:r w:rsidR="00A66350">
        <w:rPr>
          <w:rFonts w:ascii="RWE Sans" w:hAnsi="RWE Sans" w:cs="RWE Sans"/>
          <w:b/>
          <w:bCs/>
          <w:lang w:val="en-US"/>
        </w:rPr>
        <w:t xml:space="preserve"> to align transmission and generation build</w:t>
      </w:r>
    </w:p>
    <w:p w14:paraId="3ABC771F" w14:textId="77777777" w:rsidR="001F2926" w:rsidRPr="00A66350" w:rsidRDefault="001F2926" w:rsidP="00DC36DE">
      <w:pPr>
        <w:jc w:val="both"/>
        <w:rPr>
          <w:rFonts w:ascii="RWE Sans" w:hAnsi="RWE Sans" w:cs="RWE Sans"/>
          <w:b/>
          <w:bCs/>
          <w:lang w:val="en-US"/>
        </w:rPr>
      </w:pPr>
    </w:p>
    <w:p w14:paraId="6B32A2B9" w14:textId="0F1DDBAA" w:rsidR="00A66350" w:rsidRDefault="00A66350" w:rsidP="00DC36DE">
      <w:pPr>
        <w:jc w:val="both"/>
        <w:rPr>
          <w:rFonts w:ascii="RWE Sans" w:hAnsi="RWE Sans" w:cs="RWE Sans"/>
          <w:color w:val="000000" w:themeColor="text1"/>
          <w:lang w:val="en-US"/>
        </w:rPr>
      </w:pPr>
      <w:r>
        <w:rPr>
          <w:rFonts w:ascii="RWE Sans" w:hAnsi="RWE Sans" w:cs="RWE Sans"/>
          <w:lang w:val="en-US"/>
        </w:rPr>
        <w:t>The ESB’s focus through 2018-19 on actioning the</w:t>
      </w:r>
      <w:r w:rsidR="007952B2">
        <w:rPr>
          <w:rFonts w:ascii="RWE Sans" w:hAnsi="RWE Sans" w:cs="RWE Sans"/>
          <w:lang w:val="en-US"/>
        </w:rPr>
        <w:t xml:space="preserve"> Integrated System Plan</w:t>
      </w:r>
      <w:r>
        <w:rPr>
          <w:rFonts w:ascii="RWE Sans" w:hAnsi="RWE Sans" w:cs="RWE Sans"/>
          <w:lang w:val="en-US"/>
        </w:rPr>
        <w:t xml:space="preserve"> </w:t>
      </w:r>
      <w:r w:rsidR="007952B2">
        <w:rPr>
          <w:rFonts w:ascii="RWE Sans" w:hAnsi="RWE Sans" w:cs="RWE Sans"/>
          <w:lang w:val="en-US"/>
        </w:rPr>
        <w:t>(</w:t>
      </w:r>
      <w:r>
        <w:rPr>
          <w:rFonts w:ascii="RWE Sans" w:hAnsi="RWE Sans" w:cs="RWE Sans"/>
          <w:lang w:val="en-US"/>
        </w:rPr>
        <w:t>ISP</w:t>
      </w:r>
      <w:r w:rsidR="007952B2">
        <w:rPr>
          <w:rFonts w:ascii="RWE Sans" w:hAnsi="RWE Sans" w:cs="RWE Sans"/>
          <w:lang w:val="en-US"/>
        </w:rPr>
        <w:t>)</w:t>
      </w:r>
      <w:r>
        <w:rPr>
          <w:rFonts w:ascii="RWE Sans" w:hAnsi="RWE Sans" w:cs="RWE Sans"/>
          <w:lang w:val="en-US"/>
        </w:rPr>
        <w:t xml:space="preserve"> was the right first step, an acknowledgement that system-wide central planning was needed to deliver the grid for the future in the context of an energy transformation. We also agree with the ESB that the ISP, on its own, will not provide the investment environment that can deliver the </w:t>
      </w:r>
      <w:r w:rsidRPr="00D33F1D">
        <w:rPr>
          <w:rFonts w:ascii="RWE Sans" w:hAnsi="RWE Sans" w:cs="RWE Sans"/>
          <w:lang w:val="en-US"/>
        </w:rPr>
        <w:t xml:space="preserve">predicted </w:t>
      </w:r>
      <w:r w:rsidRPr="00D33F1D">
        <w:rPr>
          <w:rFonts w:ascii="RWE Sans" w:hAnsi="RWE Sans" w:cs="RWE Sans"/>
          <w:color w:val="000000" w:themeColor="text1"/>
          <w:lang w:val="en-US"/>
        </w:rPr>
        <w:t>26-50 GW of new utility-scale wind and solar capacity</w:t>
      </w:r>
      <w:r>
        <w:rPr>
          <w:rFonts w:ascii="RWE Sans" w:hAnsi="RWE Sans" w:cs="RWE Sans"/>
          <w:color w:val="000000" w:themeColor="text1"/>
          <w:lang w:val="en-US"/>
        </w:rPr>
        <w:t xml:space="preserve"> that the NEM will need</w:t>
      </w:r>
      <w:r w:rsidRPr="00D33F1D">
        <w:rPr>
          <w:rFonts w:ascii="RWE Sans" w:hAnsi="RWE Sans" w:cs="RWE Sans"/>
          <w:color w:val="000000" w:themeColor="text1"/>
          <w:lang w:val="en-US"/>
        </w:rPr>
        <w:t xml:space="preserve"> by 2040</w:t>
      </w:r>
      <w:r>
        <w:rPr>
          <w:rFonts w:ascii="RWE Sans" w:hAnsi="RWE Sans" w:cs="RWE Sans"/>
          <w:color w:val="000000" w:themeColor="text1"/>
          <w:lang w:val="en-US"/>
        </w:rPr>
        <w:t>.</w:t>
      </w:r>
      <w:r w:rsidRPr="00D33F1D">
        <w:rPr>
          <w:rStyle w:val="FootnoteReference"/>
          <w:rFonts w:ascii="RWE Sans" w:hAnsi="RWE Sans" w:cs="RWE Sans"/>
          <w:color w:val="000000" w:themeColor="text1"/>
          <w:lang w:val="en-US"/>
        </w:rPr>
        <w:footnoteReference w:id="3"/>
      </w:r>
    </w:p>
    <w:p w14:paraId="10997178" w14:textId="77777777" w:rsidR="00A66350" w:rsidRPr="00A66350" w:rsidRDefault="00A66350" w:rsidP="00DC36DE">
      <w:pPr>
        <w:pStyle w:val="RWEFlietext"/>
        <w:jc w:val="both"/>
        <w:rPr>
          <w:rFonts w:ascii="RWE Sans" w:hAnsi="RWE Sans" w:cs="RWE Sans"/>
          <w:lang w:val="en-US"/>
        </w:rPr>
      </w:pPr>
    </w:p>
    <w:p w14:paraId="69A2CF8C" w14:textId="365CB995" w:rsidR="00830057" w:rsidRDefault="00A66350" w:rsidP="00DC36DE">
      <w:pPr>
        <w:pStyle w:val="RWEFlietext"/>
        <w:jc w:val="both"/>
        <w:rPr>
          <w:rFonts w:ascii="RWE Sans" w:hAnsi="RWE Sans" w:cs="RWE Sans"/>
          <w:lang w:val="en-GB"/>
        </w:rPr>
      </w:pPr>
      <w:r>
        <w:rPr>
          <w:rFonts w:ascii="RWE Sans" w:hAnsi="RWE Sans" w:cs="RWE Sans"/>
          <w:lang w:val="en-GB"/>
        </w:rPr>
        <w:t>Even</w:t>
      </w:r>
      <w:r w:rsidR="0032321A">
        <w:rPr>
          <w:rFonts w:ascii="RWE Sans" w:hAnsi="RWE Sans" w:cs="RWE Sans"/>
          <w:lang w:val="en-GB"/>
        </w:rPr>
        <w:t xml:space="preserve"> if the expected halving of t</w:t>
      </w:r>
      <w:r w:rsidR="00FA0E96">
        <w:rPr>
          <w:rFonts w:ascii="RWE Sans" w:hAnsi="RWE Sans" w:cs="RWE Sans"/>
          <w:lang w:val="en-GB"/>
        </w:rPr>
        <w:t>he timeline for large transmission project</w:t>
      </w:r>
      <w:r w:rsidR="0032321A">
        <w:rPr>
          <w:rFonts w:ascii="RWE Sans" w:hAnsi="RWE Sans" w:cs="RWE Sans"/>
          <w:lang w:val="en-GB"/>
        </w:rPr>
        <w:t xml:space="preserve"> development from 14 years to 7 years plays out, that is</w:t>
      </w:r>
      <w:r w:rsidR="00FA0E96">
        <w:rPr>
          <w:rFonts w:ascii="RWE Sans" w:hAnsi="RWE Sans" w:cs="RWE Sans"/>
          <w:lang w:val="en-GB"/>
        </w:rPr>
        <w:t xml:space="preserve"> still too long from a</w:t>
      </w:r>
      <w:r w:rsidR="004C2BCA">
        <w:rPr>
          <w:rFonts w:ascii="RWE Sans" w:hAnsi="RWE Sans" w:cs="RWE Sans"/>
          <w:lang w:val="en-GB"/>
        </w:rPr>
        <w:t xml:space="preserve"> constrained</w:t>
      </w:r>
      <w:r w:rsidR="00FA0E96">
        <w:rPr>
          <w:rFonts w:ascii="RWE Sans" w:hAnsi="RWE Sans" w:cs="RWE Sans"/>
          <w:lang w:val="en-GB"/>
        </w:rPr>
        <w:t xml:space="preserve"> generator’s risk perspective. </w:t>
      </w:r>
      <w:r w:rsidR="0032321A">
        <w:rPr>
          <w:rFonts w:ascii="RWE Sans" w:hAnsi="RWE Sans" w:cs="RWE Sans"/>
          <w:lang w:val="en-GB"/>
        </w:rPr>
        <w:t xml:space="preserve">As an example, new </w:t>
      </w:r>
      <w:r w:rsidR="00E771C7">
        <w:rPr>
          <w:rFonts w:ascii="RWE Sans" w:hAnsi="RWE Sans" w:cs="RWE Sans"/>
          <w:lang w:val="en-GB"/>
        </w:rPr>
        <w:t xml:space="preserve">system stability </w:t>
      </w:r>
      <w:r w:rsidR="0032321A">
        <w:rPr>
          <w:rFonts w:ascii="RWE Sans" w:hAnsi="RWE Sans" w:cs="RWE Sans"/>
          <w:lang w:val="en-GB"/>
        </w:rPr>
        <w:t>constraints in south-west</w:t>
      </w:r>
      <w:r w:rsidR="00FA0E96">
        <w:rPr>
          <w:rFonts w:ascii="RWE Sans" w:hAnsi="RWE Sans" w:cs="RWE Sans"/>
          <w:lang w:val="en-GB"/>
        </w:rPr>
        <w:t xml:space="preserve"> NSW </w:t>
      </w:r>
      <w:r w:rsidR="0032321A">
        <w:rPr>
          <w:rFonts w:ascii="RWE Sans" w:hAnsi="RWE Sans" w:cs="RWE Sans"/>
          <w:lang w:val="en-GB"/>
        </w:rPr>
        <w:t xml:space="preserve">that were first </w:t>
      </w:r>
      <w:r w:rsidR="00FA0E96">
        <w:rPr>
          <w:rFonts w:ascii="RWE Sans" w:hAnsi="RWE Sans" w:cs="RWE Sans"/>
          <w:lang w:val="en-GB"/>
        </w:rPr>
        <w:t>identified</w:t>
      </w:r>
      <w:r w:rsidR="0032321A">
        <w:rPr>
          <w:rFonts w:ascii="RWE Sans" w:hAnsi="RWE Sans" w:cs="RWE Sans"/>
          <w:lang w:val="en-GB"/>
        </w:rPr>
        <w:t xml:space="preserve"> </w:t>
      </w:r>
      <w:r w:rsidR="00FA0E96">
        <w:rPr>
          <w:rFonts w:ascii="RWE Sans" w:hAnsi="RWE Sans" w:cs="RWE Sans"/>
          <w:lang w:val="en-GB"/>
        </w:rPr>
        <w:t xml:space="preserve">in 2020 </w:t>
      </w:r>
      <w:r w:rsidR="0032321A">
        <w:rPr>
          <w:rFonts w:ascii="RWE Sans" w:hAnsi="RWE Sans" w:cs="RWE Sans"/>
          <w:lang w:val="en-GB"/>
        </w:rPr>
        <w:t xml:space="preserve">will not be resolved before 2025 at the earliest. </w:t>
      </w:r>
      <w:r w:rsidR="00842CF5">
        <w:rPr>
          <w:rFonts w:ascii="RWE Sans" w:hAnsi="RWE Sans" w:cs="RWE Sans"/>
          <w:lang w:val="en-GB"/>
        </w:rPr>
        <w:t xml:space="preserve">That is a weaker </w:t>
      </w:r>
      <w:r w:rsidR="00842CF5">
        <w:rPr>
          <w:rFonts w:ascii="RWE Sans" w:hAnsi="RWE Sans" w:cs="RWE Sans"/>
          <w:lang w:val="en-GB"/>
        </w:rPr>
        <w:lastRenderedPageBreak/>
        <w:t xml:space="preserve">part of the grid than where REZs would be expected to connect into, but the principle is the same – outside of the actionable ISP framework, the RIT-T process is reactive and generators can face years of heavy curtailment between a RIT-T trigger event and a solution. </w:t>
      </w:r>
    </w:p>
    <w:p w14:paraId="26012E97" w14:textId="77777777" w:rsidR="00177814" w:rsidRDefault="00177814" w:rsidP="00DC36DE">
      <w:pPr>
        <w:pStyle w:val="RWEFlietext"/>
        <w:jc w:val="both"/>
        <w:rPr>
          <w:rFonts w:ascii="RWE Sans" w:hAnsi="RWE Sans" w:cs="RWE Sans"/>
          <w:lang w:val="en-GB"/>
        </w:rPr>
      </w:pPr>
    </w:p>
    <w:p w14:paraId="16650C95" w14:textId="3263E547" w:rsidR="00177814" w:rsidRDefault="00177814">
      <w:pPr>
        <w:pStyle w:val="RWEFlietext"/>
        <w:jc w:val="both"/>
        <w:rPr>
          <w:rFonts w:ascii="RWE Sans" w:hAnsi="RWE Sans" w:cs="RWE Sans"/>
          <w:lang w:val="en-GB"/>
        </w:rPr>
      </w:pPr>
      <w:r>
        <w:rPr>
          <w:rFonts w:ascii="RWE Sans" w:hAnsi="RWE Sans" w:cs="RWE Sans"/>
          <w:lang w:val="en-GB"/>
        </w:rPr>
        <w:t xml:space="preserve">We agree that the ESB’s proposed REZ framework may mitigate this issue </w:t>
      </w:r>
      <w:r w:rsidR="003C6828">
        <w:rPr>
          <w:rFonts w:ascii="RWE Sans" w:hAnsi="RWE Sans" w:cs="RWE Sans"/>
          <w:lang w:val="en-GB"/>
        </w:rPr>
        <w:t xml:space="preserve">for future projects </w:t>
      </w:r>
      <w:r>
        <w:rPr>
          <w:rFonts w:ascii="RWE Sans" w:hAnsi="RWE Sans" w:cs="RWE Sans"/>
          <w:lang w:val="en-GB"/>
        </w:rPr>
        <w:t>but would not solve it, given REZ investors would still be subject to the vagaries of the open access shared network, where any subsequent market entrant could undermine the economics of the original REZ investments.</w:t>
      </w:r>
      <w:r w:rsidR="00B755AD">
        <w:rPr>
          <w:rFonts w:ascii="RWE Sans" w:hAnsi="RWE Sans" w:cs="RWE Sans"/>
          <w:lang w:val="en-GB"/>
        </w:rPr>
        <w:t xml:space="preserve"> </w:t>
      </w:r>
      <w:r w:rsidR="007E5396">
        <w:rPr>
          <w:rFonts w:ascii="RWE Sans" w:hAnsi="RWE Sans" w:cs="RWE Sans"/>
          <w:lang w:val="en-GB"/>
        </w:rPr>
        <w:t xml:space="preserve">Under the ESB’s proposal, generation investors </w:t>
      </w:r>
      <w:r w:rsidR="003C6828">
        <w:rPr>
          <w:rFonts w:ascii="RWE Sans" w:hAnsi="RWE Sans" w:cs="RWE Sans"/>
          <w:lang w:val="en-GB"/>
        </w:rPr>
        <w:t>in a REZ c</w:t>
      </w:r>
      <w:r w:rsidR="007E5396">
        <w:rPr>
          <w:rFonts w:ascii="RWE Sans" w:hAnsi="RWE Sans" w:cs="RWE Sans"/>
          <w:lang w:val="en-GB"/>
        </w:rPr>
        <w:t xml:space="preserve">ould still face at least </w:t>
      </w:r>
      <w:r w:rsidR="00B755AD">
        <w:rPr>
          <w:rFonts w:ascii="RWE Sans" w:hAnsi="RWE Sans" w:cs="RWE Sans"/>
          <w:lang w:val="en-GB"/>
        </w:rPr>
        <w:t>5-7 years</w:t>
      </w:r>
      <w:r w:rsidR="007E5396">
        <w:rPr>
          <w:rFonts w:ascii="RWE Sans" w:hAnsi="RWE Sans" w:cs="RWE Sans"/>
          <w:lang w:val="en-GB"/>
        </w:rPr>
        <w:t xml:space="preserve"> of potentially significant project impacts before constraints on the shared network could be built out. </w:t>
      </w:r>
    </w:p>
    <w:p w14:paraId="3D5FB48D" w14:textId="01BB9397" w:rsidR="00DE7713" w:rsidRDefault="00DE7713">
      <w:pPr>
        <w:pStyle w:val="RWEFlietext"/>
        <w:jc w:val="both"/>
        <w:rPr>
          <w:rFonts w:ascii="RWE Sans" w:hAnsi="RWE Sans" w:cs="RWE Sans"/>
          <w:lang w:val="en-GB"/>
        </w:rPr>
      </w:pPr>
    </w:p>
    <w:p w14:paraId="1419AE26" w14:textId="59DA1439" w:rsidR="00DE7713" w:rsidRDefault="00DE7713">
      <w:pPr>
        <w:pStyle w:val="RWEFlietext"/>
        <w:jc w:val="both"/>
        <w:rPr>
          <w:rFonts w:ascii="RWE Sans" w:hAnsi="RWE Sans" w:cs="RWE Sans"/>
          <w:lang w:val="en-GB"/>
        </w:rPr>
      </w:pPr>
      <w:r>
        <w:rPr>
          <w:rFonts w:ascii="RWE Sans" w:hAnsi="RWE Sans" w:cs="RWE Sans"/>
          <w:lang w:val="en-GB"/>
        </w:rPr>
        <w:t>Th</w:t>
      </w:r>
      <w:r w:rsidR="00A737F9">
        <w:rPr>
          <w:rFonts w:ascii="RWE Sans" w:hAnsi="RWE Sans" w:cs="RWE Sans"/>
          <w:lang w:val="en-GB"/>
        </w:rPr>
        <w:t>e</w:t>
      </w:r>
      <w:r>
        <w:rPr>
          <w:rFonts w:ascii="RWE Sans" w:hAnsi="RWE Sans" w:cs="RWE Sans"/>
          <w:lang w:val="en-GB"/>
        </w:rPr>
        <w:t xml:space="preserve"> issue </w:t>
      </w:r>
      <w:r w:rsidR="00A737F9">
        <w:rPr>
          <w:rFonts w:ascii="RWE Sans" w:hAnsi="RWE Sans" w:cs="RWE Sans"/>
          <w:lang w:val="en-GB"/>
        </w:rPr>
        <w:t xml:space="preserve">of REZ investor uncertainty </w:t>
      </w:r>
      <w:r>
        <w:rPr>
          <w:rFonts w:ascii="RWE Sans" w:hAnsi="RWE Sans" w:cs="RWE Sans"/>
          <w:lang w:val="en-GB"/>
        </w:rPr>
        <w:t xml:space="preserve">could be solved, or at least mitigated, for REZs by a modified, more comprehensive access policy which protects foundation investors from the impacts of subsequent entrants (options on this discussed further below). But even with a comprehensive access policy, </w:t>
      </w:r>
      <w:r w:rsidR="00A737F9">
        <w:rPr>
          <w:rFonts w:ascii="RWE Sans" w:hAnsi="RWE Sans" w:cs="RWE Sans"/>
          <w:lang w:val="en-GB"/>
        </w:rPr>
        <w:t>uptake of REZs will be slow if the main pathway is under the</w:t>
      </w:r>
      <w:r>
        <w:rPr>
          <w:rFonts w:ascii="RWE Sans" w:hAnsi="RWE Sans" w:cs="RWE Sans"/>
          <w:lang w:val="en-GB"/>
        </w:rPr>
        <w:t xml:space="preserve"> current actionable ISP</w:t>
      </w:r>
      <w:r w:rsidR="00A737F9">
        <w:rPr>
          <w:rFonts w:ascii="RWE Sans" w:hAnsi="RWE Sans" w:cs="RWE Sans"/>
          <w:lang w:val="en-GB"/>
        </w:rPr>
        <w:t xml:space="preserve"> framework.</w:t>
      </w:r>
    </w:p>
    <w:p w14:paraId="1E46B510" w14:textId="1488FEAE" w:rsidR="00A737F9" w:rsidRDefault="00A737F9">
      <w:pPr>
        <w:pStyle w:val="RWEFlietext"/>
        <w:jc w:val="both"/>
        <w:rPr>
          <w:rFonts w:ascii="RWE Sans" w:hAnsi="RWE Sans" w:cs="RWE Sans"/>
          <w:lang w:val="en-GB"/>
        </w:rPr>
      </w:pPr>
    </w:p>
    <w:p w14:paraId="697EA937" w14:textId="77777777" w:rsidR="00A737F9" w:rsidRDefault="00A737F9" w:rsidP="00A737F9">
      <w:pPr>
        <w:pStyle w:val="RWEFlietext"/>
        <w:jc w:val="both"/>
        <w:rPr>
          <w:rFonts w:ascii="RWE Sans" w:hAnsi="RWE Sans" w:cs="RWE Sans"/>
          <w:lang w:val="en-GB"/>
        </w:rPr>
      </w:pPr>
      <w:r>
        <w:rPr>
          <w:rFonts w:ascii="RWE Sans" w:hAnsi="RWE Sans" w:cs="RWE Sans"/>
          <w:lang w:val="en-GB"/>
        </w:rPr>
        <w:t xml:space="preserve">The REZ consultation paper has focussed only on the RIT-T pathway for REZs and notes that REZs may be developed via different routes. But it is hard to see REZs being developed at scale solely with government or generator funding – consumers will still be relied upon for at least part-funding of the large transmission infrastructure needed for REZs. </w:t>
      </w:r>
    </w:p>
    <w:p w14:paraId="48825E52" w14:textId="77777777" w:rsidR="00A737F9" w:rsidRDefault="00A737F9" w:rsidP="00A737F9">
      <w:pPr>
        <w:pStyle w:val="RWEFlietext"/>
        <w:jc w:val="both"/>
        <w:rPr>
          <w:rFonts w:ascii="RWE Sans" w:hAnsi="RWE Sans" w:cs="RWE Sans"/>
          <w:lang w:val="en-GB"/>
        </w:rPr>
      </w:pPr>
    </w:p>
    <w:p w14:paraId="2AED1ACA" w14:textId="093FDC10" w:rsidR="00A737F9" w:rsidRDefault="00A737F9" w:rsidP="00A737F9">
      <w:pPr>
        <w:pStyle w:val="RWEFlietext"/>
        <w:jc w:val="both"/>
        <w:rPr>
          <w:rFonts w:ascii="RWE Sans" w:hAnsi="RWE Sans" w:cs="RWE Sans"/>
          <w:lang w:val="en-GB"/>
        </w:rPr>
      </w:pPr>
      <w:r>
        <w:rPr>
          <w:rFonts w:ascii="RWE Sans" w:hAnsi="RWE Sans" w:cs="RWE Sans"/>
          <w:lang w:val="en-GB"/>
        </w:rPr>
        <w:t xml:space="preserve">Given the scale of the transmission build-out needed over the next 20 years, consumers are justified in wanting to ensure that they only foot the bill for grid build that provides a net benefit to the system.  But to ensure REZ build-out at the pace needed to ensure reliability of supply through coal retirements, </w:t>
      </w:r>
      <w:r w:rsidR="00362297">
        <w:rPr>
          <w:rFonts w:ascii="RWE Sans" w:hAnsi="RWE Sans" w:cs="RWE Sans"/>
          <w:lang w:val="en-GB"/>
        </w:rPr>
        <w:t xml:space="preserve">we recommend the ESB look at ways to better balance the cost and reliability risks. </w:t>
      </w:r>
    </w:p>
    <w:p w14:paraId="71E9FAB8" w14:textId="697E0671" w:rsidR="00362297" w:rsidRDefault="00362297" w:rsidP="00A737F9">
      <w:pPr>
        <w:pStyle w:val="RWEFlietext"/>
        <w:jc w:val="both"/>
        <w:rPr>
          <w:rFonts w:ascii="RWE Sans" w:hAnsi="RWE Sans" w:cs="RWE Sans"/>
          <w:lang w:val="en-GB"/>
        </w:rPr>
      </w:pPr>
    </w:p>
    <w:p w14:paraId="4E75D355" w14:textId="13B9025C" w:rsidR="003C6828" w:rsidRDefault="00E771C7">
      <w:pPr>
        <w:pStyle w:val="RWEFlietext"/>
        <w:jc w:val="both"/>
        <w:rPr>
          <w:rFonts w:ascii="RWE Sans" w:hAnsi="RWE Sans" w:cs="RWE Sans"/>
          <w:lang w:val="en-GB"/>
        </w:rPr>
      </w:pPr>
      <w:r>
        <w:rPr>
          <w:rFonts w:ascii="RWE Sans" w:hAnsi="RWE Sans" w:cs="RWE Sans"/>
          <w:lang w:val="en-GB"/>
        </w:rPr>
        <w:t xml:space="preserve">The States of </w:t>
      </w:r>
      <w:r w:rsidR="00FA0E96">
        <w:rPr>
          <w:rFonts w:ascii="RWE Sans" w:hAnsi="RWE Sans" w:cs="RWE Sans"/>
          <w:lang w:val="en-GB"/>
        </w:rPr>
        <w:t xml:space="preserve">NSW and Victoria </w:t>
      </w:r>
      <w:r>
        <w:rPr>
          <w:rFonts w:ascii="RWE Sans" w:hAnsi="RWE Sans" w:cs="RWE Sans"/>
          <w:lang w:val="en-GB"/>
        </w:rPr>
        <w:t>understand this problem of the lack of alignment of transmission and generation investment timeframes, both passing</w:t>
      </w:r>
      <w:r w:rsidR="00FA0E96">
        <w:rPr>
          <w:rFonts w:ascii="RWE Sans" w:hAnsi="RWE Sans" w:cs="RWE Sans"/>
          <w:lang w:val="en-GB"/>
        </w:rPr>
        <w:t xml:space="preserve"> their own legislation</w:t>
      </w:r>
      <w:r>
        <w:rPr>
          <w:rStyle w:val="FootnoteReference"/>
          <w:rFonts w:ascii="RWE Sans" w:hAnsi="RWE Sans" w:cs="RWE Sans"/>
          <w:lang w:val="en-GB"/>
        </w:rPr>
        <w:footnoteReference w:id="4"/>
      </w:r>
      <w:r w:rsidR="00FA0E96">
        <w:rPr>
          <w:rFonts w:ascii="RWE Sans" w:hAnsi="RWE Sans" w:cs="RWE Sans"/>
          <w:lang w:val="en-GB"/>
        </w:rPr>
        <w:t xml:space="preserve"> to provide a further streamlining of processes to get new transmission or virtual transmission augmentations</w:t>
      </w:r>
      <w:r w:rsidR="0083622A">
        <w:rPr>
          <w:rFonts w:ascii="RWE Sans" w:hAnsi="RWE Sans" w:cs="RWE Sans"/>
          <w:lang w:val="en-GB"/>
        </w:rPr>
        <w:t xml:space="preserve">. </w:t>
      </w:r>
      <w:r w:rsidR="00177814">
        <w:rPr>
          <w:rFonts w:ascii="RWE Sans" w:hAnsi="RWE Sans" w:cs="RWE Sans"/>
          <w:lang w:val="en-GB"/>
        </w:rPr>
        <w:t>We note the Australian Energy Regulator’s ongoing work in this area too</w:t>
      </w:r>
      <w:r w:rsidR="00177814">
        <w:rPr>
          <w:rStyle w:val="FootnoteReference"/>
          <w:rFonts w:ascii="RWE Sans" w:hAnsi="RWE Sans" w:cs="RWE Sans"/>
          <w:lang w:val="en-GB"/>
        </w:rPr>
        <w:footnoteReference w:id="5"/>
      </w:r>
      <w:r w:rsidR="00177814">
        <w:rPr>
          <w:rFonts w:ascii="RWE Sans" w:hAnsi="RWE Sans" w:cs="RWE Sans"/>
          <w:lang w:val="en-GB"/>
        </w:rPr>
        <w:t xml:space="preserve"> and suggest that further streamlining of transmission approval pathways must remain a key part of transmission and access reform.</w:t>
      </w:r>
    </w:p>
    <w:p w14:paraId="3B9C3CD1" w14:textId="473B53AC" w:rsidR="00362297" w:rsidRDefault="00362297">
      <w:pPr>
        <w:pStyle w:val="RWEFlietext"/>
        <w:jc w:val="both"/>
        <w:rPr>
          <w:rFonts w:ascii="RWE Sans" w:hAnsi="RWE Sans" w:cs="RWE Sans"/>
          <w:lang w:val="en-GB"/>
        </w:rPr>
      </w:pPr>
    </w:p>
    <w:p w14:paraId="4A05D9FB" w14:textId="6D8721E9" w:rsidR="00362297" w:rsidRDefault="00362297">
      <w:pPr>
        <w:pStyle w:val="RWEFlietext"/>
        <w:jc w:val="both"/>
        <w:rPr>
          <w:rFonts w:ascii="RWE Sans" w:hAnsi="RWE Sans" w:cs="RWE Sans"/>
          <w:lang w:val="en-GB"/>
        </w:rPr>
      </w:pPr>
      <w:r>
        <w:rPr>
          <w:rFonts w:ascii="RWE Sans" w:hAnsi="RWE Sans" w:cs="RWE Sans"/>
          <w:lang w:val="en-GB"/>
        </w:rPr>
        <w:t>Another model the ESB could investigate is where governments and generators take some up-front risk on transmission</w:t>
      </w:r>
      <w:r w:rsidR="00A11F60">
        <w:rPr>
          <w:rFonts w:ascii="RWE Sans" w:hAnsi="RWE Sans" w:cs="RWE Sans"/>
          <w:lang w:val="en-GB"/>
        </w:rPr>
        <w:t xml:space="preserve"> in the shared network</w:t>
      </w:r>
      <w:r>
        <w:rPr>
          <w:rFonts w:ascii="RWE Sans" w:hAnsi="RWE Sans" w:cs="RWE Sans"/>
          <w:lang w:val="en-GB"/>
        </w:rPr>
        <w:t>, with consumers paying</w:t>
      </w:r>
      <w:r w:rsidR="00735262">
        <w:rPr>
          <w:rFonts w:ascii="RWE Sans" w:hAnsi="RWE Sans" w:cs="RWE Sans"/>
          <w:lang w:val="en-GB"/>
        </w:rPr>
        <w:t xml:space="preserve"> back some portion where net benefit is subsequently proven.</w:t>
      </w:r>
    </w:p>
    <w:p w14:paraId="1D6525BC" w14:textId="49CD18C1" w:rsidR="000E4A17" w:rsidRDefault="000E4A17">
      <w:pPr>
        <w:pStyle w:val="RWEFlietext"/>
        <w:jc w:val="both"/>
        <w:rPr>
          <w:rFonts w:ascii="RWE Sans" w:hAnsi="RWE Sans" w:cs="RWE Sans"/>
          <w:lang w:val="en-GB"/>
        </w:rPr>
      </w:pPr>
    </w:p>
    <w:p w14:paraId="19393D59" w14:textId="11709667" w:rsidR="003C6828" w:rsidRDefault="003C6828" w:rsidP="00DC36DE">
      <w:pPr>
        <w:pStyle w:val="RWEFlietext"/>
        <w:jc w:val="both"/>
        <w:rPr>
          <w:rFonts w:ascii="RWE Sans" w:hAnsi="RWE Sans" w:cs="RWE Sans"/>
          <w:lang w:val="en-GB"/>
        </w:rPr>
      </w:pPr>
    </w:p>
    <w:p w14:paraId="2746B4AD" w14:textId="1A0C16BB" w:rsidR="00A172CB" w:rsidRDefault="00A172CB" w:rsidP="00DC36DE">
      <w:pPr>
        <w:pStyle w:val="RWEFlietext"/>
        <w:jc w:val="both"/>
        <w:rPr>
          <w:rFonts w:ascii="RWE Sans" w:hAnsi="RWE Sans" w:cs="RWE Sans"/>
          <w:lang w:val="en-GB"/>
        </w:rPr>
      </w:pPr>
    </w:p>
    <w:p w14:paraId="5CD0C2F2" w14:textId="77777777" w:rsidR="00A172CB" w:rsidRDefault="00A172CB" w:rsidP="00DC36DE">
      <w:pPr>
        <w:pStyle w:val="RWEFlietext"/>
        <w:jc w:val="both"/>
        <w:rPr>
          <w:rFonts w:ascii="RWE Sans" w:hAnsi="RWE Sans" w:cs="RWE Sans"/>
          <w:lang w:val="en-GB"/>
        </w:rPr>
      </w:pPr>
    </w:p>
    <w:p w14:paraId="43F32E2A" w14:textId="77777777" w:rsidR="003C6828" w:rsidRDefault="00AD2069" w:rsidP="000B137A">
      <w:pPr>
        <w:jc w:val="both"/>
        <w:rPr>
          <w:rFonts w:ascii="RWE Sans" w:hAnsi="RWE Sans" w:cs="RWE Sans"/>
          <w:b/>
          <w:bCs/>
          <w:lang w:val="en-US"/>
        </w:rPr>
      </w:pPr>
      <w:r>
        <w:rPr>
          <w:rFonts w:ascii="RWE Sans" w:hAnsi="RWE Sans" w:cs="RWE Sans"/>
          <w:b/>
          <w:bCs/>
          <w:lang w:val="en-US"/>
        </w:rPr>
        <w:lastRenderedPageBreak/>
        <w:t>The o</w:t>
      </w:r>
      <w:r w:rsidR="003C6828" w:rsidRPr="00AD2069">
        <w:rPr>
          <w:rFonts w:ascii="RWE Sans" w:hAnsi="RWE Sans" w:cs="RWE Sans"/>
          <w:b/>
          <w:bCs/>
          <w:lang w:val="en-US"/>
        </w:rPr>
        <w:t>pen access regime needs to change</w:t>
      </w:r>
    </w:p>
    <w:p w14:paraId="633EC8E3" w14:textId="77777777" w:rsidR="00DF2A86" w:rsidRPr="00AD2069" w:rsidRDefault="00DF2A86" w:rsidP="00DC36DE">
      <w:pPr>
        <w:jc w:val="both"/>
        <w:rPr>
          <w:rFonts w:ascii="RWE Sans" w:hAnsi="RWE Sans" w:cs="RWE Sans"/>
          <w:b/>
          <w:bCs/>
          <w:lang w:val="en-US"/>
        </w:rPr>
      </w:pPr>
    </w:p>
    <w:p w14:paraId="7AAD9F2D" w14:textId="77777777" w:rsidR="003C6828" w:rsidRDefault="00A66350" w:rsidP="00DC36DE">
      <w:pPr>
        <w:jc w:val="both"/>
        <w:rPr>
          <w:rFonts w:ascii="RWE Sans" w:hAnsi="RWE Sans" w:cs="RWE Sans"/>
          <w:lang w:val="en-US"/>
        </w:rPr>
      </w:pPr>
      <w:r>
        <w:rPr>
          <w:rFonts w:ascii="RWE Sans" w:hAnsi="RWE Sans" w:cs="RWE Sans"/>
          <w:lang w:val="en-US"/>
        </w:rPr>
        <w:t xml:space="preserve">Even with </w:t>
      </w:r>
      <w:r w:rsidR="00AD2069">
        <w:rPr>
          <w:rFonts w:ascii="RWE Sans" w:hAnsi="RWE Sans" w:cs="RWE Sans"/>
          <w:lang w:val="en-US"/>
        </w:rPr>
        <w:t>more streamlining of the grid approval process, w</w:t>
      </w:r>
      <w:r w:rsidR="003C6828">
        <w:rPr>
          <w:rFonts w:ascii="RWE Sans" w:hAnsi="RWE Sans" w:cs="RWE Sans"/>
          <w:lang w:val="en-US"/>
        </w:rPr>
        <w:t>ithout some ability to restrict subsequent generators from undermining the grid access of existing assets, the NEM will continue to see grid built out to relieve existing constraints in a reactive manner that is unlikely to be the lowest cost outcome for consumers.</w:t>
      </w:r>
    </w:p>
    <w:p w14:paraId="71C08512" w14:textId="77777777" w:rsidR="007B5B29" w:rsidRDefault="007B5B29" w:rsidP="00DC36DE">
      <w:pPr>
        <w:jc w:val="both"/>
        <w:rPr>
          <w:rFonts w:ascii="RWE Sans" w:hAnsi="RWE Sans" w:cs="RWE Sans"/>
          <w:lang w:val="en-US"/>
        </w:rPr>
      </w:pPr>
    </w:p>
    <w:p w14:paraId="01BDE9F8" w14:textId="77777777" w:rsidR="007B5B29" w:rsidRPr="007B5B29" w:rsidRDefault="007B5B29" w:rsidP="00DC36DE">
      <w:pPr>
        <w:jc w:val="both"/>
        <w:rPr>
          <w:rFonts w:ascii="RWE Sans" w:hAnsi="RWE Sans" w:cs="RWE Sans"/>
          <w:lang w:val="en-US"/>
        </w:rPr>
      </w:pPr>
      <w:r w:rsidRPr="007B5B29">
        <w:rPr>
          <w:rFonts w:ascii="RWE Sans" w:hAnsi="RWE Sans" w:cs="RWE Sans"/>
          <w:lang w:val="en-US"/>
        </w:rPr>
        <w:t>The ESB REZ model recognises th</w:t>
      </w:r>
      <w:r>
        <w:rPr>
          <w:rFonts w:ascii="RWE Sans" w:hAnsi="RWE Sans" w:cs="RWE Sans"/>
          <w:lang w:val="en-US"/>
        </w:rPr>
        <w:t>at we need to move away from the open access regime to a more centrally-planned restricted-access model, still leaving a role for the market to find efficiencies. We support that general intent, although with some modifications described below.</w:t>
      </w:r>
    </w:p>
    <w:p w14:paraId="6DC58E41" w14:textId="77777777" w:rsidR="00D17562" w:rsidRPr="00D17562" w:rsidRDefault="00D17562" w:rsidP="00DC36DE">
      <w:pPr>
        <w:jc w:val="both"/>
        <w:rPr>
          <w:rFonts w:ascii="RWE Sans" w:hAnsi="RWE Sans" w:cs="RWE Sans"/>
          <w:color w:val="000000" w:themeColor="text1"/>
          <w:u w:val="single"/>
          <w:lang w:val="en-US"/>
        </w:rPr>
      </w:pPr>
    </w:p>
    <w:p w14:paraId="4EEF588A" w14:textId="77777777" w:rsidR="00107B1A" w:rsidRDefault="007B5B29" w:rsidP="000B137A">
      <w:pPr>
        <w:jc w:val="both"/>
        <w:rPr>
          <w:rFonts w:ascii="RWE Sans" w:hAnsi="RWE Sans" w:cs="RWE Sans"/>
          <w:b/>
          <w:bCs/>
          <w:color w:val="000000" w:themeColor="text1"/>
          <w:lang w:val="en-US"/>
        </w:rPr>
      </w:pPr>
      <w:r w:rsidRPr="00AD2069">
        <w:rPr>
          <w:rFonts w:ascii="RWE Sans" w:hAnsi="RWE Sans" w:cs="RWE Sans"/>
          <w:b/>
          <w:bCs/>
          <w:color w:val="000000" w:themeColor="text1"/>
          <w:lang w:val="en-US"/>
        </w:rPr>
        <w:t>The ESB REZ model will be limited in application for as long as it doesn’t tackle the shared network grid risks</w:t>
      </w:r>
    </w:p>
    <w:p w14:paraId="4F247987" w14:textId="77777777" w:rsidR="00DF2A86" w:rsidRPr="00AD2069" w:rsidRDefault="00DF2A86" w:rsidP="00DC36DE">
      <w:pPr>
        <w:jc w:val="both"/>
        <w:rPr>
          <w:rFonts w:ascii="RWE Sans" w:hAnsi="RWE Sans" w:cs="RWE Sans"/>
          <w:b/>
          <w:bCs/>
          <w:lang w:val="en-GB"/>
        </w:rPr>
      </w:pPr>
    </w:p>
    <w:p w14:paraId="45571040" w14:textId="563841BC" w:rsidR="00EC6032" w:rsidRDefault="00A450AA" w:rsidP="00DC36DE">
      <w:pPr>
        <w:pStyle w:val="RWEFlietext"/>
        <w:jc w:val="both"/>
        <w:rPr>
          <w:rFonts w:ascii="RWE Sans" w:hAnsi="RWE Sans" w:cs="RWE Sans"/>
          <w:lang w:val="en-GB"/>
        </w:rPr>
      </w:pPr>
      <w:r>
        <w:rPr>
          <w:rFonts w:ascii="RWE Sans" w:hAnsi="RWE Sans" w:cs="RWE Sans"/>
          <w:lang w:val="en-GB"/>
        </w:rPr>
        <w:t>A REZ that connects into any area of the grid that is</w:t>
      </w:r>
      <w:r w:rsidR="00DF2A86">
        <w:rPr>
          <w:rFonts w:ascii="RWE Sans" w:hAnsi="RWE Sans" w:cs="RWE Sans"/>
          <w:lang w:val="en-GB"/>
        </w:rPr>
        <w:t xml:space="preserve"> located</w:t>
      </w:r>
      <w:r>
        <w:rPr>
          <w:rFonts w:ascii="RWE Sans" w:hAnsi="RWE Sans" w:cs="RWE Sans"/>
          <w:lang w:val="en-GB"/>
        </w:rPr>
        <w:t xml:space="preserve"> far from load is likely to see deterioration in loss factors and curtailments over time, given the amount of generation that is needed to connect over the next 20-30 years to replace the retiring coal fleet.</w:t>
      </w:r>
      <w:r w:rsidR="00A23F01">
        <w:rPr>
          <w:rFonts w:ascii="RWE Sans" w:hAnsi="RWE Sans" w:cs="RWE Sans"/>
          <w:lang w:val="en-GB"/>
        </w:rPr>
        <w:t xml:space="preserve"> We have seen modelling of MLF and curtailment impacts for</w:t>
      </w:r>
      <w:r w:rsidR="00EC6032">
        <w:rPr>
          <w:rFonts w:ascii="RWE Sans" w:hAnsi="RWE Sans" w:cs="RWE Sans"/>
          <w:lang w:val="en-GB"/>
        </w:rPr>
        <w:t xml:space="preserve"> a</w:t>
      </w:r>
      <w:r w:rsidR="00A23F01">
        <w:rPr>
          <w:rFonts w:ascii="RWE Sans" w:hAnsi="RWE Sans" w:cs="RWE Sans"/>
          <w:lang w:val="en-GB"/>
        </w:rPr>
        <w:t xml:space="preserve"> project</w:t>
      </w:r>
      <w:r w:rsidR="00EC6032">
        <w:rPr>
          <w:rFonts w:ascii="RWE Sans" w:hAnsi="RWE Sans" w:cs="RWE Sans"/>
          <w:lang w:val="en-GB"/>
        </w:rPr>
        <w:t xml:space="preserve"> connecting into </w:t>
      </w:r>
      <w:r w:rsidR="00A23F01">
        <w:rPr>
          <w:rFonts w:ascii="RWE Sans" w:hAnsi="RWE Sans" w:cs="RWE Sans"/>
          <w:lang w:val="en-GB"/>
        </w:rPr>
        <w:t xml:space="preserve">a </w:t>
      </w:r>
      <w:r w:rsidR="00EC6032">
        <w:rPr>
          <w:rFonts w:ascii="RWE Sans" w:hAnsi="RWE Sans" w:cs="RWE Sans"/>
          <w:lang w:val="en-GB"/>
        </w:rPr>
        <w:t xml:space="preserve">proposed </w:t>
      </w:r>
      <w:r w:rsidR="00A23F01">
        <w:rPr>
          <w:rFonts w:ascii="RWE Sans" w:hAnsi="RWE Sans" w:cs="RWE Sans"/>
          <w:lang w:val="en-GB"/>
        </w:rPr>
        <w:t>REZ</w:t>
      </w:r>
      <w:r w:rsidR="00EC6032">
        <w:rPr>
          <w:rFonts w:ascii="RWE Sans" w:hAnsi="RWE Sans" w:cs="RWE Sans"/>
          <w:lang w:val="en-GB"/>
        </w:rPr>
        <w:t xml:space="preserve">. Despite an assumption of no curtailments within the REZ, and despite the REZ </w:t>
      </w:r>
      <w:r w:rsidR="00A23F01">
        <w:rPr>
          <w:rFonts w:ascii="RWE Sans" w:hAnsi="RWE Sans" w:cs="RWE Sans"/>
          <w:lang w:val="en-GB"/>
        </w:rPr>
        <w:t xml:space="preserve">connecting into a relatively strong </w:t>
      </w:r>
      <w:r w:rsidR="00DF2A86">
        <w:rPr>
          <w:rFonts w:ascii="RWE Sans" w:hAnsi="RWE Sans" w:cs="RWE Sans"/>
          <w:lang w:val="en-GB"/>
        </w:rPr>
        <w:t xml:space="preserve"> </w:t>
      </w:r>
      <w:r w:rsidR="00A23F01">
        <w:rPr>
          <w:rFonts w:ascii="RWE Sans" w:hAnsi="RWE Sans" w:cs="RWE Sans"/>
          <w:lang w:val="en-GB"/>
        </w:rPr>
        <w:t>backbone of the shared network</w:t>
      </w:r>
      <w:r w:rsidR="00EC6032">
        <w:rPr>
          <w:rFonts w:ascii="RWE Sans" w:hAnsi="RWE Sans" w:cs="RWE Sans"/>
          <w:lang w:val="en-GB"/>
        </w:rPr>
        <w:t>, the MLF and curtailment figures forecast for project life deteriorated significantly enough to make the project uneconomic.</w:t>
      </w:r>
    </w:p>
    <w:p w14:paraId="381749C8" w14:textId="77777777" w:rsidR="00AD2069" w:rsidRDefault="00AD2069" w:rsidP="00DC36DE">
      <w:pPr>
        <w:pStyle w:val="RWEFlietext"/>
        <w:jc w:val="both"/>
        <w:rPr>
          <w:rFonts w:ascii="RWE Sans" w:hAnsi="RWE Sans" w:cs="RWE Sans"/>
          <w:lang w:val="en-GB"/>
        </w:rPr>
      </w:pPr>
    </w:p>
    <w:p w14:paraId="70765206" w14:textId="46A0D9B5" w:rsidR="00A450AA" w:rsidRDefault="00EC6032" w:rsidP="00DC36DE">
      <w:pPr>
        <w:pStyle w:val="RWEFlietext"/>
        <w:jc w:val="both"/>
        <w:rPr>
          <w:rFonts w:ascii="RWE Sans" w:hAnsi="RWE Sans" w:cs="RWE Sans"/>
          <w:lang w:val="en-GB"/>
        </w:rPr>
      </w:pPr>
      <w:r>
        <w:rPr>
          <w:rFonts w:ascii="RWE Sans" w:hAnsi="RWE Sans" w:cs="RWE Sans"/>
          <w:lang w:val="en-GB"/>
        </w:rPr>
        <w:t xml:space="preserve">There may be some project developers, particularly those </w:t>
      </w:r>
      <w:r w:rsidR="00A723D6">
        <w:rPr>
          <w:rFonts w:ascii="RWE Sans" w:hAnsi="RWE Sans" w:cs="RWE Sans"/>
          <w:lang w:val="en-GB"/>
        </w:rPr>
        <w:t>that intend to sell prior to construction</w:t>
      </w:r>
      <w:r>
        <w:rPr>
          <w:rFonts w:ascii="RWE Sans" w:hAnsi="RWE Sans" w:cs="RWE Sans"/>
          <w:lang w:val="en-GB"/>
        </w:rPr>
        <w:t xml:space="preserve">, who are prepared to </w:t>
      </w:r>
      <w:r w:rsidR="00A723D6">
        <w:rPr>
          <w:rFonts w:ascii="RWE Sans" w:hAnsi="RWE Sans" w:cs="RWE Sans"/>
          <w:lang w:val="en-GB"/>
        </w:rPr>
        <w:t>take on more of the MLF and curtailment risk</w:t>
      </w:r>
      <w:r>
        <w:rPr>
          <w:rFonts w:ascii="RWE Sans" w:hAnsi="RWE Sans" w:cs="RWE Sans"/>
          <w:lang w:val="en-GB"/>
        </w:rPr>
        <w:t xml:space="preserve"> </w:t>
      </w:r>
      <w:r w:rsidR="00A723D6">
        <w:rPr>
          <w:rFonts w:ascii="RWE Sans" w:hAnsi="RWE Sans" w:cs="RWE Sans"/>
          <w:lang w:val="en-GB"/>
        </w:rPr>
        <w:t xml:space="preserve">when bidding for capacity, </w:t>
      </w:r>
      <w:r w:rsidR="00DF2A86">
        <w:rPr>
          <w:rFonts w:ascii="RWE Sans" w:hAnsi="RWE Sans" w:cs="RWE Sans"/>
          <w:lang w:val="en-GB"/>
        </w:rPr>
        <w:t xml:space="preserve">believing the risk in relation to MLF and curtailment </w:t>
      </w:r>
      <w:r w:rsidR="009455B0">
        <w:rPr>
          <w:rFonts w:ascii="RWE Sans" w:hAnsi="RWE Sans" w:cs="RWE Sans"/>
          <w:lang w:val="en-GB"/>
        </w:rPr>
        <w:t>lies with</w:t>
      </w:r>
      <w:r w:rsidR="00DF2A86">
        <w:rPr>
          <w:rFonts w:ascii="RWE Sans" w:hAnsi="RWE Sans" w:cs="RWE Sans"/>
          <w:lang w:val="en-GB"/>
        </w:rPr>
        <w:t xml:space="preserve"> the final owner/investor</w:t>
      </w:r>
      <w:r w:rsidR="00A723D6">
        <w:rPr>
          <w:rFonts w:ascii="RWE Sans" w:hAnsi="RWE Sans" w:cs="RWE Sans"/>
          <w:lang w:val="en-GB"/>
        </w:rPr>
        <w:t xml:space="preserve"> if the central forecasts ultimately play out. That will either mean those projects win capacity at auction but never get built because they cannot find debt or equity financiers, meaning more capacity needs to be sourced from the market to fill the REZ’s potential, and meaning delays in the generator contributions to reduced TUOS for customers. Or</w:t>
      </w:r>
      <w:r w:rsidR="00DF2A86">
        <w:rPr>
          <w:rFonts w:ascii="RWE Sans" w:hAnsi="RWE Sans" w:cs="RWE Sans"/>
          <w:lang w:val="en-GB"/>
        </w:rPr>
        <w:t>,</w:t>
      </w:r>
      <w:r w:rsidR="00A723D6">
        <w:rPr>
          <w:rFonts w:ascii="RWE Sans" w:hAnsi="RWE Sans" w:cs="RWE Sans"/>
          <w:lang w:val="en-GB"/>
        </w:rPr>
        <w:t xml:space="preserve"> it will mean </w:t>
      </w:r>
      <w:r w:rsidR="00B64392">
        <w:rPr>
          <w:rFonts w:ascii="RWE Sans" w:hAnsi="RWE Sans" w:cs="RWE Sans"/>
          <w:lang w:val="en-GB"/>
        </w:rPr>
        <w:t>more injudicious generation investors entering the market, subsequently facing revenue impacts they did not take into account, and then putting pressure on policymakers</w:t>
      </w:r>
      <w:r w:rsidR="007B5B29">
        <w:rPr>
          <w:rFonts w:ascii="RWE Sans" w:hAnsi="RWE Sans" w:cs="RWE Sans"/>
          <w:lang w:val="en-GB"/>
        </w:rPr>
        <w:t xml:space="preserve"> and TNSPs</w:t>
      </w:r>
      <w:r w:rsidR="00B64392">
        <w:rPr>
          <w:rFonts w:ascii="RWE Sans" w:hAnsi="RWE Sans" w:cs="RWE Sans"/>
          <w:lang w:val="en-GB"/>
        </w:rPr>
        <w:t xml:space="preserve"> to build out the constraints that central forecasts had always predicted. And if the constraints are built out, customers</w:t>
      </w:r>
      <w:r w:rsidR="007D6164">
        <w:rPr>
          <w:rFonts w:ascii="RWE Sans" w:hAnsi="RWE Sans" w:cs="RWE Sans"/>
          <w:lang w:val="en-GB"/>
        </w:rPr>
        <w:t xml:space="preserve"> </w:t>
      </w:r>
      <w:r w:rsidR="00AD2069">
        <w:rPr>
          <w:rFonts w:ascii="RWE Sans" w:hAnsi="RWE Sans" w:cs="RWE Sans"/>
          <w:lang w:val="en-GB"/>
        </w:rPr>
        <w:t>and/</w:t>
      </w:r>
      <w:r w:rsidR="007D6164">
        <w:rPr>
          <w:rFonts w:ascii="RWE Sans" w:hAnsi="RWE Sans" w:cs="RWE Sans"/>
          <w:lang w:val="en-GB"/>
        </w:rPr>
        <w:t>or taxpayers</w:t>
      </w:r>
      <w:r w:rsidR="00B64392">
        <w:rPr>
          <w:rFonts w:ascii="RWE Sans" w:hAnsi="RWE Sans" w:cs="RWE Sans"/>
          <w:lang w:val="en-GB"/>
        </w:rPr>
        <w:t xml:space="preserve"> will foot the entire bill.</w:t>
      </w:r>
    </w:p>
    <w:p w14:paraId="06359E41" w14:textId="77777777" w:rsidR="004A4F66" w:rsidRDefault="004A4F66" w:rsidP="00DC36DE">
      <w:pPr>
        <w:pStyle w:val="RWEFlietext"/>
        <w:jc w:val="both"/>
        <w:rPr>
          <w:rFonts w:ascii="RWE Sans" w:hAnsi="RWE Sans" w:cs="RWE Sans"/>
          <w:lang w:val="en-GB"/>
        </w:rPr>
      </w:pPr>
    </w:p>
    <w:p w14:paraId="155C6BC5" w14:textId="648CE525" w:rsidR="00AA3EA0" w:rsidRPr="00DC36DE" w:rsidRDefault="00AA3EA0">
      <w:pPr>
        <w:pStyle w:val="RWEFlietext"/>
        <w:jc w:val="both"/>
        <w:rPr>
          <w:rFonts w:ascii="RWE Sans" w:hAnsi="RWE Sans" w:cs="RWE Sans"/>
          <w:b/>
          <w:bCs/>
          <w:lang w:val="en-GB"/>
        </w:rPr>
      </w:pPr>
      <w:r>
        <w:rPr>
          <w:rFonts w:ascii="RWE Sans" w:hAnsi="RWE Sans" w:cs="RWE Sans"/>
          <w:b/>
          <w:bCs/>
          <w:lang w:val="en-GB"/>
        </w:rPr>
        <w:t>Cheaper and faster connections would be welcome, but it cannot be taken for granted under a REZ model</w:t>
      </w:r>
    </w:p>
    <w:p w14:paraId="5EB5B47C" w14:textId="0496FDF4" w:rsidR="00CE78FE" w:rsidRDefault="00AD2069">
      <w:pPr>
        <w:pStyle w:val="RWEFlietext"/>
        <w:jc w:val="both"/>
        <w:rPr>
          <w:rFonts w:ascii="RWE Sans" w:hAnsi="RWE Sans" w:cs="RWE Sans"/>
          <w:lang w:val="en-GB"/>
        </w:rPr>
      </w:pPr>
      <w:r>
        <w:rPr>
          <w:rFonts w:ascii="RWE Sans" w:hAnsi="RWE Sans" w:cs="RWE Sans"/>
          <w:lang w:val="en-GB"/>
        </w:rPr>
        <w:t>The other benefit that the ESB hopes to eventuate from its REZ model -</w:t>
      </w:r>
      <w:r w:rsidR="004A4F66">
        <w:rPr>
          <w:rFonts w:ascii="RWE Sans" w:hAnsi="RWE Sans" w:cs="RWE Sans"/>
          <w:lang w:val="en-GB"/>
        </w:rPr>
        <w:t xml:space="preserve"> cheaper, faster connections – is,</w:t>
      </w:r>
      <w:r>
        <w:rPr>
          <w:rFonts w:ascii="RWE Sans" w:hAnsi="RWE Sans" w:cs="RWE Sans"/>
          <w:lang w:val="en-GB"/>
        </w:rPr>
        <w:t xml:space="preserve"> in our view, </w:t>
      </w:r>
      <w:r w:rsidR="004A4F66">
        <w:rPr>
          <w:rFonts w:ascii="RWE Sans" w:hAnsi="RWE Sans" w:cs="RWE Sans"/>
          <w:lang w:val="en-GB"/>
        </w:rPr>
        <w:t xml:space="preserve">insufficiently proven </w:t>
      </w:r>
      <w:r w:rsidR="00AA3EA0">
        <w:rPr>
          <w:rFonts w:ascii="RWE Sans" w:hAnsi="RWE Sans" w:cs="RWE Sans"/>
          <w:lang w:val="en-GB"/>
        </w:rPr>
        <w:t xml:space="preserve">at this point </w:t>
      </w:r>
      <w:r w:rsidR="004A4F66">
        <w:rPr>
          <w:rFonts w:ascii="RWE Sans" w:hAnsi="RWE Sans" w:cs="RWE Sans"/>
          <w:lang w:val="en-GB"/>
        </w:rPr>
        <w:t xml:space="preserve">to justify implementation of the model. Generator </w:t>
      </w:r>
      <w:r w:rsidR="00867DE4">
        <w:rPr>
          <w:rFonts w:ascii="RWE Sans" w:hAnsi="RWE Sans" w:cs="RWE Sans"/>
          <w:lang w:val="en-GB"/>
        </w:rPr>
        <w:t>Performance S</w:t>
      </w:r>
      <w:r w:rsidR="004A4F66">
        <w:rPr>
          <w:rFonts w:ascii="RWE Sans" w:hAnsi="RWE Sans" w:cs="RWE Sans"/>
          <w:lang w:val="en-GB"/>
        </w:rPr>
        <w:t>tandards</w:t>
      </w:r>
      <w:r w:rsidR="00867DE4">
        <w:rPr>
          <w:rFonts w:ascii="RWE Sans" w:hAnsi="RWE Sans" w:cs="RWE Sans"/>
          <w:lang w:val="en-GB"/>
        </w:rPr>
        <w:t xml:space="preserve"> (GPS)</w:t>
      </w:r>
      <w:r w:rsidR="004A4F66">
        <w:rPr>
          <w:rFonts w:ascii="RWE Sans" w:hAnsi="RWE Sans" w:cs="RWE Sans"/>
          <w:lang w:val="en-GB"/>
        </w:rPr>
        <w:t xml:space="preserve"> will not be any weaker under a REZ model, and each plant will still need to ensure compliance with their GPS through commissioning and operation. </w:t>
      </w:r>
      <w:r w:rsidR="00CE78FE" w:rsidRPr="00CE78FE">
        <w:rPr>
          <w:rFonts w:ascii="RWE Sans" w:hAnsi="RWE Sans" w:cs="RWE Sans"/>
          <w:lang w:val="en-GB"/>
        </w:rPr>
        <w:t xml:space="preserve"> </w:t>
      </w:r>
      <w:r w:rsidR="00CE78FE">
        <w:rPr>
          <w:rFonts w:ascii="RWE Sans" w:hAnsi="RWE Sans" w:cs="RWE Sans"/>
          <w:lang w:val="en-GB"/>
        </w:rPr>
        <w:t xml:space="preserve">As we understand it, many of the connection delays faced by proponents to date have been caused by changes in proponents’ own designs between application and registration and there is nothing to say that practice will not continue with REZs. </w:t>
      </w:r>
      <w:r w:rsidR="004A4F66">
        <w:rPr>
          <w:rFonts w:ascii="RWE Sans" w:hAnsi="RWE Sans" w:cs="RWE Sans"/>
          <w:lang w:val="en-GB"/>
        </w:rPr>
        <w:t xml:space="preserve">If anything, the unprecedented amount of variable renewable generation </w:t>
      </w:r>
      <w:r w:rsidR="004A4F66">
        <w:rPr>
          <w:rFonts w:ascii="RWE Sans" w:hAnsi="RWE Sans" w:cs="RWE Sans"/>
          <w:lang w:val="en-GB"/>
        </w:rPr>
        <w:lastRenderedPageBreak/>
        <w:t>concentrated within a REZ (and likely far from load), could present new difficulties for the connections process.</w:t>
      </w:r>
    </w:p>
    <w:p w14:paraId="6F0216D1" w14:textId="77777777" w:rsidR="00CE78FE" w:rsidRDefault="00CE78FE">
      <w:pPr>
        <w:pStyle w:val="RWEFlietext"/>
        <w:jc w:val="both"/>
        <w:rPr>
          <w:rFonts w:ascii="RWE Sans" w:hAnsi="RWE Sans" w:cs="RWE Sans"/>
          <w:lang w:val="en-GB"/>
        </w:rPr>
      </w:pPr>
    </w:p>
    <w:p w14:paraId="5204D0A5" w14:textId="0A8384CE" w:rsidR="004A4F66" w:rsidRDefault="004A4F66" w:rsidP="00DC36DE">
      <w:pPr>
        <w:pStyle w:val="RWEFlietext"/>
        <w:jc w:val="both"/>
        <w:rPr>
          <w:rFonts w:ascii="RWE Sans" w:hAnsi="RWE Sans" w:cs="RWE Sans"/>
          <w:lang w:val="en-GB"/>
        </w:rPr>
      </w:pPr>
      <w:r>
        <w:rPr>
          <w:rFonts w:ascii="RWE Sans" w:hAnsi="RWE Sans" w:cs="RWE Sans"/>
          <w:lang w:val="en-GB"/>
        </w:rPr>
        <w:t xml:space="preserve">While </w:t>
      </w:r>
      <w:r w:rsidR="00CE78FE">
        <w:rPr>
          <w:rFonts w:ascii="RWE Sans" w:hAnsi="RWE Sans" w:cs="RWE Sans"/>
          <w:lang w:val="en-GB"/>
        </w:rPr>
        <w:t>we</w:t>
      </w:r>
      <w:r>
        <w:rPr>
          <w:rFonts w:ascii="RWE Sans" w:hAnsi="RWE Sans" w:cs="RWE Sans"/>
          <w:lang w:val="en-GB"/>
        </w:rPr>
        <w:t xml:space="preserve"> welcome the ambition to improve the connections process, and in theory economies of scale in a REZ may result in cheaper solutions for grid stability, the </w:t>
      </w:r>
      <w:r w:rsidR="00A0635D">
        <w:rPr>
          <w:rFonts w:ascii="RWE Sans" w:hAnsi="RWE Sans" w:cs="RWE Sans"/>
          <w:lang w:val="en-GB"/>
        </w:rPr>
        <w:t>efficiencies</w:t>
      </w:r>
      <w:r>
        <w:rPr>
          <w:rFonts w:ascii="RWE Sans" w:hAnsi="RWE Sans" w:cs="RWE Sans"/>
          <w:lang w:val="en-GB"/>
        </w:rPr>
        <w:t xml:space="preserve"> are unproven</w:t>
      </w:r>
      <w:r w:rsidR="00AA3EA0">
        <w:rPr>
          <w:rFonts w:ascii="RWE Sans" w:hAnsi="RWE Sans" w:cs="RWE Sans"/>
          <w:lang w:val="en-GB"/>
        </w:rPr>
        <w:t xml:space="preserve"> and should not be taken for granted</w:t>
      </w:r>
      <w:r w:rsidR="00A0635D">
        <w:rPr>
          <w:rFonts w:ascii="RWE Sans" w:hAnsi="RWE Sans" w:cs="RWE Sans"/>
          <w:lang w:val="en-GB"/>
        </w:rPr>
        <w:t xml:space="preserve">. </w:t>
      </w:r>
      <w:r w:rsidR="00CE78FE">
        <w:rPr>
          <w:rFonts w:ascii="RWE Sans" w:hAnsi="RWE Sans" w:cs="RWE Sans"/>
          <w:lang w:val="en-GB"/>
        </w:rPr>
        <w:t xml:space="preserve">Consideration should be given to the Transgrid rule change request centralising the procurement of system strength in lieu of the current “do no harm” system strength requirements on generators. Assuming that rule change is approved (as we and much of the CEC and CEIG membership hope it will be), the zoning of system strength needs to align with REZ geographies. </w:t>
      </w:r>
      <w:r w:rsidR="007952B2">
        <w:rPr>
          <w:rFonts w:ascii="RWE Sans" w:hAnsi="RWE Sans" w:cs="RWE Sans"/>
          <w:lang w:val="en-GB"/>
        </w:rPr>
        <w:t xml:space="preserve">Other assumed </w:t>
      </w:r>
      <w:r w:rsidR="00CE78FE">
        <w:rPr>
          <w:rFonts w:ascii="RWE Sans" w:hAnsi="RWE Sans" w:cs="RWE Sans"/>
          <w:lang w:val="en-GB"/>
        </w:rPr>
        <w:t xml:space="preserve"> improved efficiencies in grid connection</w:t>
      </w:r>
      <w:r w:rsidR="007952B2">
        <w:rPr>
          <w:rFonts w:ascii="RWE Sans" w:hAnsi="RWE Sans" w:cs="RWE Sans"/>
          <w:lang w:val="en-GB"/>
        </w:rPr>
        <w:t xml:space="preserve"> within REZs will only eventuate if there are clear obligations in the rules on the respective parties that can best manage the risk at each stage of the connection process. </w:t>
      </w:r>
    </w:p>
    <w:p w14:paraId="1DC52A27" w14:textId="77777777" w:rsidR="007B5B29" w:rsidRDefault="007B5B29" w:rsidP="00DC36DE">
      <w:pPr>
        <w:pStyle w:val="RWEFlietext"/>
        <w:jc w:val="both"/>
        <w:rPr>
          <w:rFonts w:ascii="RWE Sans" w:hAnsi="RWE Sans" w:cs="RWE Sans"/>
          <w:lang w:val="en-GB"/>
        </w:rPr>
      </w:pPr>
    </w:p>
    <w:p w14:paraId="2FEED656" w14:textId="77777777" w:rsidR="007B5B29" w:rsidRDefault="00D17562" w:rsidP="000B137A">
      <w:pPr>
        <w:pStyle w:val="RWEFlietext"/>
        <w:jc w:val="both"/>
        <w:rPr>
          <w:rFonts w:ascii="RWE Sans" w:hAnsi="RWE Sans" w:cs="RWE Sans"/>
          <w:b/>
          <w:bCs/>
          <w:lang w:val="en-GB"/>
        </w:rPr>
      </w:pPr>
      <w:r w:rsidRPr="00AD2069">
        <w:rPr>
          <w:rFonts w:ascii="RWE Sans" w:hAnsi="RWE Sans" w:cs="RWE Sans"/>
          <w:b/>
          <w:bCs/>
          <w:lang w:val="en-GB"/>
        </w:rPr>
        <w:t xml:space="preserve">Generators are prepared to pay more transmission costs upfront to lower their risk profile </w:t>
      </w:r>
    </w:p>
    <w:p w14:paraId="78A1759C" w14:textId="77777777" w:rsidR="00DF2A86" w:rsidRPr="00AD2069" w:rsidRDefault="00DF2A86" w:rsidP="00DC36DE">
      <w:pPr>
        <w:pStyle w:val="RWEFlietext"/>
        <w:jc w:val="both"/>
        <w:rPr>
          <w:rFonts w:ascii="RWE Sans" w:hAnsi="RWE Sans" w:cs="RWE Sans"/>
          <w:b/>
          <w:bCs/>
          <w:lang w:val="en-GB"/>
        </w:rPr>
      </w:pPr>
    </w:p>
    <w:p w14:paraId="6529CFBD" w14:textId="77777777" w:rsidR="007D6164" w:rsidRDefault="002156F7" w:rsidP="00DC36DE">
      <w:pPr>
        <w:pStyle w:val="RWEFlietext"/>
        <w:jc w:val="both"/>
        <w:rPr>
          <w:rFonts w:ascii="RWE Sans" w:hAnsi="RWE Sans" w:cs="RWE Sans"/>
          <w:lang w:val="en-US"/>
        </w:rPr>
      </w:pPr>
      <w:r>
        <w:rPr>
          <w:rFonts w:ascii="RWE Sans" w:hAnsi="RWE Sans" w:cs="RWE Sans"/>
          <w:lang w:val="en-US"/>
        </w:rPr>
        <w:t xml:space="preserve">An </w:t>
      </w:r>
      <w:r w:rsidR="007D6164">
        <w:rPr>
          <w:rFonts w:ascii="RWE Sans" w:hAnsi="RWE Sans" w:cs="RWE Sans"/>
          <w:lang w:val="en-US"/>
        </w:rPr>
        <w:t xml:space="preserve">access policy that kept foundation REZ investors protected from the majority of subsequent generators </w:t>
      </w:r>
      <w:r>
        <w:rPr>
          <w:rFonts w:ascii="RWE Sans" w:hAnsi="RWE Sans" w:cs="RWE Sans"/>
          <w:lang w:val="en-US"/>
        </w:rPr>
        <w:t xml:space="preserve">that would otherwise impact REZ investments, would incentivize </w:t>
      </w:r>
      <w:r w:rsidR="007D6164">
        <w:rPr>
          <w:rFonts w:ascii="RWE Sans" w:hAnsi="RWE Sans" w:cs="RWE Sans"/>
          <w:lang w:val="en-US"/>
        </w:rPr>
        <w:t>gener</w:t>
      </w:r>
      <w:r>
        <w:rPr>
          <w:rFonts w:ascii="RWE Sans" w:hAnsi="RWE Sans" w:cs="RWE Sans"/>
          <w:lang w:val="en-US"/>
        </w:rPr>
        <w:t xml:space="preserve">ators </w:t>
      </w:r>
      <w:r w:rsidR="007D6164">
        <w:rPr>
          <w:rFonts w:ascii="RWE Sans" w:hAnsi="RWE Sans" w:cs="RWE Sans"/>
          <w:lang w:val="en-US"/>
        </w:rPr>
        <w:t xml:space="preserve">to locate within a REZ </w:t>
      </w:r>
      <w:r>
        <w:rPr>
          <w:rFonts w:ascii="RWE Sans" w:hAnsi="RWE Sans" w:cs="RWE Sans"/>
          <w:lang w:val="en-US"/>
        </w:rPr>
        <w:t xml:space="preserve">rather than </w:t>
      </w:r>
      <w:r w:rsidR="007D6164">
        <w:rPr>
          <w:rFonts w:ascii="RWE Sans" w:hAnsi="RWE Sans" w:cs="RWE Sans"/>
          <w:lang w:val="en-US"/>
        </w:rPr>
        <w:t>the shared network</w:t>
      </w:r>
      <w:r>
        <w:rPr>
          <w:rFonts w:ascii="RWE Sans" w:hAnsi="RWE Sans" w:cs="RWE Sans"/>
          <w:lang w:val="en-US"/>
        </w:rPr>
        <w:t xml:space="preserve">. </w:t>
      </w:r>
    </w:p>
    <w:p w14:paraId="10137F6C" w14:textId="77777777" w:rsidR="00A0635D" w:rsidRPr="007D6164" w:rsidRDefault="00A0635D" w:rsidP="00DC36DE">
      <w:pPr>
        <w:pStyle w:val="RWEFlietext"/>
        <w:jc w:val="both"/>
        <w:rPr>
          <w:rFonts w:ascii="RWE Sans" w:hAnsi="RWE Sans" w:cs="RWE Sans"/>
          <w:lang w:val="en-GB"/>
        </w:rPr>
      </w:pPr>
    </w:p>
    <w:p w14:paraId="570C0C14" w14:textId="728A8988" w:rsidR="002156F7" w:rsidRDefault="002156F7" w:rsidP="00DC36DE">
      <w:pPr>
        <w:pStyle w:val="RWEFlietext"/>
        <w:jc w:val="both"/>
        <w:rPr>
          <w:rFonts w:ascii="RWE Sans" w:hAnsi="RWE Sans" w:cs="RWE Sans"/>
          <w:lang w:val="en-US"/>
        </w:rPr>
      </w:pPr>
      <w:r w:rsidRPr="007D6164">
        <w:rPr>
          <w:rFonts w:ascii="RWE Sans" w:hAnsi="RWE Sans" w:cs="RWE Sans"/>
          <w:lang w:val="en-US"/>
        </w:rPr>
        <w:t>The greater the safeguards provided around grid capacity and stability between the REZ and major load centres, th</w:t>
      </w:r>
      <w:r>
        <w:rPr>
          <w:rFonts w:ascii="RWE Sans" w:hAnsi="RWE Sans" w:cs="RWE Sans"/>
          <w:lang w:val="en-US"/>
        </w:rPr>
        <w:t xml:space="preserve">e </w:t>
      </w:r>
      <w:r w:rsidR="007B491A">
        <w:rPr>
          <w:rFonts w:ascii="RWE Sans" w:hAnsi="RWE Sans" w:cs="RWE Sans"/>
          <w:lang w:val="en-US"/>
        </w:rPr>
        <w:t>deeper the</w:t>
      </w:r>
      <w:r>
        <w:rPr>
          <w:rFonts w:ascii="RWE Sans" w:hAnsi="RWE Sans" w:cs="RWE Sans"/>
          <w:lang w:val="en-US"/>
        </w:rPr>
        <w:t xml:space="preserve"> pool</w:t>
      </w:r>
      <w:r w:rsidR="007B491A">
        <w:rPr>
          <w:rFonts w:ascii="RWE Sans" w:hAnsi="RWE Sans" w:cs="RWE Sans"/>
          <w:lang w:val="en-US"/>
        </w:rPr>
        <w:t xml:space="preserve"> of investors</w:t>
      </w:r>
      <w:r>
        <w:rPr>
          <w:rFonts w:ascii="RWE Sans" w:hAnsi="RWE Sans" w:cs="RWE Sans"/>
          <w:lang w:val="en-US"/>
        </w:rPr>
        <w:t xml:space="preserve"> would be</w:t>
      </w:r>
      <w:r w:rsidR="009455B0">
        <w:rPr>
          <w:rFonts w:ascii="RWE Sans" w:hAnsi="RWE Sans" w:cs="RWE Sans"/>
          <w:lang w:val="en-US"/>
        </w:rPr>
        <w:t>,</w:t>
      </w:r>
      <w:r>
        <w:rPr>
          <w:rFonts w:ascii="RWE Sans" w:hAnsi="RWE Sans" w:cs="RWE Sans"/>
          <w:lang w:val="en-US"/>
        </w:rPr>
        <w:t xml:space="preserve"> and the more easily the REZ transmission capacity would be filled to its potential. The increased competition would also increase</w:t>
      </w:r>
      <w:r w:rsidRPr="007D6164">
        <w:rPr>
          <w:rFonts w:ascii="RWE Sans" w:hAnsi="RWE Sans" w:cs="RWE Sans"/>
          <w:lang w:val="en-US"/>
        </w:rPr>
        <w:t xml:space="preserve"> </w:t>
      </w:r>
      <w:r w:rsidR="007B491A">
        <w:rPr>
          <w:rFonts w:ascii="RWE Sans" w:hAnsi="RWE Sans" w:cs="RWE Sans"/>
          <w:lang w:val="en-US"/>
        </w:rPr>
        <w:t>the</w:t>
      </w:r>
      <w:r>
        <w:rPr>
          <w:rFonts w:ascii="RWE Sans" w:hAnsi="RWE Sans" w:cs="RWE Sans"/>
          <w:lang w:val="en-US"/>
        </w:rPr>
        <w:t xml:space="preserve"> REZ</w:t>
      </w:r>
      <w:r w:rsidRPr="007D6164">
        <w:rPr>
          <w:rFonts w:ascii="RWE Sans" w:hAnsi="RWE Sans" w:cs="RWE Sans"/>
          <w:lang w:val="en-US"/>
        </w:rPr>
        <w:t xml:space="preserve"> auction revenue, as investors bid higher with a lower risk profile.</w:t>
      </w:r>
    </w:p>
    <w:p w14:paraId="04383DCD" w14:textId="77777777" w:rsidR="007D6164" w:rsidRDefault="007D6164" w:rsidP="00DC36DE">
      <w:pPr>
        <w:pStyle w:val="RWEFlietext"/>
        <w:jc w:val="both"/>
        <w:rPr>
          <w:rFonts w:ascii="RWE Sans" w:hAnsi="RWE Sans" w:cs="RWE Sans"/>
          <w:lang w:val="en-US"/>
        </w:rPr>
      </w:pPr>
    </w:p>
    <w:p w14:paraId="7CA78F7A" w14:textId="40546BB0" w:rsidR="007B491A" w:rsidRDefault="007B491A" w:rsidP="000B137A">
      <w:pPr>
        <w:pStyle w:val="RWEFlietext"/>
        <w:jc w:val="both"/>
        <w:rPr>
          <w:rFonts w:ascii="RWE Sans" w:hAnsi="RWE Sans" w:cs="RWE Sans"/>
          <w:b/>
          <w:bCs/>
          <w:lang w:val="en-US"/>
        </w:rPr>
      </w:pPr>
      <w:r w:rsidRPr="00AD2069">
        <w:rPr>
          <w:rFonts w:ascii="RWE Sans" w:hAnsi="RWE Sans" w:cs="RWE Sans"/>
          <w:b/>
          <w:bCs/>
          <w:lang w:val="en-US"/>
        </w:rPr>
        <w:t xml:space="preserve">There are options to explore </w:t>
      </w:r>
      <w:r w:rsidR="00AD2069">
        <w:rPr>
          <w:rFonts w:ascii="RWE Sans" w:hAnsi="RWE Sans" w:cs="RWE Sans"/>
          <w:b/>
          <w:bCs/>
          <w:lang w:val="en-US"/>
        </w:rPr>
        <w:t>which would</w:t>
      </w:r>
      <w:r w:rsidRPr="00AD2069">
        <w:rPr>
          <w:rFonts w:ascii="RWE Sans" w:hAnsi="RWE Sans" w:cs="RWE Sans"/>
          <w:b/>
          <w:bCs/>
          <w:lang w:val="en-US"/>
        </w:rPr>
        <w:t xml:space="preserve"> increase REZ investor certainty</w:t>
      </w:r>
      <w:r w:rsidR="008D4B09" w:rsidRPr="00AD2069">
        <w:rPr>
          <w:rFonts w:ascii="RWE Sans" w:hAnsi="RWE Sans" w:cs="RWE Sans"/>
          <w:b/>
          <w:bCs/>
          <w:lang w:val="en-US"/>
        </w:rPr>
        <w:t xml:space="preserve"> and reduce consumer funding of transmission</w:t>
      </w:r>
    </w:p>
    <w:p w14:paraId="01B42452" w14:textId="77777777" w:rsidR="00FF3DE7" w:rsidRPr="00AD2069" w:rsidRDefault="00FF3DE7" w:rsidP="00DC36DE">
      <w:pPr>
        <w:pStyle w:val="RWEFlietext"/>
        <w:jc w:val="both"/>
        <w:rPr>
          <w:rFonts w:ascii="RWE Sans" w:hAnsi="RWE Sans" w:cs="RWE Sans"/>
          <w:b/>
          <w:bCs/>
          <w:lang w:val="en-GB"/>
        </w:rPr>
      </w:pPr>
    </w:p>
    <w:p w14:paraId="43382964" w14:textId="47CB2E2B" w:rsidR="007B491A" w:rsidRDefault="00B64392" w:rsidP="00DC36DE">
      <w:pPr>
        <w:pStyle w:val="RWEFlietext"/>
        <w:jc w:val="both"/>
        <w:rPr>
          <w:rFonts w:ascii="RWE Sans" w:hAnsi="RWE Sans" w:cs="RWE Sans"/>
          <w:lang w:val="en-GB"/>
        </w:rPr>
      </w:pPr>
      <w:r>
        <w:rPr>
          <w:rFonts w:ascii="RWE Sans" w:hAnsi="RWE Sans" w:cs="RWE Sans"/>
          <w:lang w:val="en-GB"/>
        </w:rPr>
        <w:t xml:space="preserve">REZs could be defined geographically to cover the concentrated generation zone plus </w:t>
      </w:r>
      <w:r w:rsidR="007B491A">
        <w:rPr>
          <w:rFonts w:ascii="RWE Sans" w:hAnsi="RWE Sans" w:cs="RWE Sans"/>
          <w:lang w:val="en-GB"/>
        </w:rPr>
        <w:t xml:space="preserve">at least part of </w:t>
      </w:r>
      <w:r>
        <w:rPr>
          <w:rFonts w:ascii="RWE Sans" w:hAnsi="RWE Sans" w:cs="RWE Sans"/>
          <w:lang w:val="en-GB"/>
        </w:rPr>
        <w:t>the transmission arter</w:t>
      </w:r>
      <w:r w:rsidR="00AD2069">
        <w:rPr>
          <w:rFonts w:ascii="RWE Sans" w:hAnsi="RWE Sans" w:cs="RWE Sans"/>
          <w:lang w:val="en-GB"/>
        </w:rPr>
        <w:t>ies</w:t>
      </w:r>
      <w:r>
        <w:rPr>
          <w:rFonts w:ascii="RWE Sans" w:hAnsi="RWE Sans" w:cs="RWE Sans"/>
          <w:lang w:val="en-GB"/>
        </w:rPr>
        <w:t xml:space="preserve"> that connect </w:t>
      </w:r>
      <w:r w:rsidR="002C1439">
        <w:rPr>
          <w:rFonts w:ascii="RWE Sans" w:hAnsi="RWE Sans" w:cs="RWE Sans"/>
          <w:lang w:val="en-GB"/>
        </w:rPr>
        <w:t xml:space="preserve">the REZ </w:t>
      </w:r>
      <w:r>
        <w:rPr>
          <w:rFonts w:ascii="RWE Sans" w:hAnsi="RWE Sans" w:cs="RWE Sans"/>
          <w:lang w:val="en-GB"/>
        </w:rPr>
        <w:t>close to significant load and strong shared transmission.</w:t>
      </w:r>
      <w:r w:rsidR="00D17562">
        <w:rPr>
          <w:rFonts w:ascii="RWE Sans" w:hAnsi="RWE Sans" w:cs="RWE Sans"/>
          <w:lang w:val="en-GB"/>
        </w:rPr>
        <w:t xml:space="preserve"> </w:t>
      </w:r>
      <w:r w:rsidR="007B491A">
        <w:rPr>
          <w:rFonts w:ascii="RWE Sans" w:hAnsi="RWE Sans" w:cs="RWE Sans"/>
          <w:lang w:val="en-GB"/>
        </w:rPr>
        <w:t xml:space="preserve">The access policy would put restrictions, either physical or financial, on new generation that wanted to connect both within the generation part of the REZ and along the artery. </w:t>
      </w:r>
      <w:r w:rsidR="007B491A" w:rsidRPr="007B491A">
        <w:rPr>
          <w:rFonts w:ascii="RWE Sans" w:hAnsi="RWE Sans" w:cs="RWE Sans"/>
          <w:lang w:val="en-US"/>
        </w:rPr>
        <w:t>ESB appears open</w:t>
      </w:r>
      <w:r w:rsidR="00932385">
        <w:rPr>
          <w:rFonts w:ascii="RWE Sans" w:hAnsi="RWE Sans" w:cs="RWE Sans"/>
          <w:lang w:val="en-US"/>
        </w:rPr>
        <w:t xml:space="preserve"> in its consultation paper</w:t>
      </w:r>
      <w:r w:rsidR="007B491A" w:rsidRPr="007B491A">
        <w:rPr>
          <w:rFonts w:ascii="RWE Sans" w:hAnsi="RWE Sans" w:cs="RWE Sans"/>
          <w:lang w:val="en-US"/>
        </w:rPr>
        <w:t xml:space="preserve"> to apply the “do no harm” obligation to generators “within the vicinity” of the REZ and not just generators within the REZ. If you took a wide view of “vicinity” </w:t>
      </w:r>
      <w:r w:rsidR="007B491A">
        <w:rPr>
          <w:rFonts w:ascii="RWE Sans" w:hAnsi="RWE Sans" w:cs="RWE Sans"/>
          <w:lang w:val="en-US"/>
        </w:rPr>
        <w:t xml:space="preserve">or if you defined the REZ to include the grid </w:t>
      </w:r>
      <w:r w:rsidR="00BB605D">
        <w:rPr>
          <w:rFonts w:ascii="RWE Sans" w:hAnsi="RWE Sans" w:cs="RWE Sans"/>
          <w:lang w:val="en-US"/>
        </w:rPr>
        <w:t xml:space="preserve">arteries connecting the REZ to load which were </w:t>
      </w:r>
      <w:r w:rsidR="007B491A">
        <w:rPr>
          <w:rFonts w:ascii="RWE Sans" w:hAnsi="RWE Sans" w:cs="RWE Sans"/>
          <w:lang w:val="en-US"/>
        </w:rPr>
        <w:t xml:space="preserve">most susceptible to </w:t>
      </w:r>
      <w:r w:rsidR="00BB605D">
        <w:rPr>
          <w:rFonts w:ascii="RWE Sans" w:hAnsi="RWE Sans" w:cs="RWE Sans"/>
          <w:lang w:val="en-US"/>
        </w:rPr>
        <w:t>future downgrading if not managed,</w:t>
      </w:r>
      <w:r w:rsidR="007B491A">
        <w:rPr>
          <w:rFonts w:ascii="RWE Sans" w:hAnsi="RWE Sans" w:cs="RWE Sans"/>
          <w:lang w:val="en-US"/>
        </w:rPr>
        <w:t xml:space="preserve"> </w:t>
      </w:r>
      <w:r w:rsidR="007B491A" w:rsidRPr="007B491A">
        <w:rPr>
          <w:rFonts w:ascii="RWE Sans" w:hAnsi="RWE Sans" w:cs="RWE Sans"/>
          <w:lang w:val="en-US"/>
        </w:rPr>
        <w:t>then this model could offer significant protection for foundation REZ generators.</w:t>
      </w:r>
    </w:p>
    <w:p w14:paraId="5C98B4B9" w14:textId="77777777" w:rsidR="00D17562" w:rsidRDefault="00D17562" w:rsidP="00DC36DE">
      <w:pPr>
        <w:pStyle w:val="RWEFlietext"/>
        <w:jc w:val="both"/>
        <w:rPr>
          <w:rFonts w:ascii="RWE Sans" w:hAnsi="RWE Sans" w:cs="RWE Sans"/>
          <w:lang w:val="en-GB"/>
        </w:rPr>
      </w:pPr>
    </w:p>
    <w:p w14:paraId="6959FD6A" w14:textId="0D3477D0" w:rsidR="00670EB9" w:rsidRDefault="00670EB9" w:rsidP="00DC36DE">
      <w:pPr>
        <w:pStyle w:val="RWEFlietext"/>
        <w:jc w:val="both"/>
        <w:rPr>
          <w:rFonts w:ascii="RWE Sans" w:hAnsi="RWE Sans" w:cs="RWE Sans"/>
          <w:lang w:val="en-GB"/>
        </w:rPr>
      </w:pPr>
      <w:r>
        <w:rPr>
          <w:rFonts w:ascii="RWE Sans" w:hAnsi="RWE Sans" w:cs="RWE Sans"/>
          <w:lang w:val="en-GB"/>
        </w:rPr>
        <w:t xml:space="preserve">Alternatively, there could be some portion of </w:t>
      </w:r>
      <w:r w:rsidR="00BB605D">
        <w:rPr>
          <w:rFonts w:ascii="RWE Sans" w:hAnsi="RWE Sans" w:cs="RWE Sans"/>
          <w:lang w:val="en-GB"/>
        </w:rPr>
        <w:t xml:space="preserve">REZ </w:t>
      </w:r>
      <w:r>
        <w:rPr>
          <w:rFonts w:ascii="RWE Sans" w:hAnsi="RWE Sans" w:cs="RWE Sans"/>
          <w:lang w:val="en-GB"/>
        </w:rPr>
        <w:t>auction revenue that is set aside for shared network augmentation over time so that the transmission backbone that connects the REZ to the regional reference node can be maintained</w:t>
      </w:r>
      <w:r w:rsidR="00735262">
        <w:rPr>
          <w:rFonts w:ascii="RWE Sans" w:hAnsi="RWE Sans" w:cs="RWE Sans"/>
          <w:lang w:val="en-GB"/>
        </w:rPr>
        <w:t>. T</w:t>
      </w:r>
      <w:r>
        <w:rPr>
          <w:rFonts w:ascii="RWE Sans" w:hAnsi="RWE Sans" w:cs="RWE Sans"/>
          <w:lang w:val="en-GB"/>
        </w:rPr>
        <w:t>he RIT-T process</w:t>
      </w:r>
      <w:r w:rsidR="00735262">
        <w:rPr>
          <w:rFonts w:ascii="RWE Sans" w:hAnsi="RWE Sans" w:cs="RWE Sans"/>
          <w:lang w:val="en-GB"/>
        </w:rPr>
        <w:t xml:space="preserve"> would need to be able</w:t>
      </w:r>
      <w:r>
        <w:rPr>
          <w:rFonts w:ascii="RWE Sans" w:hAnsi="RWE Sans" w:cs="RWE Sans"/>
          <w:lang w:val="en-GB"/>
        </w:rPr>
        <w:t xml:space="preserve"> to take that portion of auction revenue as additional cost reductions and not wealth transfers for the purposes of assessing future transmission augmentation</w:t>
      </w:r>
      <w:r w:rsidR="00892A2A">
        <w:rPr>
          <w:rFonts w:ascii="RWE Sans" w:hAnsi="RWE Sans" w:cs="RWE Sans"/>
          <w:lang w:val="en-GB"/>
        </w:rPr>
        <w:t xml:space="preserve"> (perhaps </w:t>
      </w:r>
      <w:r w:rsidR="00E818E9">
        <w:rPr>
          <w:rFonts w:ascii="RWE Sans" w:hAnsi="RWE Sans" w:cs="RWE Sans"/>
          <w:lang w:val="en-GB"/>
        </w:rPr>
        <w:t>possible if an independent body is receiving auction revenue anyway)</w:t>
      </w:r>
      <w:r>
        <w:rPr>
          <w:rFonts w:ascii="RWE Sans" w:hAnsi="RWE Sans" w:cs="RWE Sans"/>
          <w:lang w:val="en-GB"/>
        </w:rPr>
        <w:t>.</w:t>
      </w:r>
      <w:r w:rsidR="00246BC4">
        <w:rPr>
          <w:rFonts w:ascii="RWE Sans" w:hAnsi="RWE Sans" w:cs="RWE Sans"/>
          <w:lang w:val="en-GB"/>
        </w:rPr>
        <w:t xml:space="preserve"> </w:t>
      </w:r>
      <w:r w:rsidR="00D63B6F">
        <w:rPr>
          <w:rFonts w:ascii="RWE Sans" w:hAnsi="RWE Sans" w:cs="RWE Sans"/>
          <w:lang w:val="en-GB"/>
        </w:rPr>
        <w:t xml:space="preserve">Overall auction revenue would likely increase to fund the shared network contributions because </w:t>
      </w:r>
      <w:r w:rsidR="00D63B6F">
        <w:rPr>
          <w:rFonts w:ascii="RWE Sans" w:hAnsi="RWE Sans" w:cs="RWE Sans"/>
          <w:lang w:val="en-GB"/>
        </w:rPr>
        <w:lastRenderedPageBreak/>
        <w:t xml:space="preserve">investors would get some further comfort about grid stability over the longer term. </w:t>
      </w:r>
      <w:r w:rsidR="00246BC4">
        <w:rPr>
          <w:rFonts w:ascii="RWE Sans" w:hAnsi="RWE Sans" w:cs="RWE Sans"/>
          <w:lang w:val="en-GB"/>
        </w:rPr>
        <w:t xml:space="preserve">This option would rely </w:t>
      </w:r>
      <w:r w:rsidR="008D4B09">
        <w:rPr>
          <w:rFonts w:ascii="RWE Sans" w:hAnsi="RWE Sans" w:cs="RWE Sans"/>
          <w:lang w:val="en-GB"/>
        </w:rPr>
        <w:t xml:space="preserve">heavily still on further streamlining of the RIT-T process, or by moving to the sorts of legislative powers enacted in Victoria and New South Wales to bypass the RIT-T process. </w:t>
      </w:r>
    </w:p>
    <w:p w14:paraId="3C5BAE0A" w14:textId="77777777" w:rsidR="00BB605D" w:rsidRDefault="00BB605D" w:rsidP="00DC36DE">
      <w:pPr>
        <w:pStyle w:val="RWEFlietext"/>
        <w:jc w:val="both"/>
        <w:rPr>
          <w:rFonts w:ascii="RWE Sans" w:hAnsi="RWE Sans" w:cs="RWE Sans"/>
          <w:lang w:val="en-GB"/>
        </w:rPr>
      </w:pPr>
    </w:p>
    <w:p w14:paraId="24308A01" w14:textId="30E51E76" w:rsidR="00BB605D" w:rsidRDefault="00BB605D" w:rsidP="00DC36DE">
      <w:pPr>
        <w:pStyle w:val="RWEFlietext"/>
        <w:jc w:val="both"/>
        <w:rPr>
          <w:rFonts w:ascii="RWE Sans" w:hAnsi="RWE Sans" w:cs="RWE Sans"/>
          <w:lang w:val="en-GB"/>
        </w:rPr>
      </w:pPr>
      <w:r>
        <w:rPr>
          <w:rFonts w:ascii="RWE Sans" w:hAnsi="RWE Sans" w:cs="RWE Sans"/>
          <w:lang w:val="en-GB"/>
        </w:rPr>
        <w:t xml:space="preserve">The ESB, in its </w:t>
      </w:r>
      <w:r w:rsidR="009455B0">
        <w:rPr>
          <w:rFonts w:ascii="RWE Sans" w:hAnsi="RWE Sans" w:cs="RWE Sans"/>
          <w:lang w:val="en-GB"/>
        </w:rPr>
        <w:t>post-</w:t>
      </w:r>
      <w:r>
        <w:rPr>
          <w:rFonts w:ascii="RWE Sans" w:hAnsi="RWE Sans" w:cs="RWE Sans"/>
          <w:lang w:val="en-GB"/>
        </w:rPr>
        <w:t xml:space="preserve">2025 January directions paper discusses the deep connection charge model, where a new generator pays for both the cost of physical connection </w:t>
      </w:r>
      <w:r w:rsidR="007C6C83">
        <w:rPr>
          <w:rFonts w:ascii="RWE Sans" w:hAnsi="RWE Sans" w:cs="RWE Sans"/>
          <w:lang w:val="en-GB"/>
        </w:rPr>
        <w:t xml:space="preserve">to </w:t>
      </w:r>
      <w:r>
        <w:rPr>
          <w:rFonts w:ascii="RWE Sans" w:hAnsi="RWE Sans" w:cs="RWE Sans"/>
          <w:lang w:val="en-GB"/>
        </w:rPr>
        <w:t>the grid along with the costs of any transmission network reinforcement, over that already committed, required to maintain access for all existing network users.</w:t>
      </w:r>
      <w:r w:rsidR="00246BC4">
        <w:rPr>
          <w:rFonts w:ascii="RWE Sans" w:hAnsi="RWE Sans" w:cs="RWE Sans"/>
          <w:lang w:val="en-GB"/>
        </w:rPr>
        <w:t xml:space="preserve"> If such a model was applied over parts of the shared network that could affect foundation REZ investments, the incentives to locate within (and contribute to) the REZ would be further strengthened.</w:t>
      </w:r>
    </w:p>
    <w:p w14:paraId="752B1011" w14:textId="77777777" w:rsidR="00246BC4" w:rsidRDefault="00246BC4" w:rsidP="00DC36DE">
      <w:pPr>
        <w:pStyle w:val="RWEFlietext"/>
        <w:jc w:val="both"/>
        <w:rPr>
          <w:rFonts w:ascii="RWE Sans" w:hAnsi="RWE Sans" w:cs="RWE Sans"/>
          <w:lang w:val="en-GB"/>
        </w:rPr>
      </w:pPr>
    </w:p>
    <w:p w14:paraId="101455DD" w14:textId="679FC846" w:rsidR="00246BC4" w:rsidRDefault="00246BC4" w:rsidP="00DC36DE">
      <w:pPr>
        <w:pStyle w:val="RWEFlietext"/>
        <w:jc w:val="both"/>
        <w:rPr>
          <w:rFonts w:ascii="RWE Sans" w:hAnsi="RWE Sans" w:cs="RWE Sans"/>
          <w:lang w:val="en-GB"/>
        </w:rPr>
      </w:pPr>
      <w:r>
        <w:rPr>
          <w:rFonts w:ascii="RWE Sans" w:hAnsi="RWE Sans" w:cs="RWE Sans"/>
          <w:lang w:val="en-GB"/>
        </w:rPr>
        <w:t xml:space="preserve">In these “REZ+” models, </w:t>
      </w:r>
      <w:r w:rsidR="007C6C83">
        <w:rPr>
          <w:rFonts w:ascii="RWE Sans" w:hAnsi="RWE Sans" w:cs="RWE Sans"/>
          <w:lang w:val="en-GB"/>
        </w:rPr>
        <w:t xml:space="preserve">larger and more experienced </w:t>
      </w:r>
      <w:r>
        <w:rPr>
          <w:rFonts w:ascii="RWE Sans" w:hAnsi="RWE Sans" w:cs="RWE Sans"/>
          <w:lang w:val="en-GB"/>
        </w:rPr>
        <w:t xml:space="preserve">generation investors would be prepared to pay more to win capacity at auction, knowing there were lower constraint and MLF risks over project life, resulting in reductions in TUOS charges for customers. </w:t>
      </w:r>
      <w:r w:rsidR="00932385">
        <w:rPr>
          <w:rFonts w:ascii="RWE Sans" w:hAnsi="RWE Sans" w:cs="RWE Sans"/>
          <w:lang w:val="en-GB"/>
        </w:rPr>
        <w:t>This contrasts with the ESB REZ model, where more volatility in MLFs and curtailments could be expected, and with COGATI,  where congestion could effectively be hedged but at an unknown cost at the time of investment decision and where losses could not be hedged at all.</w:t>
      </w:r>
    </w:p>
    <w:p w14:paraId="772EB229" w14:textId="77777777" w:rsidR="00C70C79" w:rsidRDefault="00C70C79" w:rsidP="00DC36DE">
      <w:pPr>
        <w:pStyle w:val="RWEFlietext"/>
        <w:jc w:val="both"/>
        <w:rPr>
          <w:rFonts w:ascii="RWE Sans" w:hAnsi="RWE Sans" w:cs="RWE Sans"/>
          <w:lang w:val="en-GB"/>
        </w:rPr>
      </w:pPr>
    </w:p>
    <w:p w14:paraId="5575B58C" w14:textId="77777777" w:rsidR="00C70C79" w:rsidRDefault="00C70C79" w:rsidP="00DC36DE">
      <w:pPr>
        <w:pStyle w:val="RWEFlietext"/>
        <w:jc w:val="both"/>
        <w:rPr>
          <w:rFonts w:ascii="RWE Sans" w:hAnsi="RWE Sans" w:cs="RWE Sans"/>
          <w:lang w:val="en-GB"/>
        </w:rPr>
      </w:pPr>
      <w:r>
        <w:rPr>
          <w:rFonts w:ascii="RWE Sans" w:hAnsi="RWE Sans" w:cs="RWE Sans"/>
          <w:lang w:val="en-GB"/>
        </w:rPr>
        <w:t>The point is not for generators to be free of future constraint and push risk onto consumers, but for generators to have more certainty in the range of losses and curtailments they could see over project life and pay upfront for that certainty, lowering the amount consumers pay for transmission.</w:t>
      </w:r>
    </w:p>
    <w:p w14:paraId="1FC29002" w14:textId="77777777" w:rsidR="00246BC4" w:rsidRDefault="00246BC4" w:rsidP="00DC36DE">
      <w:pPr>
        <w:pStyle w:val="RWEFlietext"/>
        <w:jc w:val="both"/>
        <w:rPr>
          <w:rFonts w:ascii="RWE Sans" w:hAnsi="RWE Sans" w:cs="RWE Sans"/>
          <w:lang w:val="en-GB"/>
        </w:rPr>
      </w:pPr>
    </w:p>
    <w:p w14:paraId="061B4F88" w14:textId="77777777" w:rsidR="00246BC4" w:rsidRPr="00AD2069" w:rsidRDefault="00246BC4" w:rsidP="00DC36DE">
      <w:pPr>
        <w:pStyle w:val="RWEFlietext"/>
        <w:jc w:val="both"/>
        <w:rPr>
          <w:rFonts w:ascii="RWE Sans" w:hAnsi="RWE Sans" w:cs="RWE Sans"/>
          <w:b/>
          <w:bCs/>
          <w:lang w:val="en-GB"/>
        </w:rPr>
      </w:pPr>
      <w:r w:rsidRPr="00AD2069">
        <w:rPr>
          <w:rFonts w:ascii="RWE Sans" w:hAnsi="RWE Sans" w:cs="RWE Sans"/>
          <w:b/>
          <w:bCs/>
          <w:lang w:val="en-GB"/>
        </w:rPr>
        <w:t>A REZ+ model could allow a steady transition of the NEM away from the open access model without major investor shocks</w:t>
      </w:r>
    </w:p>
    <w:p w14:paraId="60C6CDBA" w14:textId="77777777" w:rsidR="00BB605D" w:rsidRDefault="00BB605D" w:rsidP="00DC36DE">
      <w:pPr>
        <w:pStyle w:val="RWEFlietext"/>
        <w:jc w:val="both"/>
        <w:rPr>
          <w:lang w:val="en-US"/>
        </w:rPr>
      </w:pPr>
    </w:p>
    <w:p w14:paraId="45CF30B0" w14:textId="77777777" w:rsidR="00BB605D" w:rsidRDefault="00246BC4" w:rsidP="00DC36DE">
      <w:pPr>
        <w:pStyle w:val="RWEFlietext"/>
        <w:jc w:val="both"/>
        <w:rPr>
          <w:rFonts w:ascii="RWE Sans" w:hAnsi="RWE Sans" w:cs="RWE Sans"/>
          <w:lang w:val="en-US"/>
        </w:rPr>
      </w:pPr>
      <w:r w:rsidRPr="00C70C79">
        <w:rPr>
          <w:rFonts w:ascii="RWE Sans" w:hAnsi="RWE Sans" w:cs="RWE Sans"/>
          <w:lang w:val="en-US"/>
        </w:rPr>
        <w:t>A REZ+ model</w:t>
      </w:r>
      <w:r w:rsidR="008D4B09" w:rsidRPr="00C70C79">
        <w:rPr>
          <w:rFonts w:ascii="RWE Sans" w:hAnsi="RWE Sans" w:cs="RWE Sans"/>
          <w:lang w:val="en-US"/>
        </w:rPr>
        <w:t xml:space="preserve"> would avoid the grandfathering issues that have plagued the optional firm access and COGATI proposals, as existing generators are already connected to the network and so would not face additional grid charges. New generation would be incentivized to locate in each new REZ as it is developed, and the shared network would gradually shrink over time as more REZs were built out and more of the previously shared network had deep connection charges </w:t>
      </w:r>
      <w:r w:rsidR="00C70C79" w:rsidRPr="00C70C79">
        <w:rPr>
          <w:rFonts w:ascii="RWE Sans" w:hAnsi="RWE Sans" w:cs="RWE Sans"/>
          <w:lang w:val="en-US"/>
        </w:rPr>
        <w:t xml:space="preserve">or restricted access </w:t>
      </w:r>
      <w:r w:rsidR="008D4B09" w:rsidRPr="00C70C79">
        <w:rPr>
          <w:rFonts w:ascii="RWE Sans" w:hAnsi="RWE Sans" w:cs="RWE Sans"/>
          <w:lang w:val="en-US"/>
        </w:rPr>
        <w:t xml:space="preserve">applied to it. Projects currently at early development stages </w:t>
      </w:r>
      <w:r w:rsidR="00C70C79" w:rsidRPr="00C70C79">
        <w:rPr>
          <w:rFonts w:ascii="RWE Sans" w:hAnsi="RWE Sans" w:cs="RWE Sans"/>
          <w:lang w:val="en-US"/>
        </w:rPr>
        <w:t xml:space="preserve">across the NEM and outside planned REZs, would get a sense of when grid access rules might change in their area, based on the proposed timing of any </w:t>
      </w:r>
      <w:r w:rsidR="00C70C79">
        <w:rPr>
          <w:rFonts w:ascii="RWE Sans" w:hAnsi="RWE Sans" w:cs="RWE Sans"/>
          <w:lang w:val="en-US"/>
        </w:rPr>
        <w:t xml:space="preserve">adjacent </w:t>
      </w:r>
      <w:r w:rsidR="00C70C79" w:rsidRPr="00C70C79">
        <w:rPr>
          <w:rFonts w:ascii="RWE Sans" w:hAnsi="RWE Sans" w:cs="RWE Sans"/>
          <w:lang w:val="en-US"/>
        </w:rPr>
        <w:t xml:space="preserve">REZs </w:t>
      </w:r>
      <w:r w:rsidR="00C70C79">
        <w:rPr>
          <w:rFonts w:ascii="RWE Sans" w:hAnsi="RWE Sans" w:cs="RWE Sans"/>
          <w:lang w:val="en-US"/>
        </w:rPr>
        <w:t>and so could plan accordingly.</w:t>
      </w:r>
    </w:p>
    <w:p w14:paraId="388B9ACB" w14:textId="77777777" w:rsidR="007E52DC" w:rsidRDefault="007E52DC" w:rsidP="00DC36DE">
      <w:pPr>
        <w:pStyle w:val="RWEFlietext"/>
        <w:jc w:val="both"/>
        <w:rPr>
          <w:rFonts w:ascii="RWE Sans" w:hAnsi="RWE Sans" w:cs="RWE Sans"/>
          <w:lang w:val="en-US"/>
        </w:rPr>
      </w:pPr>
    </w:p>
    <w:p w14:paraId="3F4B0AFD" w14:textId="745ABC26" w:rsidR="00BB605D" w:rsidRDefault="00FF64C8">
      <w:pPr>
        <w:pStyle w:val="RWEFlietext"/>
        <w:jc w:val="both"/>
        <w:rPr>
          <w:rFonts w:ascii="RWE Sans" w:hAnsi="RWE Sans" w:cs="RWE Sans"/>
          <w:lang w:val="en-US"/>
        </w:rPr>
      </w:pPr>
      <w:r>
        <w:rPr>
          <w:rFonts w:ascii="RWE Sans" w:hAnsi="RWE Sans" w:cs="RWE Sans"/>
          <w:lang w:val="en-GB"/>
        </w:rPr>
        <w:t>Those</w:t>
      </w:r>
      <w:r w:rsidR="00395E09">
        <w:rPr>
          <w:rFonts w:ascii="RWE Sans" w:hAnsi="RWE Sans" w:cs="RWE Sans"/>
          <w:lang w:val="en-GB"/>
        </w:rPr>
        <w:t xml:space="preserve"> non-REZ</w:t>
      </w:r>
      <w:r>
        <w:rPr>
          <w:rFonts w:ascii="RWE Sans" w:hAnsi="RWE Sans" w:cs="RWE Sans"/>
          <w:lang w:val="en-GB"/>
        </w:rPr>
        <w:t xml:space="preserve"> transmission projects currently going through the RIT-T </w:t>
      </w:r>
      <w:r w:rsidR="00395E09">
        <w:rPr>
          <w:rFonts w:ascii="RWE Sans" w:hAnsi="RWE Sans" w:cs="RWE Sans"/>
          <w:lang w:val="en-GB"/>
        </w:rPr>
        <w:t xml:space="preserve">which are </w:t>
      </w:r>
      <w:r>
        <w:rPr>
          <w:rFonts w:ascii="RWE Sans" w:hAnsi="RWE Sans" w:cs="RWE Sans"/>
          <w:lang w:val="en-GB"/>
        </w:rPr>
        <w:t xml:space="preserve">aimed at alleviating existing constraints could also have a capacity auction and access policy attached to them. Generators currently facing constraints could bid for firm access rights on the new transmission with a second auction round for new projects </w:t>
      </w:r>
      <w:r w:rsidR="00395E09">
        <w:rPr>
          <w:rFonts w:ascii="RWE Sans" w:hAnsi="RWE Sans" w:cs="RWE Sans"/>
          <w:lang w:val="en-GB"/>
        </w:rPr>
        <w:t>that want to connect to the new line</w:t>
      </w:r>
      <w:r>
        <w:rPr>
          <w:rFonts w:ascii="RWE Sans" w:hAnsi="RWE Sans" w:cs="RWE Sans"/>
          <w:lang w:val="en-GB"/>
        </w:rPr>
        <w:t xml:space="preserve">. </w:t>
      </w:r>
      <w:r w:rsidR="00395E09">
        <w:rPr>
          <w:rFonts w:ascii="RWE Sans" w:hAnsi="RWE Sans" w:cs="RWE Sans"/>
          <w:lang w:val="en-GB"/>
        </w:rPr>
        <w:t xml:space="preserve">In this way, projects like Energy Connect or VNI West that are still facing significant consumer concern about cost, could get some funding contribution from </w:t>
      </w:r>
      <w:r w:rsidR="007C58B8">
        <w:rPr>
          <w:rFonts w:ascii="RWE Sans" w:hAnsi="RWE Sans" w:cs="RWE Sans"/>
          <w:lang w:val="en-GB"/>
        </w:rPr>
        <w:t xml:space="preserve">existing </w:t>
      </w:r>
      <w:r w:rsidR="00395E09">
        <w:rPr>
          <w:rFonts w:ascii="RWE Sans" w:hAnsi="RWE Sans" w:cs="RWE Sans"/>
          <w:lang w:val="en-GB"/>
        </w:rPr>
        <w:t>generators</w:t>
      </w:r>
      <w:r w:rsidR="007C58B8">
        <w:rPr>
          <w:rFonts w:ascii="RWE Sans" w:hAnsi="RWE Sans" w:cs="RWE Sans"/>
          <w:lang w:val="en-GB"/>
        </w:rPr>
        <w:t xml:space="preserve"> that want to remove themselves from a constraint and prospective generators that want greater assurance about future grid capacity before they invest.</w:t>
      </w:r>
    </w:p>
    <w:p w14:paraId="5506ADF5" w14:textId="77777777" w:rsidR="00395E09" w:rsidRDefault="00395E09" w:rsidP="00DC36DE">
      <w:pPr>
        <w:pStyle w:val="RWEFlietext"/>
        <w:jc w:val="both"/>
        <w:rPr>
          <w:rFonts w:ascii="RWE Sans" w:hAnsi="RWE Sans" w:cs="RWE Sans"/>
          <w:lang w:val="en-US"/>
        </w:rPr>
      </w:pPr>
    </w:p>
    <w:p w14:paraId="3CF15BEF" w14:textId="2D9566DE" w:rsidR="00E818E9" w:rsidRDefault="00E818E9" w:rsidP="00DC36DE">
      <w:pPr>
        <w:pStyle w:val="RWEFlietext"/>
        <w:jc w:val="both"/>
        <w:rPr>
          <w:rFonts w:ascii="RWE Sans" w:hAnsi="RWE Sans" w:cs="RWE Sans"/>
          <w:lang w:val="en-GB"/>
        </w:rPr>
      </w:pPr>
      <w:r>
        <w:rPr>
          <w:rFonts w:ascii="RWE Sans" w:hAnsi="RWE Sans" w:cs="RWE Sans"/>
          <w:lang w:val="en-GB"/>
        </w:rPr>
        <w:lastRenderedPageBreak/>
        <w:t>With much of the shared network in areas of good zero emissions resource already at capacity, a REZ</w:t>
      </w:r>
      <w:r w:rsidR="00C70C79">
        <w:rPr>
          <w:rFonts w:ascii="RWE Sans" w:hAnsi="RWE Sans" w:cs="RWE Sans"/>
          <w:lang w:val="en-GB"/>
        </w:rPr>
        <w:t>+</w:t>
      </w:r>
      <w:r>
        <w:rPr>
          <w:rFonts w:ascii="RWE Sans" w:hAnsi="RWE Sans" w:cs="RWE Sans"/>
          <w:lang w:val="en-GB"/>
        </w:rPr>
        <w:t xml:space="preserve"> framework which gives generation investors the certainty about future constraints to de</w:t>
      </w:r>
      <w:r w:rsidR="00DE2E90">
        <w:rPr>
          <w:rFonts w:ascii="RWE Sans" w:hAnsi="RWE Sans" w:cs="RWE Sans"/>
          <w:lang w:val="en-GB"/>
        </w:rPr>
        <w:t>-</w:t>
      </w:r>
      <w:r>
        <w:rPr>
          <w:rFonts w:ascii="RWE Sans" w:hAnsi="RWE Sans" w:cs="RWE Sans"/>
          <w:lang w:val="en-GB"/>
        </w:rPr>
        <w:t>risk their projects will be</w:t>
      </w:r>
      <w:r w:rsidR="00C70C79">
        <w:rPr>
          <w:rFonts w:ascii="RWE Sans" w:hAnsi="RWE Sans" w:cs="RWE Sans"/>
          <w:lang w:val="en-GB"/>
        </w:rPr>
        <w:t xml:space="preserve"> able to provide a strong locational signal as soon as the first REZ is implemented</w:t>
      </w:r>
      <w:r>
        <w:rPr>
          <w:rFonts w:ascii="RWE Sans" w:hAnsi="RWE Sans" w:cs="RWE Sans"/>
          <w:lang w:val="en-GB"/>
        </w:rPr>
        <w:t>.</w:t>
      </w:r>
      <w:r w:rsidR="00C70C79">
        <w:rPr>
          <w:rFonts w:ascii="RWE Sans" w:hAnsi="RWE Sans" w:cs="RWE Sans"/>
          <w:lang w:val="en-GB"/>
        </w:rPr>
        <w:t xml:space="preserve"> Under the ESB’s proposed REZ model, the locational signalling would be weaker, and in our view would not eventuate at the investment timescale under a move to COGATI, as COGATI does not give generators greater certainty about grid costs and impacts at the time of investment decision.</w:t>
      </w:r>
    </w:p>
    <w:p w14:paraId="1260B95E" w14:textId="77777777" w:rsidR="00D17562" w:rsidRDefault="00D17562" w:rsidP="00DC36DE">
      <w:pPr>
        <w:pStyle w:val="RWEFlietext"/>
        <w:jc w:val="both"/>
        <w:rPr>
          <w:rFonts w:ascii="RWE Sans" w:hAnsi="RWE Sans" w:cs="RWE Sans"/>
          <w:lang w:val="en-GB"/>
        </w:rPr>
      </w:pPr>
    </w:p>
    <w:p w14:paraId="23B400F3" w14:textId="77777777" w:rsidR="00D17562" w:rsidRPr="00AD2069" w:rsidRDefault="00D17562" w:rsidP="00DC36DE">
      <w:pPr>
        <w:pStyle w:val="RWEFlietext"/>
        <w:jc w:val="both"/>
        <w:rPr>
          <w:rFonts w:ascii="RWE Sans" w:hAnsi="RWE Sans" w:cs="RWE Sans"/>
          <w:b/>
          <w:bCs/>
          <w:lang w:val="en-GB"/>
        </w:rPr>
      </w:pPr>
      <w:r w:rsidRPr="00AD2069">
        <w:rPr>
          <w:rFonts w:ascii="RWE Sans" w:hAnsi="RWE Sans" w:cs="RWE Sans"/>
          <w:b/>
          <w:bCs/>
          <w:lang w:val="en-GB"/>
        </w:rPr>
        <w:t>COGATI does not solve the major issues faced by generators, consumers or networks</w:t>
      </w:r>
    </w:p>
    <w:p w14:paraId="46C129E0" w14:textId="77777777" w:rsidR="007C6C83" w:rsidRDefault="007C6C83" w:rsidP="000B137A">
      <w:pPr>
        <w:pStyle w:val="RWEFlietext"/>
        <w:jc w:val="both"/>
        <w:rPr>
          <w:rFonts w:ascii="RWE Sans" w:hAnsi="RWE Sans" w:cs="RWE Sans"/>
          <w:lang w:val="en-GB"/>
        </w:rPr>
      </w:pPr>
    </w:p>
    <w:p w14:paraId="4B952DCA" w14:textId="359F9919" w:rsidR="00A70174" w:rsidRDefault="00D17562" w:rsidP="00DC36DE">
      <w:pPr>
        <w:pStyle w:val="RWEFlietext"/>
        <w:jc w:val="both"/>
        <w:rPr>
          <w:rFonts w:ascii="RWE Sans" w:hAnsi="RWE Sans" w:cs="RWE Sans"/>
          <w:lang w:val="en-GB"/>
        </w:rPr>
      </w:pPr>
      <w:r>
        <w:rPr>
          <w:rFonts w:ascii="RWE Sans" w:hAnsi="RWE Sans" w:cs="RWE Sans"/>
          <w:lang w:val="en-GB"/>
        </w:rPr>
        <w:t>T</w:t>
      </w:r>
      <w:r w:rsidR="00A70174">
        <w:rPr>
          <w:rFonts w:ascii="RWE Sans" w:hAnsi="RWE Sans" w:cs="RWE Sans"/>
          <w:lang w:val="en-GB"/>
        </w:rPr>
        <w:t>he vast majority of stakeholders across the generation, grid and consumer sectors have rejected</w:t>
      </w:r>
      <w:r>
        <w:rPr>
          <w:rFonts w:ascii="RWE Sans" w:hAnsi="RWE Sans" w:cs="RWE Sans"/>
          <w:lang w:val="en-GB"/>
        </w:rPr>
        <w:t xml:space="preserve"> COGATI</w:t>
      </w:r>
      <w:r w:rsidR="00A70174">
        <w:rPr>
          <w:rFonts w:ascii="RWE Sans" w:hAnsi="RWE Sans" w:cs="RWE Sans"/>
          <w:lang w:val="en-GB"/>
        </w:rPr>
        <w:t>.</w:t>
      </w:r>
      <w:r>
        <w:rPr>
          <w:rStyle w:val="FootnoteReference"/>
          <w:rFonts w:ascii="RWE Sans" w:hAnsi="RWE Sans" w:cs="RWE Sans"/>
          <w:lang w:val="en-GB"/>
        </w:rPr>
        <w:footnoteReference w:id="6"/>
      </w:r>
      <w:r w:rsidR="00A70174">
        <w:rPr>
          <w:rFonts w:ascii="RWE Sans" w:hAnsi="RWE Sans" w:cs="RWE Sans"/>
          <w:lang w:val="en-GB"/>
        </w:rPr>
        <w:t xml:space="preserve"> Consumers want generators to share the cost of grid build-out. Generation investors want greater certainty about future grid capacity to support their investments and are prepared to pay upfront for that. Existing generators want their sunk costs protected. Grid companies want to build the grid of the future but without taking on additional risk themselves and without risking their social licence by lumping all cost on consumers. A REZ+ model does all this. COGATI</w:t>
      </w:r>
      <w:r w:rsidR="00FF64C8">
        <w:rPr>
          <w:rFonts w:ascii="RWE Sans" w:hAnsi="RWE Sans" w:cs="RWE Sans"/>
          <w:lang w:val="en-GB"/>
        </w:rPr>
        <w:t>, on the other hand, pleases few.</w:t>
      </w:r>
    </w:p>
    <w:p w14:paraId="350A6B1C" w14:textId="77777777" w:rsidR="00B84943" w:rsidRPr="00107B1A" w:rsidRDefault="00B84943" w:rsidP="00DC36DE">
      <w:pPr>
        <w:pStyle w:val="RWEFlietext"/>
        <w:jc w:val="both"/>
        <w:rPr>
          <w:rFonts w:ascii="RWE Sans" w:hAnsi="RWE Sans" w:cs="RWE Sans"/>
          <w:lang w:val="en-GB"/>
        </w:rPr>
      </w:pPr>
    </w:p>
    <w:p w14:paraId="6BBBEB02" w14:textId="77777777" w:rsidR="00AE3B9A" w:rsidRPr="00107B1A" w:rsidRDefault="00AE3B9A" w:rsidP="00DC36DE">
      <w:pPr>
        <w:pStyle w:val="RWEFlietext"/>
        <w:jc w:val="both"/>
        <w:rPr>
          <w:rFonts w:ascii="RWE Sans" w:hAnsi="RWE Sans" w:cs="RWE Sans"/>
          <w:lang w:val="en-GB"/>
        </w:rPr>
      </w:pPr>
      <w:bookmarkStart w:id="8" w:name="Anrede"/>
      <w:bookmarkEnd w:id="8"/>
    </w:p>
    <w:p w14:paraId="2333A3C4" w14:textId="77777777" w:rsidR="002B67E4" w:rsidRPr="00A0635D" w:rsidRDefault="00A0635D" w:rsidP="00DC36DE">
      <w:pPr>
        <w:pStyle w:val="RWEFlietext"/>
        <w:jc w:val="both"/>
        <w:rPr>
          <w:rFonts w:ascii="RWE Sans" w:hAnsi="RWE Sans" w:cs="RWE Sans"/>
          <w:lang w:val="en-GB"/>
        </w:rPr>
      </w:pPr>
      <w:bookmarkStart w:id="9" w:name="Text"/>
      <w:bookmarkEnd w:id="9"/>
      <w:r>
        <w:rPr>
          <w:rFonts w:ascii="RWE Sans" w:hAnsi="RWE Sans" w:cs="RWE Sans"/>
          <w:lang w:val="en-GB"/>
        </w:rPr>
        <w:t>We would welcome further discussion on this submission, and wish the ESB well in its endeavours to find a suitable reform path for the NEM.</w:t>
      </w:r>
      <w:bookmarkStart w:id="10" w:name="Grußformel"/>
      <w:bookmarkEnd w:id="10"/>
    </w:p>
    <w:p w14:paraId="0F1E4962" w14:textId="77777777" w:rsidR="00A70174" w:rsidRDefault="00A70174" w:rsidP="00D73F24">
      <w:pPr>
        <w:pStyle w:val="RWEFlietext"/>
        <w:rPr>
          <w:rFonts w:ascii="RWE Sans" w:hAnsi="RWE Sans" w:cs="RWE Sans"/>
          <w:lang w:val="en-US"/>
        </w:rPr>
      </w:pPr>
    </w:p>
    <w:p w14:paraId="17F1EA67" w14:textId="77777777" w:rsidR="00A70174" w:rsidRPr="002B67E4" w:rsidRDefault="00A70174" w:rsidP="00D73F24">
      <w:pPr>
        <w:pStyle w:val="RWEFlietext"/>
        <w:rPr>
          <w:rFonts w:ascii="RWE Sans" w:hAnsi="RWE Sans" w:cs="RWE Sans"/>
          <w:lang w:val="en-US"/>
        </w:rPr>
      </w:pPr>
    </w:p>
    <w:p w14:paraId="36BA34EE" w14:textId="77777777" w:rsidR="002B67E4" w:rsidRDefault="002B67E4" w:rsidP="00D73F24">
      <w:pPr>
        <w:pStyle w:val="RWEFlietext"/>
        <w:rPr>
          <w:rFonts w:ascii="RWE Sans" w:hAnsi="RWE Sans" w:cs="RWE Sans"/>
          <w:lang w:val="en-GB"/>
        </w:rPr>
      </w:pPr>
    </w:p>
    <w:p w14:paraId="208D5B31" w14:textId="77777777" w:rsidR="00AE3B9A" w:rsidRDefault="002513C8" w:rsidP="00D73F24">
      <w:pPr>
        <w:pStyle w:val="RWEFlietext"/>
        <w:rPr>
          <w:rFonts w:ascii="RWE Sans" w:hAnsi="RWE Sans" w:cs="RWE Sans"/>
          <w:lang w:val="en-GB"/>
        </w:rPr>
      </w:pPr>
      <w:r w:rsidRPr="002513C8">
        <w:rPr>
          <w:rFonts w:ascii="RWE Sans" w:hAnsi="RWE Sans" w:cs="RWE Sans"/>
          <w:lang w:val="en-GB"/>
        </w:rPr>
        <w:t>Yours sincerely,</w:t>
      </w:r>
    </w:p>
    <w:p w14:paraId="69F01A46" w14:textId="77777777" w:rsidR="00A0635D" w:rsidRDefault="00A0635D" w:rsidP="00D73F24">
      <w:pPr>
        <w:pStyle w:val="RWEFlietext"/>
        <w:rPr>
          <w:rFonts w:ascii="RWE Sans" w:hAnsi="RWE Sans" w:cs="RWE Sans"/>
          <w:lang w:val="en-GB"/>
        </w:rPr>
      </w:pPr>
    </w:p>
    <w:p w14:paraId="3B2CE777" w14:textId="77777777" w:rsidR="00A0635D" w:rsidRDefault="00A0635D" w:rsidP="00D73F24">
      <w:pPr>
        <w:pStyle w:val="RWEFlietext"/>
        <w:rPr>
          <w:rFonts w:ascii="RWE Sans" w:hAnsi="RWE Sans" w:cs="RWE Sans"/>
          <w:lang w:val="en-GB"/>
        </w:rPr>
      </w:pPr>
    </w:p>
    <w:p w14:paraId="44B8999F" w14:textId="77777777" w:rsidR="00A0635D" w:rsidRDefault="00A0635D" w:rsidP="00D73F24">
      <w:pPr>
        <w:pStyle w:val="RWEFlietext"/>
        <w:rPr>
          <w:rFonts w:ascii="RWE Sans" w:hAnsi="RWE Sans" w:cs="RWE Sans"/>
          <w:lang w:val="en-GB"/>
        </w:rPr>
      </w:pPr>
    </w:p>
    <w:p w14:paraId="78EA36FC" w14:textId="77777777" w:rsidR="002513C8" w:rsidRDefault="002513C8" w:rsidP="00D73F24">
      <w:pPr>
        <w:pStyle w:val="RWEFlietext"/>
        <w:rPr>
          <w:rFonts w:ascii="RWE Sans" w:hAnsi="RWE Sans" w:cs="RWE Sans"/>
          <w:lang w:val="en-GB"/>
        </w:rPr>
      </w:pPr>
    </w:p>
    <w:p w14:paraId="4C4C53AA" w14:textId="77777777" w:rsidR="008C2A34" w:rsidRDefault="00EB24D4" w:rsidP="00D73F24">
      <w:pPr>
        <w:pStyle w:val="RWEFlietext"/>
        <w:rPr>
          <w:rFonts w:ascii="RWE Sans" w:hAnsi="RWE Sans" w:cs="RWE Sans"/>
          <w:lang w:val="en-GB"/>
        </w:rPr>
      </w:pPr>
      <w:r>
        <w:rPr>
          <w:rFonts w:ascii="RWE Sans" w:hAnsi="RWE Sans" w:cs="RWE Sans"/>
          <w:lang w:val="en-GB"/>
        </w:rPr>
        <w:t>Matthew Dickie</w:t>
      </w:r>
    </w:p>
    <w:p w14:paraId="27326CD0" w14:textId="77777777" w:rsidR="00D26063" w:rsidRDefault="00EB24D4" w:rsidP="00D73F24">
      <w:pPr>
        <w:pStyle w:val="RWEFlietext"/>
        <w:rPr>
          <w:rFonts w:ascii="RWE Sans" w:hAnsi="RWE Sans" w:cs="RWE Sans"/>
          <w:lang w:val="en-GB"/>
        </w:rPr>
      </w:pPr>
      <w:r>
        <w:rPr>
          <w:rFonts w:ascii="RWE Sans" w:hAnsi="RWE Sans" w:cs="RWE Sans"/>
          <w:lang w:val="en-GB"/>
        </w:rPr>
        <w:t>Senior Regulatory Affairs Manager, APAC Region Lead</w:t>
      </w:r>
    </w:p>
    <w:p w14:paraId="5485290D" w14:textId="77777777" w:rsidR="00AE3B9A" w:rsidRPr="00CE0902" w:rsidRDefault="00AE3B9A" w:rsidP="00D73F24">
      <w:pPr>
        <w:pStyle w:val="RWEFlietext"/>
        <w:rPr>
          <w:rFonts w:ascii="RWE Sans" w:hAnsi="RWE Sans" w:cs="RWE Sans"/>
          <w:lang w:val="fr-FR"/>
        </w:rPr>
      </w:pPr>
      <w:bookmarkStart w:id="11" w:name="Firma"/>
      <w:bookmarkEnd w:id="11"/>
      <w:r w:rsidRPr="00CE0902">
        <w:rPr>
          <w:rFonts w:ascii="RWE Sans" w:hAnsi="RWE Sans" w:cs="RWE Sans"/>
          <w:lang w:val="fr-FR"/>
        </w:rPr>
        <w:t>RWE Renewables</w:t>
      </w:r>
    </w:p>
    <w:p w14:paraId="1384A820" w14:textId="77777777" w:rsidR="00107B1A" w:rsidRPr="00CE0902" w:rsidRDefault="00107B1A" w:rsidP="00D73F24">
      <w:pPr>
        <w:pStyle w:val="RWEFlietext"/>
        <w:rPr>
          <w:rFonts w:ascii="RWE Sans" w:hAnsi="RWE Sans" w:cs="RWE Sans"/>
          <w:lang w:val="fr-FR"/>
        </w:rPr>
      </w:pPr>
      <w:r w:rsidRPr="00CE0902">
        <w:rPr>
          <w:rFonts w:ascii="RWE Sans" w:hAnsi="RWE Sans" w:cs="RWE Sans"/>
          <w:lang w:val="fr-FR"/>
        </w:rPr>
        <w:t>0438 118 861</w:t>
      </w:r>
    </w:p>
    <w:p w14:paraId="63328347" w14:textId="77777777" w:rsidR="00107B1A" w:rsidRPr="00CE0902" w:rsidRDefault="00107B1A" w:rsidP="00D73F24">
      <w:pPr>
        <w:pStyle w:val="RWEFlietext"/>
        <w:rPr>
          <w:rFonts w:ascii="RWE Sans" w:hAnsi="RWE Sans" w:cs="RWE Sans"/>
          <w:lang w:val="fr-FR"/>
        </w:rPr>
      </w:pPr>
      <w:r w:rsidRPr="00CE0902">
        <w:rPr>
          <w:rFonts w:ascii="RWE Sans" w:hAnsi="RWE Sans" w:cs="RWE Sans"/>
          <w:lang w:val="fr-FR"/>
        </w:rPr>
        <w:t>matthew.dickie@rwe.com</w:t>
      </w:r>
    </w:p>
    <w:p w14:paraId="23E328B7" w14:textId="77777777" w:rsidR="00AE3B9A" w:rsidRPr="00CE0902" w:rsidRDefault="00AE3B9A" w:rsidP="00FA5C68">
      <w:pPr>
        <w:rPr>
          <w:rFonts w:ascii="Calibri Light" w:hAnsi="Calibri Light"/>
          <w:sz w:val="24"/>
          <w:szCs w:val="24"/>
          <w:lang w:val="fr-FR"/>
        </w:rPr>
      </w:pPr>
    </w:p>
    <w:p w14:paraId="5C9DB9DD" w14:textId="77777777" w:rsidR="00F34C85" w:rsidRPr="00CE0902" w:rsidRDefault="00F34C85" w:rsidP="00FA5C68">
      <w:pPr>
        <w:rPr>
          <w:rFonts w:ascii="Calibri Light" w:hAnsi="Calibri Light"/>
          <w:sz w:val="24"/>
          <w:szCs w:val="24"/>
          <w:lang w:val="fr-FR"/>
        </w:rPr>
      </w:pPr>
    </w:p>
    <w:p w14:paraId="29F034C5" w14:textId="77777777" w:rsidR="00F34C85" w:rsidRPr="00CE0902" w:rsidRDefault="00F34C85" w:rsidP="00FA5C68">
      <w:pPr>
        <w:rPr>
          <w:rFonts w:ascii="Calibri Light" w:hAnsi="Calibri Light"/>
          <w:sz w:val="24"/>
          <w:szCs w:val="24"/>
          <w:lang w:val="fr-FR"/>
        </w:rPr>
      </w:pPr>
    </w:p>
    <w:sectPr w:rsidR="00F34C85" w:rsidRPr="00CE0902" w:rsidSect="00B210FD">
      <w:headerReference w:type="default" r:id="rId17"/>
      <w:footerReference w:type="default" r:id="rId18"/>
      <w:headerReference w:type="first" r:id="rId19"/>
      <w:footerReference w:type="first" r:id="rId20"/>
      <w:type w:val="continuous"/>
      <w:pgSz w:w="11907" w:h="16840" w:code="9"/>
      <w:pgMar w:top="1440" w:right="1440" w:bottom="1440" w:left="1440" w:header="2438"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FF5A7" w14:textId="77777777" w:rsidR="002B3852" w:rsidRDefault="002B3852">
      <w:r>
        <w:separator/>
      </w:r>
    </w:p>
  </w:endnote>
  <w:endnote w:type="continuationSeparator" w:id="0">
    <w:p w14:paraId="2E7D62FD" w14:textId="77777777" w:rsidR="002B3852" w:rsidRDefault="002B3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WE Sans">
    <w:panose1 w:val="020B0504020101010102"/>
    <w:charset w:val="00"/>
    <w:family w:val="swiss"/>
    <w:pitch w:val="variable"/>
    <w:sig w:usb0="A10000EF" w:usb1="5000207B" w:usb2="00000008" w:usb3="00000000" w:csb0="00000093" w:csb1="00000000"/>
  </w:font>
  <w:font w:name="RWE">
    <w:altName w:val="Calibri"/>
    <w:panose1 w:val="02000506060000020004"/>
    <w:charset w:val="00"/>
    <w:family w:val="auto"/>
    <w:pitch w:val="variable"/>
    <w:sig w:usb0="A000002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6AE39" w14:textId="77777777" w:rsidR="00395E09" w:rsidRPr="00580A51" w:rsidRDefault="00395E09" w:rsidP="00765F68">
    <w:pPr>
      <w:pStyle w:val="RWEDokumentname"/>
      <w:tabs>
        <w:tab w:val="center" w:pos="4820"/>
      </w:tabs>
      <w:rPr>
        <w:sz w:val="22"/>
        <w:szCs w:val="22"/>
      </w:rPr>
    </w:pPr>
    <w:r w:rsidRPr="00580A51">
      <w:rPr>
        <w:sz w:val="22"/>
        <w:szCs w:val="22"/>
      </w:rPr>
      <w:tab/>
    </w:r>
    <w:r w:rsidRPr="00580A51">
      <w:rPr>
        <w:sz w:val="22"/>
        <w:szCs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C7EE7" w14:textId="3A0BA73A" w:rsidR="00395E09" w:rsidRPr="00BB4599" w:rsidRDefault="00395E09" w:rsidP="00765F68">
    <w:pPr>
      <w:pStyle w:val="RWEDokumentname"/>
      <w:tabs>
        <w:tab w:val="center" w:pos="4820"/>
      </w:tabs>
      <w:rPr>
        <w:sz w:val="22"/>
        <w:szCs w:val="22"/>
      </w:rPr>
    </w:pPr>
    <w:r w:rsidRPr="00BB4599">
      <w:rPr>
        <w:rFonts w:ascii="RWE Sans" w:hAnsi="RWE Sans" w:cs="RWE Sans"/>
        <w:sz w:val="22"/>
        <w:szCs w:val="22"/>
      </w:rPr>
      <w:tab/>
    </w:r>
    <w:r w:rsidRPr="00BB4599">
      <w:rPr>
        <w:rFonts w:ascii="RWE Sans" w:hAnsi="RWE Sans" w:cs="RWE Sans"/>
        <w:sz w:val="22"/>
        <w:szCs w:val="22"/>
      </w:rPr>
      <w:tab/>
    </w:r>
    <w:r w:rsidRPr="00BB4599">
      <w:rPr>
        <w:sz w:val="22"/>
        <w:szCs w:val="22"/>
      </w:rPr>
      <w:fldChar w:fldCharType="begin"/>
    </w:r>
    <w:r w:rsidRPr="00BB4599">
      <w:rPr>
        <w:sz w:val="22"/>
        <w:szCs w:val="22"/>
      </w:rPr>
      <w:instrText xml:space="preserve"> IF </w:instrText>
    </w:r>
    <w:r w:rsidRPr="00BB4599">
      <w:rPr>
        <w:sz w:val="22"/>
        <w:szCs w:val="22"/>
      </w:rPr>
      <w:fldChar w:fldCharType="begin"/>
    </w:r>
    <w:r w:rsidRPr="00BB4599">
      <w:rPr>
        <w:sz w:val="22"/>
        <w:szCs w:val="22"/>
      </w:rPr>
      <w:instrText xml:space="preserve"> NUMPAGES </w:instrText>
    </w:r>
    <w:r w:rsidRPr="00BB4599">
      <w:rPr>
        <w:sz w:val="22"/>
        <w:szCs w:val="22"/>
      </w:rPr>
      <w:fldChar w:fldCharType="separate"/>
    </w:r>
    <w:r w:rsidR="003F07DD">
      <w:rPr>
        <w:noProof/>
        <w:sz w:val="22"/>
        <w:szCs w:val="22"/>
      </w:rPr>
      <w:instrText>7</w:instrText>
    </w:r>
    <w:r w:rsidRPr="00BB4599">
      <w:rPr>
        <w:sz w:val="22"/>
        <w:szCs w:val="22"/>
      </w:rPr>
      <w:fldChar w:fldCharType="end"/>
    </w:r>
    <w:r w:rsidRPr="00BB4599">
      <w:rPr>
        <w:sz w:val="22"/>
        <w:szCs w:val="22"/>
      </w:rPr>
      <w:instrText xml:space="preserve"> &gt; </w:instrText>
    </w:r>
    <w:r w:rsidRPr="00BB4599">
      <w:rPr>
        <w:sz w:val="22"/>
        <w:szCs w:val="22"/>
      </w:rPr>
      <w:fldChar w:fldCharType="begin"/>
    </w:r>
    <w:r w:rsidRPr="00BB4599">
      <w:rPr>
        <w:sz w:val="22"/>
        <w:szCs w:val="22"/>
      </w:rPr>
      <w:instrText xml:space="preserve"> PAGE </w:instrText>
    </w:r>
    <w:r w:rsidRPr="00BB4599">
      <w:rPr>
        <w:sz w:val="22"/>
        <w:szCs w:val="22"/>
      </w:rPr>
      <w:fldChar w:fldCharType="separate"/>
    </w:r>
    <w:r w:rsidR="003F07DD">
      <w:rPr>
        <w:noProof/>
        <w:sz w:val="22"/>
        <w:szCs w:val="22"/>
      </w:rPr>
      <w:instrText>1</w:instrText>
    </w:r>
    <w:r w:rsidRPr="00BB4599">
      <w:rPr>
        <w:sz w:val="22"/>
        <w:szCs w:val="22"/>
      </w:rPr>
      <w:fldChar w:fldCharType="end"/>
    </w:r>
    <w:r w:rsidRPr="00BB4599">
      <w:rPr>
        <w:sz w:val="22"/>
        <w:szCs w:val="22"/>
      </w:rPr>
      <w:instrText xml:space="preserve"> "..." "" </w:instrText>
    </w:r>
    <w:r w:rsidR="00A172CB">
      <w:rPr>
        <w:sz w:val="22"/>
        <w:szCs w:val="22"/>
      </w:rPr>
      <w:fldChar w:fldCharType="separate"/>
    </w:r>
    <w:r w:rsidR="003F07DD" w:rsidRPr="00BB4599">
      <w:rPr>
        <w:noProof/>
        <w:sz w:val="22"/>
        <w:szCs w:val="22"/>
      </w:rPr>
      <w:t>...</w:t>
    </w:r>
    <w:r w:rsidRPr="00BB4599">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62E90" w14:textId="6F8FB468" w:rsidR="00395E09" w:rsidRPr="0019548B" w:rsidRDefault="00395E09" w:rsidP="00765F68">
    <w:pPr>
      <w:pStyle w:val="RWEDokumentname"/>
      <w:tabs>
        <w:tab w:val="center" w:pos="4820"/>
      </w:tabs>
      <w:rPr>
        <w:sz w:val="22"/>
        <w:szCs w:val="22"/>
      </w:rPr>
    </w:pPr>
    <w:r w:rsidRPr="0019548B">
      <w:rPr>
        <w:sz w:val="22"/>
        <w:szCs w:val="22"/>
      </w:rPr>
      <w:tab/>
    </w:r>
    <w:r w:rsidRPr="0019548B">
      <w:rPr>
        <w:sz w:val="22"/>
        <w:szCs w:val="22"/>
      </w:rPr>
      <w:tab/>
    </w:r>
    <w:r w:rsidRPr="0019548B">
      <w:rPr>
        <w:sz w:val="22"/>
        <w:szCs w:val="22"/>
      </w:rPr>
      <w:fldChar w:fldCharType="begin"/>
    </w:r>
    <w:r w:rsidRPr="0019548B">
      <w:rPr>
        <w:sz w:val="22"/>
        <w:szCs w:val="22"/>
      </w:rPr>
      <w:instrText xml:space="preserve"> IF </w:instrText>
    </w:r>
    <w:r w:rsidRPr="0019548B">
      <w:rPr>
        <w:sz w:val="22"/>
        <w:szCs w:val="22"/>
      </w:rPr>
      <w:fldChar w:fldCharType="begin"/>
    </w:r>
    <w:r w:rsidRPr="0019548B">
      <w:rPr>
        <w:sz w:val="22"/>
        <w:szCs w:val="22"/>
      </w:rPr>
      <w:instrText xml:space="preserve"> SECTIONPAGES </w:instrText>
    </w:r>
    <w:r w:rsidRPr="0019548B">
      <w:rPr>
        <w:sz w:val="22"/>
        <w:szCs w:val="22"/>
      </w:rPr>
      <w:fldChar w:fldCharType="separate"/>
    </w:r>
    <w:r w:rsidR="003F07DD">
      <w:rPr>
        <w:noProof/>
        <w:sz w:val="22"/>
        <w:szCs w:val="22"/>
      </w:rPr>
      <w:instrText>7</w:instrText>
    </w:r>
    <w:r w:rsidRPr="0019548B">
      <w:rPr>
        <w:sz w:val="22"/>
        <w:szCs w:val="22"/>
      </w:rPr>
      <w:fldChar w:fldCharType="end"/>
    </w:r>
    <w:r w:rsidRPr="0019548B">
      <w:rPr>
        <w:sz w:val="22"/>
        <w:szCs w:val="22"/>
      </w:rPr>
      <w:instrText xml:space="preserve"> &gt; </w:instrText>
    </w:r>
    <w:r w:rsidRPr="0019548B">
      <w:rPr>
        <w:sz w:val="22"/>
        <w:szCs w:val="22"/>
      </w:rPr>
      <w:fldChar w:fldCharType="begin"/>
    </w:r>
    <w:r w:rsidRPr="0019548B">
      <w:rPr>
        <w:sz w:val="22"/>
        <w:szCs w:val="22"/>
      </w:rPr>
      <w:instrText xml:space="preserve"> PAGE </w:instrText>
    </w:r>
    <w:r w:rsidRPr="0019548B">
      <w:rPr>
        <w:sz w:val="22"/>
        <w:szCs w:val="22"/>
      </w:rPr>
      <w:fldChar w:fldCharType="separate"/>
    </w:r>
    <w:r w:rsidR="003F07DD">
      <w:rPr>
        <w:noProof/>
        <w:sz w:val="22"/>
        <w:szCs w:val="22"/>
      </w:rPr>
      <w:instrText>3</w:instrText>
    </w:r>
    <w:r w:rsidRPr="0019548B">
      <w:rPr>
        <w:sz w:val="22"/>
        <w:szCs w:val="22"/>
      </w:rPr>
      <w:fldChar w:fldCharType="end"/>
    </w:r>
    <w:r w:rsidRPr="0019548B">
      <w:rPr>
        <w:sz w:val="22"/>
        <w:szCs w:val="22"/>
      </w:rPr>
      <w:instrText xml:space="preserve"> "..." "" </w:instrText>
    </w:r>
    <w:r w:rsidR="003F07DD">
      <w:rPr>
        <w:sz w:val="22"/>
        <w:szCs w:val="22"/>
      </w:rPr>
      <w:fldChar w:fldCharType="separate"/>
    </w:r>
    <w:r w:rsidR="003F07DD" w:rsidRPr="0019548B">
      <w:rPr>
        <w:noProof/>
        <w:sz w:val="22"/>
        <w:szCs w:val="22"/>
      </w:rPr>
      <w:t>...</w:t>
    </w:r>
    <w:r w:rsidRPr="0019548B">
      <w:rPr>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80803" w14:textId="77777777" w:rsidR="00395E09" w:rsidRPr="0019548B" w:rsidRDefault="00395E09" w:rsidP="00765F68">
    <w:pPr>
      <w:pStyle w:val="RWEDokumentname"/>
      <w:tabs>
        <w:tab w:val="center" w:pos="4820"/>
      </w:tabs>
      <w:rPr>
        <w:sz w:val="22"/>
        <w:szCs w:val="22"/>
      </w:rPr>
    </w:pPr>
    <w:r w:rsidRPr="005D0FC9">
      <w:rPr>
        <w:szCs w:val="14"/>
      </w:rPr>
      <w:tab/>
    </w:r>
    <w:r w:rsidRPr="005D0FC9">
      <w:rPr>
        <w:szCs w:val="14"/>
      </w:rPr>
      <w:tab/>
    </w:r>
    <w:r w:rsidRPr="0019548B">
      <w:rPr>
        <w:sz w:val="22"/>
        <w:szCs w:val="22"/>
      </w:rPr>
      <w:fldChar w:fldCharType="begin"/>
    </w:r>
    <w:r w:rsidRPr="0019548B">
      <w:rPr>
        <w:sz w:val="22"/>
        <w:szCs w:val="22"/>
      </w:rPr>
      <w:instrText xml:space="preserve"> IF </w:instrText>
    </w:r>
    <w:r w:rsidRPr="0019548B">
      <w:rPr>
        <w:sz w:val="22"/>
        <w:szCs w:val="22"/>
      </w:rPr>
      <w:fldChar w:fldCharType="begin"/>
    </w:r>
    <w:r w:rsidRPr="0019548B">
      <w:rPr>
        <w:sz w:val="22"/>
        <w:szCs w:val="22"/>
      </w:rPr>
      <w:instrText xml:space="preserve"> NUMPAGES </w:instrText>
    </w:r>
    <w:r w:rsidRPr="0019548B">
      <w:rPr>
        <w:sz w:val="22"/>
        <w:szCs w:val="22"/>
      </w:rPr>
      <w:fldChar w:fldCharType="separate"/>
    </w:r>
    <w:r>
      <w:rPr>
        <w:noProof/>
        <w:sz w:val="22"/>
        <w:szCs w:val="22"/>
      </w:rPr>
      <w:instrText>1</w:instrText>
    </w:r>
    <w:r w:rsidRPr="0019548B">
      <w:rPr>
        <w:sz w:val="22"/>
        <w:szCs w:val="22"/>
      </w:rPr>
      <w:fldChar w:fldCharType="end"/>
    </w:r>
    <w:r w:rsidRPr="0019548B">
      <w:rPr>
        <w:sz w:val="22"/>
        <w:szCs w:val="22"/>
      </w:rPr>
      <w:instrText xml:space="preserve"> &gt; </w:instrText>
    </w:r>
    <w:r w:rsidRPr="0019548B">
      <w:rPr>
        <w:sz w:val="22"/>
        <w:szCs w:val="22"/>
      </w:rPr>
      <w:fldChar w:fldCharType="begin"/>
    </w:r>
    <w:r w:rsidRPr="0019548B">
      <w:rPr>
        <w:sz w:val="22"/>
        <w:szCs w:val="22"/>
      </w:rPr>
      <w:instrText xml:space="preserve"> PAGE </w:instrText>
    </w:r>
    <w:r w:rsidRPr="0019548B">
      <w:rPr>
        <w:sz w:val="22"/>
        <w:szCs w:val="22"/>
      </w:rPr>
      <w:fldChar w:fldCharType="separate"/>
    </w:r>
    <w:r>
      <w:rPr>
        <w:noProof/>
        <w:sz w:val="22"/>
        <w:szCs w:val="22"/>
      </w:rPr>
      <w:instrText>2</w:instrText>
    </w:r>
    <w:r w:rsidRPr="0019548B">
      <w:rPr>
        <w:sz w:val="22"/>
        <w:szCs w:val="22"/>
      </w:rPr>
      <w:fldChar w:fldCharType="end"/>
    </w:r>
    <w:r w:rsidRPr="0019548B">
      <w:rPr>
        <w:sz w:val="22"/>
        <w:szCs w:val="22"/>
      </w:rPr>
      <w:instrText xml:space="preserve"> "..." "" </w:instrText>
    </w:r>
    <w:r w:rsidRPr="0019548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3599C6" w14:textId="77777777" w:rsidR="002B3852" w:rsidRDefault="002B3852">
      <w:r>
        <w:separator/>
      </w:r>
    </w:p>
  </w:footnote>
  <w:footnote w:type="continuationSeparator" w:id="0">
    <w:p w14:paraId="58D76D0B" w14:textId="77777777" w:rsidR="002B3852" w:rsidRDefault="002B3852">
      <w:r>
        <w:continuationSeparator/>
      </w:r>
    </w:p>
  </w:footnote>
  <w:footnote w:id="1">
    <w:p w14:paraId="265A8A27" w14:textId="77777777" w:rsidR="00395E09" w:rsidRPr="004502EC" w:rsidRDefault="00395E09">
      <w:pPr>
        <w:pStyle w:val="FootnoteText"/>
        <w:rPr>
          <w:lang w:val="en-US"/>
        </w:rPr>
      </w:pPr>
      <w:r>
        <w:rPr>
          <w:rStyle w:val="FootnoteReference"/>
        </w:rPr>
        <w:footnoteRef/>
      </w:r>
      <w:r w:rsidRPr="004502EC">
        <w:rPr>
          <w:lang w:val="en-US"/>
        </w:rPr>
        <w:t xml:space="preserve"> </w:t>
      </w:r>
      <w:hyperlink r:id="rId1" w:history="1">
        <w:r w:rsidRPr="00AD2069">
          <w:rPr>
            <w:rStyle w:val="Hyperlink"/>
            <w:rFonts w:ascii="RWE Sans" w:hAnsi="RWE Sans" w:cs="RWE Sans"/>
            <w:i/>
            <w:iCs/>
            <w:lang w:val="en-GB"/>
          </w:rPr>
          <w:t>Post-2025 Market Design Directions Paper</w:t>
        </w:r>
      </w:hyperlink>
      <w:r>
        <w:rPr>
          <w:rFonts w:ascii="RWE Sans" w:hAnsi="RWE Sans" w:cs="RWE Sans"/>
          <w:lang w:val="en-GB"/>
        </w:rPr>
        <w:t xml:space="preserve"> – January 2021, Energy Security Board, p90</w:t>
      </w:r>
    </w:p>
  </w:footnote>
  <w:footnote w:id="2">
    <w:p w14:paraId="7A72D128" w14:textId="77777777" w:rsidR="00395E09" w:rsidRPr="00A66350" w:rsidRDefault="00395E09">
      <w:pPr>
        <w:pStyle w:val="FootnoteText"/>
        <w:rPr>
          <w:rFonts w:ascii="RWE Sans" w:hAnsi="RWE Sans" w:cs="RWE Sans"/>
          <w:lang w:val="en-US"/>
        </w:rPr>
      </w:pPr>
      <w:r w:rsidRPr="00A66350">
        <w:rPr>
          <w:rStyle w:val="FootnoteReference"/>
          <w:rFonts w:ascii="RWE Sans" w:hAnsi="RWE Sans" w:cs="RWE Sans"/>
        </w:rPr>
        <w:footnoteRef/>
      </w:r>
      <w:r w:rsidRPr="00A66350">
        <w:rPr>
          <w:rFonts w:ascii="RWE Sans" w:hAnsi="RWE Sans" w:cs="RWE Sans"/>
          <w:lang w:val="en-US"/>
        </w:rPr>
        <w:t xml:space="preserve"> </w:t>
      </w:r>
      <w:hyperlink r:id="rId2" w:history="1">
        <w:r w:rsidRPr="00AD2069">
          <w:rPr>
            <w:rStyle w:val="Hyperlink"/>
            <w:rFonts w:ascii="RWE Sans" w:hAnsi="RWE Sans" w:cs="RWE Sans"/>
            <w:i/>
            <w:iCs/>
            <w:lang w:val="en-US"/>
          </w:rPr>
          <w:t>Renewable Energy Zones Consultation Paper</w:t>
        </w:r>
      </w:hyperlink>
      <w:r w:rsidRPr="00A66350">
        <w:rPr>
          <w:rFonts w:ascii="RWE Sans" w:hAnsi="RWE Sans" w:cs="RWE Sans"/>
          <w:lang w:val="en-US"/>
        </w:rPr>
        <w:t>, January 2021, Energy Security Board, p17</w:t>
      </w:r>
    </w:p>
  </w:footnote>
  <w:footnote w:id="3">
    <w:p w14:paraId="21CEE751" w14:textId="77777777" w:rsidR="00395E09" w:rsidRPr="00177814" w:rsidRDefault="00395E09" w:rsidP="00A66350">
      <w:pPr>
        <w:pStyle w:val="FootnoteText"/>
        <w:rPr>
          <w:rFonts w:ascii="RWE Sans" w:hAnsi="RWE Sans" w:cs="RWE Sans"/>
          <w:lang w:val="en-US"/>
        </w:rPr>
      </w:pPr>
      <w:r w:rsidRPr="00177814">
        <w:rPr>
          <w:rStyle w:val="FootnoteReference"/>
          <w:rFonts w:ascii="RWE Sans" w:hAnsi="RWE Sans" w:cs="RWE Sans"/>
        </w:rPr>
        <w:footnoteRef/>
      </w:r>
      <w:r w:rsidRPr="006450CE">
        <w:rPr>
          <w:rFonts w:ascii="RWE Sans" w:hAnsi="RWE Sans" w:cs="RWE Sans"/>
          <w:lang w:val="en-US"/>
        </w:rPr>
        <w:t xml:space="preserve"> </w:t>
      </w:r>
      <w:r w:rsidRPr="00177814">
        <w:rPr>
          <w:rFonts w:ascii="RWE Sans" w:hAnsi="RWE Sans" w:cs="RWE Sans"/>
          <w:i/>
          <w:iCs/>
          <w:lang w:val="en-US"/>
        </w:rPr>
        <w:t>Integrated System Plan</w:t>
      </w:r>
      <w:r w:rsidRPr="00177814">
        <w:rPr>
          <w:rFonts w:ascii="RWE Sans" w:hAnsi="RWE Sans" w:cs="RWE Sans"/>
          <w:lang w:val="en-US"/>
        </w:rPr>
        <w:t xml:space="preserve">, </w:t>
      </w:r>
      <w:r>
        <w:rPr>
          <w:rFonts w:ascii="RWE Sans" w:hAnsi="RWE Sans" w:cs="RWE Sans"/>
          <w:lang w:val="en-US"/>
        </w:rPr>
        <w:t xml:space="preserve">2020, </w:t>
      </w:r>
      <w:r w:rsidRPr="00177814">
        <w:rPr>
          <w:rFonts w:ascii="RWE Sans" w:hAnsi="RWE Sans" w:cs="RWE Sans"/>
          <w:lang w:val="en-US"/>
        </w:rPr>
        <w:t>AEMO</w:t>
      </w:r>
    </w:p>
  </w:footnote>
  <w:footnote w:id="4">
    <w:p w14:paraId="198CC49A" w14:textId="77777777" w:rsidR="00395E09" w:rsidRPr="00177814" w:rsidRDefault="00395E09">
      <w:pPr>
        <w:pStyle w:val="FootnoteText"/>
        <w:rPr>
          <w:rFonts w:ascii="RWE Sans" w:hAnsi="RWE Sans" w:cs="RWE Sans"/>
          <w:i/>
          <w:iCs/>
          <w:lang w:val="en-US"/>
        </w:rPr>
      </w:pPr>
      <w:r w:rsidRPr="00177814">
        <w:rPr>
          <w:rStyle w:val="FootnoteReference"/>
          <w:rFonts w:ascii="RWE Sans" w:hAnsi="RWE Sans" w:cs="RWE Sans"/>
        </w:rPr>
        <w:footnoteRef/>
      </w:r>
      <w:r w:rsidRPr="00177814">
        <w:rPr>
          <w:rFonts w:ascii="RWE Sans" w:hAnsi="RWE Sans" w:cs="RWE Sans"/>
          <w:lang w:val="en-US"/>
        </w:rPr>
        <w:t xml:space="preserve"> </w:t>
      </w:r>
      <w:hyperlink r:id="rId3" w:history="1">
        <w:r w:rsidRPr="00177814">
          <w:rPr>
            <w:rStyle w:val="Hyperlink"/>
            <w:rFonts w:ascii="RWE Sans" w:hAnsi="RWE Sans" w:cs="RWE Sans"/>
            <w:i/>
            <w:iCs/>
            <w:lang w:val="en-US"/>
          </w:rPr>
          <w:t>National Electricity (Victoria) Amendment Act 2020 (Vic)</w:t>
        </w:r>
      </w:hyperlink>
      <w:r w:rsidRPr="00177814">
        <w:rPr>
          <w:rFonts w:ascii="RWE Sans" w:hAnsi="RWE Sans" w:cs="RWE Sans"/>
          <w:lang w:val="en-US"/>
        </w:rPr>
        <w:t xml:space="preserve"> and </w:t>
      </w:r>
      <w:hyperlink r:id="rId4" w:history="1">
        <w:r w:rsidRPr="00177814">
          <w:rPr>
            <w:rStyle w:val="Hyperlink"/>
            <w:rFonts w:ascii="RWE Sans" w:hAnsi="RWE Sans" w:cs="RWE Sans"/>
            <w:i/>
            <w:iCs/>
            <w:lang w:val="en-US"/>
          </w:rPr>
          <w:t>Electricity Infrastructure Investment Act 2020 (NSW)</w:t>
        </w:r>
      </w:hyperlink>
    </w:p>
  </w:footnote>
  <w:footnote w:id="5">
    <w:p w14:paraId="485F07EF" w14:textId="77777777" w:rsidR="00395E09" w:rsidRPr="00177814" w:rsidRDefault="00395E09">
      <w:pPr>
        <w:pStyle w:val="FootnoteText"/>
        <w:rPr>
          <w:lang w:val="en-US"/>
        </w:rPr>
      </w:pPr>
      <w:r w:rsidRPr="00177814">
        <w:rPr>
          <w:rStyle w:val="FootnoteReference"/>
          <w:rFonts w:ascii="RWE Sans" w:hAnsi="RWE Sans" w:cs="RWE Sans"/>
        </w:rPr>
        <w:footnoteRef/>
      </w:r>
      <w:r w:rsidRPr="00177814">
        <w:rPr>
          <w:rFonts w:ascii="RWE Sans" w:hAnsi="RWE Sans" w:cs="RWE Sans"/>
          <w:lang w:val="en-US"/>
        </w:rPr>
        <w:t xml:space="preserve"> </w:t>
      </w:r>
      <w:hyperlink r:id="rId5" w:history="1">
        <w:r w:rsidRPr="00177814">
          <w:rPr>
            <w:rStyle w:val="Hyperlink"/>
            <w:rFonts w:ascii="RWE Sans" w:hAnsi="RWE Sans" w:cs="RWE Sans"/>
            <w:lang w:val="en-GB"/>
          </w:rPr>
          <w:t>https://www.aer.gov.au/networks-pipelines/guidelines-schemes-models-reviews/regulation-of-large-transmission-projects</w:t>
        </w:r>
      </w:hyperlink>
    </w:p>
  </w:footnote>
  <w:footnote w:id="6">
    <w:p w14:paraId="00C03A50" w14:textId="77777777" w:rsidR="00395E09" w:rsidRPr="00D17562" w:rsidRDefault="00395E09">
      <w:pPr>
        <w:pStyle w:val="FootnoteText"/>
        <w:rPr>
          <w:rFonts w:ascii="RWE Sans" w:hAnsi="RWE Sans" w:cs="RWE Sans"/>
          <w:lang w:val="en-US"/>
        </w:rPr>
      </w:pPr>
      <w:r w:rsidRPr="00D17562">
        <w:rPr>
          <w:rStyle w:val="FootnoteReference"/>
          <w:rFonts w:ascii="RWE Sans" w:hAnsi="RWE Sans" w:cs="RWE Sans"/>
        </w:rPr>
        <w:footnoteRef/>
      </w:r>
      <w:r w:rsidRPr="00D17562">
        <w:rPr>
          <w:rFonts w:ascii="RWE Sans" w:hAnsi="RWE Sans" w:cs="RWE Sans"/>
          <w:lang w:val="en-US"/>
        </w:rPr>
        <w:t xml:space="preserve"> See submissions at </w:t>
      </w:r>
      <w:hyperlink r:id="rId6" w:history="1">
        <w:r w:rsidRPr="00D17562">
          <w:rPr>
            <w:rStyle w:val="Hyperlink"/>
            <w:rFonts w:ascii="RWE Sans" w:hAnsi="RWE Sans" w:cs="RWE Sans"/>
            <w:lang w:val="en-US"/>
          </w:rPr>
          <w:t>https://www.aemc.gov.au/market-reviews-advice/coordination-generation-and-transmission-investment-implementation-access-and</w:t>
        </w:r>
      </w:hyperlink>
    </w:p>
    <w:p w14:paraId="6989C469" w14:textId="77777777" w:rsidR="00395E09" w:rsidRPr="00D17562" w:rsidRDefault="00395E09">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4771A" w14:textId="77777777" w:rsidR="00395E09" w:rsidRDefault="00395E09">
    <w:pPr>
      <w:pStyle w:val="RWESeitenangabe"/>
    </w:pPr>
    <w:r w:rsidRPr="00142A48">
      <w:rPr>
        <w:noProof/>
        <w:szCs w:val="12"/>
      </w:rPr>
      <w:drawing>
        <wp:anchor distT="0" distB="0" distL="114300" distR="114300" simplePos="0" relativeHeight="251668480" behindDoc="0" locked="1" layoutInCell="1" allowOverlap="1" wp14:anchorId="0632A45B" wp14:editId="5FD7EA88">
          <wp:simplePos x="0" y="0"/>
          <wp:positionH relativeFrom="margin">
            <wp:posOffset>-396240</wp:posOffset>
          </wp:positionH>
          <wp:positionV relativeFrom="margin">
            <wp:posOffset>1854200</wp:posOffset>
          </wp:positionV>
          <wp:extent cx="320400" cy="504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3" r="94823" b="-227291"/>
                  <a:stretch/>
                </pic:blipFill>
                <pic:spPr bwMode="auto">
                  <a:xfrm>
                    <a:off x="0" y="0"/>
                    <a:ext cx="320400" cy="50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C2088">
      <w:rPr>
        <w:rFonts w:ascii="RWE Sans" w:hAnsi="RWE Sans" w:cs="RWE Sans"/>
        <w:noProof/>
      </w:rPr>
      <mc:AlternateContent>
        <mc:Choice Requires="wps">
          <w:drawing>
            <wp:anchor distT="0" distB="0" distL="114300" distR="114300" simplePos="0" relativeHeight="251667456" behindDoc="0" locked="0" layoutInCell="1" allowOverlap="1" wp14:anchorId="794D5B70" wp14:editId="27B9D771">
              <wp:simplePos x="0" y="0"/>
              <wp:positionH relativeFrom="page">
                <wp:posOffset>3168650</wp:posOffset>
              </wp:positionH>
              <wp:positionV relativeFrom="page">
                <wp:posOffset>575945</wp:posOffset>
              </wp:positionV>
              <wp:extent cx="1314000" cy="738000"/>
              <wp:effectExtent l="0" t="0" r="635" b="5080"/>
              <wp:wrapNone/>
              <wp:docPr id="5" name="Text Box 7" descr="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000" cy="738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A84AE33" w14:textId="77777777" w:rsidR="00395E09" w:rsidRDefault="00395E09" w:rsidP="006E4000">
                          <w:r>
                            <w:rPr>
                              <w:noProof/>
                            </w:rPr>
                            <w:drawing>
                              <wp:inline distT="0" distB="0" distL="0" distR="0" wp14:anchorId="08945747" wp14:editId="3DE4F950">
                                <wp:extent cx="1008000" cy="291600"/>
                                <wp:effectExtent l="0" t="0" r="190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008000" cy="2916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4D5B70" id="_x0000_t202" coordsize="21600,21600" o:spt="202" path="m,l,21600r21600,l21600,xe">
              <v:stroke joinstyle="miter"/>
              <v:path gradientshapeok="t" o:connecttype="rect"/>
            </v:shapetype>
            <v:shape id="Text Box 7" o:spid="_x0000_s1027" type="#_x0000_t202" alt="Logo" style="position:absolute;margin-left:249.5pt;margin-top:45.35pt;width:103.45pt;height:58.1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" stroked="f" strokeweight="0">
              <v:textbox>
                <w:txbxContent>
                  <w:p w14:paraId="2A84AE33" w14:textId="77777777" w:rsidR="00395E09" w:rsidRDefault="00395E09" w:rsidP="006E4000">
                    <w:r>
                      <w:rPr>
                        <w:noProof/>
                      </w:rPr>
                      <w:drawing>
                        <wp:inline distT="0" distB="0" distL="0" distR="0" wp14:anchorId="08945747" wp14:editId="3DE4F950">
                          <wp:extent cx="1008000" cy="291600"/>
                          <wp:effectExtent l="0" t="0" r="190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008000" cy="291600"/>
                                  </a:xfrm>
                                  <a:prstGeom prst="rect">
                                    <a:avLst/>
                                  </a:prstGeom>
                                  <a:noFill/>
                                  <a:ln>
                                    <a:noFill/>
                                  </a:ln>
                                </pic:spPr>
                              </pic:pic>
                            </a:graphicData>
                          </a:graphic>
                        </wp:inline>
                      </w:drawing>
                    </w:r>
                  </w:p>
                </w:txbxContent>
              </v:textbox>
              <w10:wrap anchorx="page" anchory="page"/>
            </v:shape>
          </w:pict>
        </mc:Fallback>
      </mc:AlternateContent>
    </w:r>
    <w:r>
      <w:rPr>
        <w:rFonts w:ascii="RWE Sans" w:hAnsi="RWE Sans" w:cs="RWE Sans"/>
      </w:rPr>
      <w:t>Page</w:t>
    </w:r>
    <w:r w:rsidRPr="00FC2088">
      <w:t xml:space="preserve"> </w:t>
    </w:r>
    <w:r w:rsidRPr="00FC2088">
      <w:rPr>
        <w:rFonts w:ascii="RWE Sans" w:hAnsi="RWE Sans" w:cs="RWE Sans"/>
      </w:rPr>
      <w:fldChar w:fldCharType="begin"/>
    </w:r>
    <w:r w:rsidRPr="00FC2088">
      <w:rPr>
        <w:rFonts w:ascii="RWE Sans" w:hAnsi="RWE Sans" w:cs="RWE Sans"/>
      </w:rPr>
      <w:instrText xml:space="preserve"> PAGE </w:instrText>
    </w:r>
    <w:r w:rsidRPr="00FC2088">
      <w:rPr>
        <w:rFonts w:ascii="RWE Sans" w:hAnsi="RWE Sans" w:cs="RWE Sans"/>
      </w:rPr>
      <w:fldChar w:fldCharType="separate"/>
    </w:r>
    <w:r w:rsidRPr="00FC2088">
      <w:rPr>
        <w:rFonts w:ascii="RWE Sans" w:hAnsi="RWE Sans" w:cs="RWE Sans"/>
        <w:noProof/>
      </w:rPr>
      <w:t>2</w:t>
    </w:r>
    <w:r w:rsidRPr="00FC2088">
      <w:rPr>
        <w:rFonts w:ascii="RWE Sans" w:hAnsi="RWE Sans" w:cs="RWE San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8A4DF" w14:textId="77777777" w:rsidR="00395E09" w:rsidRPr="00445BB9" w:rsidRDefault="00395E09">
    <w:pPr>
      <w:pStyle w:val="Header"/>
      <w:rPr>
        <w:rFonts w:cs="Arial"/>
        <w:szCs w:val="22"/>
      </w:rPr>
    </w:pPr>
    <w:r>
      <w:rPr>
        <w:rFonts w:cs="Arial"/>
        <w:noProof/>
        <w:szCs w:val="22"/>
      </w:rPr>
      <mc:AlternateContent>
        <mc:Choice Requires="wps">
          <w:drawing>
            <wp:anchor distT="0" distB="0" distL="114300" distR="114300" simplePos="0" relativeHeight="251666432" behindDoc="0" locked="0" layoutInCell="1" allowOverlap="1" wp14:anchorId="1F8AD85A" wp14:editId="2C9AC76B">
              <wp:simplePos x="0" y="0"/>
              <wp:positionH relativeFrom="page">
                <wp:posOffset>3168650</wp:posOffset>
              </wp:positionH>
              <wp:positionV relativeFrom="page">
                <wp:posOffset>575945</wp:posOffset>
              </wp:positionV>
              <wp:extent cx="1314000" cy="738000"/>
              <wp:effectExtent l="0" t="0" r="635" b="5080"/>
              <wp:wrapNone/>
              <wp:docPr id="6" name="Text Box 5" descr="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000" cy="738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53C67D0" w14:textId="77777777" w:rsidR="00395E09" w:rsidRDefault="00395E09" w:rsidP="006E4000">
                          <w:r>
                            <w:rPr>
                              <w:noProof/>
                            </w:rPr>
                            <w:drawing>
                              <wp:inline distT="0" distB="0" distL="0" distR="0" wp14:anchorId="143D4696" wp14:editId="0DC997C6">
                                <wp:extent cx="1008000" cy="291600"/>
                                <wp:effectExtent l="0" t="0" r="190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08000" cy="2916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AD85A" id="_x0000_t202" coordsize="21600,21600" o:spt="202" path="m,l,21600r21600,l21600,xe">
              <v:stroke joinstyle="miter"/>
              <v:path gradientshapeok="t" o:connecttype="rect"/>
            </v:shapetype>
            <v:shape id="Text Box 5" o:spid="_x0000_s1028" type="#_x0000_t202" alt="Logo" style="position:absolute;margin-left:249.5pt;margin-top:45.35pt;width:103.45pt;height:58.1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" stroked="f" strokeweight="0">
              <v:textbox>
                <w:txbxContent>
                  <w:p w14:paraId="253C67D0" w14:textId="77777777" w:rsidR="00395E09" w:rsidRDefault="00395E09" w:rsidP="006E4000">
                    <w:r>
                      <w:rPr>
                        <w:noProof/>
                      </w:rPr>
                      <w:drawing>
                        <wp:inline distT="0" distB="0" distL="0" distR="0" wp14:anchorId="143D4696" wp14:editId="0DC997C6">
                          <wp:extent cx="1008000" cy="291600"/>
                          <wp:effectExtent l="0" t="0" r="190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08000" cy="291600"/>
                                  </a:xfrm>
                                  <a:prstGeom prst="rect">
                                    <a:avLst/>
                                  </a:prstGeom>
                                  <a:noFill/>
                                  <a:ln>
                                    <a:noFill/>
                                  </a:ln>
                                </pic:spPr>
                              </pic:pic>
                            </a:graphicData>
                          </a:graphic>
                        </wp:inline>
                      </w:drawing>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D2E50" w14:textId="77777777" w:rsidR="00395E09" w:rsidRPr="00D65CC5" w:rsidRDefault="00395E09" w:rsidP="00D65CC5">
    <w:pPr>
      <w:pStyle w:val="RWESeitenangabe"/>
    </w:pPr>
    <w:r w:rsidRPr="00142A48">
      <w:rPr>
        <w:noProof/>
        <w:szCs w:val="12"/>
      </w:rPr>
      <w:drawing>
        <wp:anchor distT="0" distB="0" distL="114300" distR="114300" simplePos="0" relativeHeight="251664384" behindDoc="0" locked="1" layoutInCell="1" allowOverlap="1" wp14:anchorId="48E11BBA" wp14:editId="7EF18FD3">
          <wp:simplePos x="0" y="0"/>
          <wp:positionH relativeFrom="margin">
            <wp:posOffset>-396240</wp:posOffset>
          </wp:positionH>
          <wp:positionV relativeFrom="margin">
            <wp:posOffset>1854200</wp:posOffset>
          </wp:positionV>
          <wp:extent cx="320400" cy="5040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3" r="94823" b="-227291"/>
                  <a:stretch/>
                </pic:blipFill>
                <pic:spPr bwMode="auto">
                  <a:xfrm>
                    <a:off x="0" y="0"/>
                    <a:ext cx="320400" cy="50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C2088">
      <w:rPr>
        <w:rFonts w:ascii="RWE Sans" w:hAnsi="RWE Sans" w:cs="RWE Sans"/>
        <w:noProof/>
      </w:rPr>
      <mc:AlternateContent>
        <mc:Choice Requires="wps">
          <w:drawing>
            <wp:anchor distT="0" distB="0" distL="114300" distR="114300" simplePos="0" relativeHeight="251661312" behindDoc="0" locked="0" layoutInCell="1" allowOverlap="1" wp14:anchorId="14278904" wp14:editId="4BC01F91">
              <wp:simplePos x="0" y="0"/>
              <wp:positionH relativeFrom="page">
                <wp:posOffset>3168650</wp:posOffset>
              </wp:positionH>
              <wp:positionV relativeFrom="page">
                <wp:posOffset>575945</wp:posOffset>
              </wp:positionV>
              <wp:extent cx="1314000" cy="738000"/>
              <wp:effectExtent l="0" t="0" r="635" b="5080"/>
              <wp:wrapNone/>
              <wp:docPr id="4" name="Text Box 7" descr="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000" cy="738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E58E7B9" w14:textId="77777777" w:rsidR="00395E09" w:rsidRDefault="00395E09" w:rsidP="00D65CC5">
                          <w:r>
                            <w:rPr>
                              <w:noProof/>
                            </w:rPr>
                            <w:drawing>
                              <wp:inline distT="0" distB="0" distL="0" distR="0" wp14:anchorId="09D05203" wp14:editId="17E6F0B8">
                                <wp:extent cx="1008000" cy="291600"/>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008000" cy="2916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8904" id="_x0000_t202" coordsize="21600,21600" o:spt="202" path="m,l,21600r21600,l21600,xe">
              <v:stroke joinstyle="miter"/>
              <v:path gradientshapeok="t" o:connecttype="rect"/>
            </v:shapetype>
            <v:shape id="_x0000_s1029" type="#_x0000_t202" alt="Logo" style="position:absolute;margin-left:249.5pt;margin-top:45.35pt;width:103.45pt;height:58.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" stroked="f" strokeweight="0">
              <v:textbox>
                <w:txbxContent>
                  <w:p w14:paraId="2E58E7B9" w14:textId="77777777" w:rsidR="00395E09" w:rsidRDefault="00395E09" w:rsidP="00D65CC5">
                    <w:r>
                      <w:rPr>
                        <w:noProof/>
                      </w:rPr>
                      <w:drawing>
                        <wp:inline distT="0" distB="0" distL="0" distR="0" wp14:anchorId="09D05203" wp14:editId="17E6F0B8">
                          <wp:extent cx="1008000" cy="291600"/>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008000" cy="291600"/>
                                  </a:xfrm>
                                  <a:prstGeom prst="rect">
                                    <a:avLst/>
                                  </a:prstGeom>
                                  <a:noFill/>
                                  <a:ln>
                                    <a:noFill/>
                                  </a:ln>
                                </pic:spPr>
                              </pic:pic>
                            </a:graphicData>
                          </a:graphic>
                        </wp:inline>
                      </w:drawing>
                    </w:r>
                  </w:p>
                </w:txbxContent>
              </v:textbox>
              <w10:wrap anchorx="page" anchory="page"/>
            </v:shape>
          </w:pict>
        </mc:Fallback>
      </mc:AlternateContent>
    </w:r>
    <w:r>
      <w:rPr>
        <w:rFonts w:ascii="RWE Sans" w:hAnsi="RWE Sans" w:cs="RWE Sans"/>
      </w:rPr>
      <w:t>Page</w:t>
    </w:r>
    <w:r w:rsidRPr="00FC2088">
      <w:t xml:space="preserve"> </w:t>
    </w:r>
    <w:r w:rsidRPr="00FC2088">
      <w:rPr>
        <w:rFonts w:ascii="RWE Sans" w:hAnsi="RWE Sans" w:cs="RWE Sans"/>
      </w:rPr>
      <w:fldChar w:fldCharType="begin"/>
    </w:r>
    <w:r w:rsidRPr="00FC2088">
      <w:rPr>
        <w:rFonts w:ascii="RWE Sans" w:hAnsi="RWE Sans" w:cs="RWE Sans"/>
      </w:rPr>
      <w:instrText xml:space="preserve"> PAGE </w:instrText>
    </w:r>
    <w:r w:rsidRPr="00FC2088">
      <w:rPr>
        <w:rFonts w:ascii="RWE Sans" w:hAnsi="RWE Sans" w:cs="RWE Sans"/>
      </w:rPr>
      <w:fldChar w:fldCharType="separate"/>
    </w:r>
    <w:r>
      <w:rPr>
        <w:rFonts w:ascii="RWE Sans" w:hAnsi="RWE Sans" w:cs="RWE Sans"/>
        <w:noProof/>
      </w:rPr>
      <w:t>2</w:t>
    </w:r>
    <w:r w:rsidRPr="00FC2088">
      <w:rPr>
        <w:rFonts w:ascii="RWE Sans" w:hAnsi="RWE Sans" w:cs="RWE San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C3F73" w14:textId="77777777" w:rsidR="00395E09" w:rsidRPr="00445BB9" w:rsidRDefault="00395E09" w:rsidP="00D65CC5">
    <w:pPr>
      <w:pStyle w:val="Header"/>
      <w:rPr>
        <w:rFonts w:cs="Arial"/>
        <w:szCs w:val="22"/>
      </w:rPr>
    </w:pPr>
    <w:r>
      <w:rPr>
        <w:rFonts w:cs="Arial"/>
        <w:noProof/>
        <w:szCs w:val="22"/>
      </w:rPr>
      <mc:AlternateContent>
        <mc:Choice Requires="wps">
          <w:drawing>
            <wp:anchor distT="0" distB="0" distL="114300" distR="114300" simplePos="0" relativeHeight="251657216" behindDoc="0" locked="0" layoutInCell="1" allowOverlap="1" wp14:anchorId="2487D199" wp14:editId="09809ED8">
              <wp:simplePos x="0" y="0"/>
              <wp:positionH relativeFrom="page">
                <wp:posOffset>3168650</wp:posOffset>
              </wp:positionH>
              <wp:positionV relativeFrom="page">
                <wp:posOffset>575945</wp:posOffset>
              </wp:positionV>
              <wp:extent cx="1314000" cy="738000"/>
              <wp:effectExtent l="0" t="0" r="635" b="5080"/>
              <wp:wrapNone/>
              <wp:docPr id="2" name="Text Box 5" descr="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000" cy="738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5CBD1220" w14:textId="77777777" w:rsidR="00395E09" w:rsidRDefault="00395E09" w:rsidP="00D65CC5">
                          <w:r>
                            <w:rPr>
                              <w:noProof/>
                            </w:rPr>
                            <w:drawing>
                              <wp:inline distT="0" distB="0" distL="0" distR="0" wp14:anchorId="11AD7C18" wp14:editId="477E4F81">
                                <wp:extent cx="1008000" cy="291600"/>
                                <wp:effectExtent l="0" t="0" r="190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08000" cy="2916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7D199" id="_x0000_t202" coordsize="21600,21600" o:spt="202" path="m,l,21600r21600,l21600,xe">
              <v:stroke joinstyle="miter"/>
              <v:path gradientshapeok="t" o:connecttype="rect"/>
            </v:shapetype>
            <v:shape id="_x0000_s1030" type="#_x0000_t202" alt="Logo" style="position:absolute;margin-left:249.5pt;margin-top:45.35pt;width:103.45pt;height:58.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" stroked="f" strokeweight="0">
              <v:textbox>
                <w:txbxContent>
                  <w:p w14:paraId="5CBD1220" w14:textId="77777777" w:rsidR="00395E09" w:rsidRDefault="00395E09" w:rsidP="00D65CC5">
                    <w:r>
                      <w:rPr>
                        <w:noProof/>
                      </w:rPr>
                      <w:drawing>
                        <wp:inline distT="0" distB="0" distL="0" distR="0" wp14:anchorId="11AD7C18" wp14:editId="477E4F81">
                          <wp:extent cx="1008000" cy="291600"/>
                          <wp:effectExtent l="0" t="0" r="190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08000" cy="291600"/>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E5313"/>
    <w:multiLevelType w:val="hybridMultilevel"/>
    <w:tmpl w:val="75B87E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897C47"/>
    <w:multiLevelType w:val="multilevel"/>
    <w:tmpl w:val="2BFA9460"/>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C1522E"/>
    <w:multiLevelType w:val="hybridMultilevel"/>
    <w:tmpl w:val="0FA8F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E56CC"/>
    <w:multiLevelType w:val="hybridMultilevel"/>
    <w:tmpl w:val="332A5A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11354E43"/>
    <w:multiLevelType w:val="hybridMultilevel"/>
    <w:tmpl w:val="826A9F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898221D"/>
    <w:multiLevelType w:val="hybridMultilevel"/>
    <w:tmpl w:val="DB3C1F6E"/>
    <w:lvl w:ilvl="0" w:tplc="371EFB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89132C"/>
    <w:multiLevelType w:val="hybridMultilevel"/>
    <w:tmpl w:val="B3A2CA54"/>
    <w:lvl w:ilvl="0" w:tplc="FCEECB9C">
      <w:start w:val="12"/>
      <w:numFmt w:val="bullet"/>
      <w:lvlText w:val="-"/>
      <w:lvlJc w:val="left"/>
      <w:pPr>
        <w:ind w:left="720" w:hanging="360"/>
      </w:pPr>
      <w:rPr>
        <w:rFonts w:ascii="RWE Sans" w:eastAsia="Times New Roman" w:hAnsi="RWE Sans" w:cs="RWE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C92889"/>
    <w:multiLevelType w:val="hybridMultilevel"/>
    <w:tmpl w:val="56D808B4"/>
    <w:lvl w:ilvl="0" w:tplc="00BEC44E">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5582404"/>
    <w:multiLevelType w:val="multilevel"/>
    <w:tmpl w:val="E3802B78"/>
    <w:lvl w:ilvl="0">
      <w:start w:val="2"/>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7D20591"/>
    <w:multiLevelType w:val="hybridMultilevel"/>
    <w:tmpl w:val="6F5A2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1"/>
  </w:num>
  <w:num w:numId="5">
    <w:abstractNumId w:val="8"/>
  </w:num>
  <w:num w:numId="6">
    <w:abstractNumId w:val="0"/>
  </w:num>
  <w:num w:numId="7">
    <w:abstractNumId w:val="6"/>
  </w:num>
  <w:num w:numId="8">
    <w:abstractNumId w:val="2"/>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33F"/>
    <w:rsid w:val="000325A6"/>
    <w:rsid w:val="00043CAC"/>
    <w:rsid w:val="00071F60"/>
    <w:rsid w:val="00072AA4"/>
    <w:rsid w:val="000951C7"/>
    <w:rsid w:val="000970C6"/>
    <w:rsid w:val="000A4167"/>
    <w:rsid w:val="000B137A"/>
    <w:rsid w:val="000B6159"/>
    <w:rsid w:val="000D6829"/>
    <w:rsid w:val="000D77E7"/>
    <w:rsid w:val="000E2114"/>
    <w:rsid w:val="000E4A17"/>
    <w:rsid w:val="000F58DC"/>
    <w:rsid w:val="00100965"/>
    <w:rsid w:val="00107B1A"/>
    <w:rsid w:val="0011533F"/>
    <w:rsid w:val="00135AFC"/>
    <w:rsid w:val="00143578"/>
    <w:rsid w:val="001439CE"/>
    <w:rsid w:val="00144383"/>
    <w:rsid w:val="00147086"/>
    <w:rsid w:val="001563B7"/>
    <w:rsid w:val="00172547"/>
    <w:rsid w:val="00177814"/>
    <w:rsid w:val="0019548B"/>
    <w:rsid w:val="001E43E9"/>
    <w:rsid w:val="001F2926"/>
    <w:rsid w:val="001F2F2F"/>
    <w:rsid w:val="002156F7"/>
    <w:rsid w:val="0021639E"/>
    <w:rsid w:val="0023372E"/>
    <w:rsid w:val="002377BF"/>
    <w:rsid w:val="00246BC4"/>
    <w:rsid w:val="002513C8"/>
    <w:rsid w:val="00281CBF"/>
    <w:rsid w:val="00284B6C"/>
    <w:rsid w:val="002A2658"/>
    <w:rsid w:val="002A5B4C"/>
    <w:rsid w:val="002B2741"/>
    <w:rsid w:val="002B3852"/>
    <w:rsid w:val="002B67E4"/>
    <w:rsid w:val="002C1439"/>
    <w:rsid w:val="002F3357"/>
    <w:rsid w:val="002F35A1"/>
    <w:rsid w:val="0030224E"/>
    <w:rsid w:val="00312376"/>
    <w:rsid w:val="003136C1"/>
    <w:rsid w:val="0032321A"/>
    <w:rsid w:val="0035771B"/>
    <w:rsid w:val="00362297"/>
    <w:rsid w:val="00367C59"/>
    <w:rsid w:val="00380910"/>
    <w:rsid w:val="0038154A"/>
    <w:rsid w:val="003901CD"/>
    <w:rsid w:val="00395E09"/>
    <w:rsid w:val="003A4394"/>
    <w:rsid w:val="003C6828"/>
    <w:rsid w:val="003D29DA"/>
    <w:rsid w:val="003E3A43"/>
    <w:rsid w:val="003E5305"/>
    <w:rsid w:val="003F07DD"/>
    <w:rsid w:val="00404333"/>
    <w:rsid w:val="00405304"/>
    <w:rsid w:val="004104E3"/>
    <w:rsid w:val="0042138B"/>
    <w:rsid w:val="00443D43"/>
    <w:rsid w:val="00445BB9"/>
    <w:rsid w:val="004502EC"/>
    <w:rsid w:val="00460923"/>
    <w:rsid w:val="004A4F66"/>
    <w:rsid w:val="004A5876"/>
    <w:rsid w:val="004C2BCA"/>
    <w:rsid w:val="004F1BC4"/>
    <w:rsid w:val="004F4292"/>
    <w:rsid w:val="00517DE6"/>
    <w:rsid w:val="005219B9"/>
    <w:rsid w:val="00571380"/>
    <w:rsid w:val="005D01D2"/>
    <w:rsid w:val="005D0FC9"/>
    <w:rsid w:val="005D7EF9"/>
    <w:rsid w:val="00611E3E"/>
    <w:rsid w:val="00637C41"/>
    <w:rsid w:val="006450CE"/>
    <w:rsid w:val="00670EB9"/>
    <w:rsid w:val="00676A99"/>
    <w:rsid w:val="006A4573"/>
    <w:rsid w:val="006E3D9E"/>
    <w:rsid w:val="006E4000"/>
    <w:rsid w:val="006F441B"/>
    <w:rsid w:val="00735262"/>
    <w:rsid w:val="00747ABC"/>
    <w:rsid w:val="00752115"/>
    <w:rsid w:val="00765F68"/>
    <w:rsid w:val="00780F2C"/>
    <w:rsid w:val="007952B2"/>
    <w:rsid w:val="00796B2C"/>
    <w:rsid w:val="007A4EE1"/>
    <w:rsid w:val="007B491A"/>
    <w:rsid w:val="007B5B29"/>
    <w:rsid w:val="007C58B8"/>
    <w:rsid w:val="007C6C83"/>
    <w:rsid w:val="007D6164"/>
    <w:rsid w:val="007E1127"/>
    <w:rsid w:val="007E52DC"/>
    <w:rsid w:val="007E5396"/>
    <w:rsid w:val="0081370B"/>
    <w:rsid w:val="00825BFD"/>
    <w:rsid w:val="00830057"/>
    <w:rsid w:val="00835D65"/>
    <w:rsid w:val="0083622A"/>
    <w:rsid w:val="00842CF5"/>
    <w:rsid w:val="00847508"/>
    <w:rsid w:val="008522D5"/>
    <w:rsid w:val="00867DE4"/>
    <w:rsid w:val="00892A2A"/>
    <w:rsid w:val="00893390"/>
    <w:rsid w:val="00895E10"/>
    <w:rsid w:val="008A56D2"/>
    <w:rsid w:val="008B0111"/>
    <w:rsid w:val="008C2A34"/>
    <w:rsid w:val="008C6B94"/>
    <w:rsid w:val="008D4B09"/>
    <w:rsid w:val="008E1CC5"/>
    <w:rsid w:val="00932385"/>
    <w:rsid w:val="009455B0"/>
    <w:rsid w:val="009522D6"/>
    <w:rsid w:val="00965BD5"/>
    <w:rsid w:val="00985A14"/>
    <w:rsid w:val="009B360F"/>
    <w:rsid w:val="009F18C5"/>
    <w:rsid w:val="009F5C76"/>
    <w:rsid w:val="00A01D6E"/>
    <w:rsid w:val="00A05AE8"/>
    <w:rsid w:val="00A0635D"/>
    <w:rsid w:val="00A11F60"/>
    <w:rsid w:val="00A172CB"/>
    <w:rsid w:val="00A23F01"/>
    <w:rsid w:val="00A40D4A"/>
    <w:rsid w:val="00A41932"/>
    <w:rsid w:val="00A450AA"/>
    <w:rsid w:val="00A60F13"/>
    <w:rsid w:val="00A66350"/>
    <w:rsid w:val="00A70174"/>
    <w:rsid w:val="00A723D6"/>
    <w:rsid w:val="00A737F9"/>
    <w:rsid w:val="00A96279"/>
    <w:rsid w:val="00AA2CF1"/>
    <w:rsid w:val="00AA3EA0"/>
    <w:rsid w:val="00AB0407"/>
    <w:rsid w:val="00AB2A6F"/>
    <w:rsid w:val="00AB2BA1"/>
    <w:rsid w:val="00AD2069"/>
    <w:rsid w:val="00AE3B9A"/>
    <w:rsid w:val="00B05688"/>
    <w:rsid w:val="00B210FD"/>
    <w:rsid w:val="00B60939"/>
    <w:rsid w:val="00B64392"/>
    <w:rsid w:val="00B65473"/>
    <w:rsid w:val="00B755AD"/>
    <w:rsid w:val="00B84943"/>
    <w:rsid w:val="00BB1240"/>
    <w:rsid w:val="00BB44A2"/>
    <w:rsid w:val="00BB605D"/>
    <w:rsid w:val="00BC351E"/>
    <w:rsid w:val="00BE53F4"/>
    <w:rsid w:val="00BF4D6F"/>
    <w:rsid w:val="00C56BFF"/>
    <w:rsid w:val="00C70C79"/>
    <w:rsid w:val="00C71186"/>
    <w:rsid w:val="00C74C0C"/>
    <w:rsid w:val="00C9301F"/>
    <w:rsid w:val="00CA2966"/>
    <w:rsid w:val="00CA747D"/>
    <w:rsid w:val="00CE0902"/>
    <w:rsid w:val="00CE78FE"/>
    <w:rsid w:val="00CF4005"/>
    <w:rsid w:val="00D0382E"/>
    <w:rsid w:val="00D04E26"/>
    <w:rsid w:val="00D05CBC"/>
    <w:rsid w:val="00D115F7"/>
    <w:rsid w:val="00D12DBE"/>
    <w:rsid w:val="00D17562"/>
    <w:rsid w:val="00D242F9"/>
    <w:rsid w:val="00D26063"/>
    <w:rsid w:val="00D33F1D"/>
    <w:rsid w:val="00D42FEB"/>
    <w:rsid w:val="00D51993"/>
    <w:rsid w:val="00D53ED2"/>
    <w:rsid w:val="00D5449C"/>
    <w:rsid w:val="00D547DF"/>
    <w:rsid w:val="00D63B6F"/>
    <w:rsid w:val="00D65CC5"/>
    <w:rsid w:val="00D720F7"/>
    <w:rsid w:val="00D73F24"/>
    <w:rsid w:val="00D756E7"/>
    <w:rsid w:val="00DC36DE"/>
    <w:rsid w:val="00DD0306"/>
    <w:rsid w:val="00DE2E90"/>
    <w:rsid w:val="00DE59C4"/>
    <w:rsid w:val="00DE6175"/>
    <w:rsid w:val="00DE7713"/>
    <w:rsid w:val="00DF2A86"/>
    <w:rsid w:val="00E04CB4"/>
    <w:rsid w:val="00E0743B"/>
    <w:rsid w:val="00E378C8"/>
    <w:rsid w:val="00E41B7B"/>
    <w:rsid w:val="00E55E91"/>
    <w:rsid w:val="00E7382A"/>
    <w:rsid w:val="00E771C7"/>
    <w:rsid w:val="00E818E9"/>
    <w:rsid w:val="00E90485"/>
    <w:rsid w:val="00EA22F3"/>
    <w:rsid w:val="00EA713C"/>
    <w:rsid w:val="00EB0484"/>
    <w:rsid w:val="00EB1339"/>
    <w:rsid w:val="00EB24D4"/>
    <w:rsid w:val="00EC4FD6"/>
    <w:rsid w:val="00EC6032"/>
    <w:rsid w:val="00EE7F5F"/>
    <w:rsid w:val="00F0222C"/>
    <w:rsid w:val="00F102DE"/>
    <w:rsid w:val="00F26D71"/>
    <w:rsid w:val="00F34C85"/>
    <w:rsid w:val="00F5327C"/>
    <w:rsid w:val="00F5697C"/>
    <w:rsid w:val="00F56F5D"/>
    <w:rsid w:val="00F80829"/>
    <w:rsid w:val="00F8796F"/>
    <w:rsid w:val="00F97773"/>
    <w:rsid w:val="00FA0E96"/>
    <w:rsid w:val="00FA5C68"/>
    <w:rsid w:val="00FA5F36"/>
    <w:rsid w:val="00FC48E8"/>
    <w:rsid w:val="00FF34F7"/>
    <w:rsid w:val="00FF3DE7"/>
    <w:rsid w:val="00FF4420"/>
    <w:rsid w:val="00FF64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AC39EF"/>
  <w15:docId w15:val="{9DE12DF9-AB34-4D9D-9B31-0378E17E4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WEFensterzeile">
    <w:name w:val="RWE Fensterzeile"/>
    <w:basedOn w:val="Normal"/>
    <w:rPr>
      <w:rFonts w:ascii="RWE" w:hAnsi="RWE"/>
      <w:sz w:val="12"/>
      <w:u w:val="single"/>
    </w:rPr>
  </w:style>
  <w:style w:type="paragraph" w:customStyle="1" w:styleId="RWEBetreffberschrift">
    <w:name w:val="RWE Betreff/Überschrift"/>
    <w:basedOn w:val="Normal"/>
    <w:pPr>
      <w:spacing w:line="264" w:lineRule="exact"/>
    </w:pPr>
    <w:rPr>
      <w:b/>
    </w:rPr>
  </w:style>
  <w:style w:type="paragraph" w:customStyle="1" w:styleId="RWEFlietext">
    <w:name w:val="RWE Fließtext"/>
    <w:basedOn w:val="Normal"/>
    <w:pPr>
      <w:spacing w:line="264" w:lineRule="exact"/>
    </w:pPr>
  </w:style>
  <w:style w:type="paragraph" w:customStyle="1" w:styleId="RWEAnlagen">
    <w:name w:val="RWE Anlage(n)"/>
    <w:basedOn w:val="Normal"/>
  </w:style>
  <w:style w:type="paragraph" w:customStyle="1" w:styleId="RWEBezugtext">
    <w:name w:val="RWE Bezugtext"/>
    <w:basedOn w:val="Normal"/>
    <w:rPr>
      <w:sz w:val="16"/>
    </w:rPr>
  </w:style>
  <w:style w:type="paragraph" w:customStyle="1" w:styleId="RWEBezugtitel">
    <w:name w:val="RWE Bezugtitel"/>
    <w:basedOn w:val="Normal"/>
    <w:rPr>
      <w:rFonts w:ascii="RWE" w:hAnsi="RWE"/>
      <w:sz w:val="16"/>
    </w:rPr>
  </w:style>
  <w:style w:type="paragraph" w:customStyle="1" w:styleId="RWEDokumentname">
    <w:name w:val="RWE Dokumentname"/>
    <w:basedOn w:val="Normal"/>
    <w:rsid w:val="00312376"/>
    <w:pPr>
      <w:tabs>
        <w:tab w:val="right" w:pos="7938"/>
      </w:tabs>
    </w:pPr>
    <w:rPr>
      <w:sz w:val="14"/>
    </w:rPr>
  </w:style>
  <w:style w:type="paragraph" w:customStyle="1" w:styleId="RWESeitenangabe">
    <w:name w:val="RWE Seitenangabe"/>
    <w:basedOn w:val="Normal"/>
    <w:rPr>
      <w:sz w:val="16"/>
    </w:rPr>
  </w:style>
  <w:style w:type="paragraph" w:customStyle="1" w:styleId="RWEOrgEinheit">
    <w:name w:val="RWE OrgEinheit"/>
    <w:basedOn w:val="Normal"/>
    <w:rPr>
      <w:b/>
      <w:sz w:val="1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Vorstandsleiste">
    <w:name w:val="Vorstandsleiste"/>
    <w:basedOn w:val="Normal"/>
    <w:link w:val="VorstandsleisteZchn"/>
    <w:rsid w:val="0011533F"/>
    <w:pPr>
      <w:tabs>
        <w:tab w:val="left" w:pos="170"/>
        <w:tab w:val="left" w:pos="5443"/>
        <w:tab w:val="left" w:pos="7881"/>
      </w:tabs>
      <w:spacing w:line="168" w:lineRule="exact"/>
    </w:pPr>
    <w:rPr>
      <w:rFonts w:ascii="RWE Sans" w:hAnsi="RWE Sans"/>
      <w:color w:val="1D4477"/>
      <w:sz w:val="14"/>
    </w:rPr>
  </w:style>
  <w:style w:type="paragraph" w:customStyle="1" w:styleId="VorstandsleisteZwiZei">
    <w:name w:val="Vorstandsleiste ZwiZei"/>
    <w:basedOn w:val="Vorstandsleiste"/>
    <w:next w:val="Vorstandsleiste"/>
    <w:rsid w:val="0011533F"/>
    <w:pPr>
      <w:spacing w:line="100" w:lineRule="exact"/>
    </w:pPr>
  </w:style>
  <w:style w:type="paragraph" w:customStyle="1" w:styleId="Vorstandsleistefett">
    <w:name w:val="Vorstandsleiste fett"/>
    <w:basedOn w:val="Vorstandsleiste"/>
    <w:link w:val="VorstandsleistefettZchn"/>
    <w:rsid w:val="0011533F"/>
    <w:rPr>
      <w:b/>
      <w:noProof/>
    </w:rPr>
  </w:style>
  <w:style w:type="character" w:customStyle="1" w:styleId="VorstandsleisteZchn">
    <w:name w:val="Vorstandsleiste Zchn"/>
    <w:basedOn w:val="DefaultParagraphFont"/>
    <w:link w:val="Vorstandsleiste"/>
    <w:locked/>
    <w:rsid w:val="0011533F"/>
    <w:rPr>
      <w:rFonts w:ascii="RWE Sans" w:hAnsi="RWE Sans"/>
      <w:color w:val="1D4477"/>
      <w:sz w:val="14"/>
    </w:rPr>
  </w:style>
  <w:style w:type="character" w:customStyle="1" w:styleId="VorstandsleistefettZchn">
    <w:name w:val="Vorstandsleiste fett Zchn"/>
    <w:basedOn w:val="DefaultParagraphFont"/>
    <w:link w:val="Vorstandsleistefett"/>
    <w:locked/>
    <w:rsid w:val="0011533F"/>
    <w:rPr>
      <w:rFonts w:ascii="RWE Sans" w:hAnsi="RWE Sans"/>
      <w:b/>
      <w:noProof/>
      <w:color w:val="1D4477"/>
      <w:sz w:val="14"/>
    </w:rPr>
  </w:style>
  <w:style w:type="paragraph" w:styleId="BalloonText">
    <w:name w:val="Balloon Text"/>
    <w:basedOn w:val="Normal"/>
    <w:link w:val="BalloonTextChar"/>
    <w:rsid w:val="00BB1240"/>
    <w:rPr>
      <w:rFonts w:ascii="Segoe UI" w:hAnsi="Segoe UI" w:cs="Segoe UI"/>
      <w:sz w:val="18"/>
      <w:szCs w:val="18"/>
    </w:rPr>
  </w:style>
  <w:style w:type="character" w:customStyle="1" w:styleId="BalloonTextChar">
    <w:name w:val="Balloon Text Char"/>
    <w:basedOn w:val="DefaultParagraphFont"/>
    <w:link w:val="BalloonText"/>
    <w:rsid w:val="00BB1240"/>
    <w:rPr>
      <w:rFonts w:ascii="Segoe UI" w:hAnsi="Segoe UI" w:cs="Segoe UI"/>
      <w:sz w:val="18"/>
      <w:szCs w:val="18"/>
    </w:rPr>
  </w:style>
  <w:style w:type="table" w:styleId="TableGrid">
    <w:name w:val="Table Grid"/>
    <w:basedOn w:val="TableNormal"/>
    <w:rsid w:val="00BB1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1240"/>
    <w:pPr>
      <w:ind w:left="720"/>
      <w:contextualSpacing/>
    </w:pPr>
  </w:style>
  <w:style w:type="character" w:styleId="Hyperlink">
    <w:name w:val="Hyperlink"/>
    <w:basedOn w:val="DefaultParagraphFont"/>
    <w:unhideWhenUsed/>
    <w:rsid w:val="002513C8"/>
    <w:rPr>
      <w:color w:val="0000FF" w:themeColor="hyperlink"/>
      <w:u w:val="single"/>
    </w:rPr>
  </w:style>
  <w:style w:type="character" w:styleId="UnresolvedMention">
    <w:name w:val="Unresolved Mention"/>
    <w:basedOn w:val="DefaultParagraphFont"/>
    <w:uiPriority w:val="99"/>
    <w:semiHidden/>
    <w:unhideWhenUsed/>
    <w:rsid w:val="002513C8"/>
    <w:rPr>
      <w:color w:val="605E5C"/>
      <w:shd w:val="clear" w:color="auto" w:fill="E1DFDD"/>
    </w:rPr>
  </w:style>
  <w:style w:type="character" w:styleId="CommentReference">
    <w:name w:val="annotation reference"/>
    <w:basedOn w:val="DefaultParagraphFont"/>
    <w:uiPriority w:val="99"/>
    <w:semiHidden/>
    <w:unhideWhenUsed/>
    <w:rsid w:val="00EB24D4"/>
    <w:rPr>
      <w:sz w:val="16"/>
      <w:szCs w:val="16"/>
    </w:rPr>
  </w:style>
  <w:style w:type="paragraph" w:styleId="CommentText">
    <w:name w:val="annotation text"/>
    <w:basedOn w:val="Normal"/>
    <w:link w:val="CommentTextChar"/>
    <w:uiPriority w:val="99"/>
    <w:semiHidden/>
    <w:unhideWhenUsed/>
    <w:rsid w:val="00EB24D4"/>
    <w:pPr>
      <w:spacing w:after="160"/>
    </w:pPr>
    <w:rPr>
      <w:rFonts w:asciiTheme="minorHAnsi" w:eastAsiaTheme="minorHAnsi" w:hAnsiTheme="minorHAnsi" w:cstheme="minorBidi"/>
      <w:sz w:val="20"/>
      <w:lang w:val="en-AU" w:eastAsia="en-US"/>
    </w:rPr>
  </w:style>
  <w:style w:type="character" w:customStyle="1" w:styleId="CommentTextChar">
    <w:name w:val="Comment Text Char"/>
    <w:basedOn w:val="DefaultParagraphFont"/>
    <w:link w:val="CommentText"/>
    <w:uiPriority w:val="99"/>
    <w:semiHidden/>
    <w:rsid w:val="00EB24D4"/>
    <w:rPr>
      <w:rFonts w:asciiTheme="minorHAnsi" w:eastAsiaTheme="minorHAnsi" w:hAnsiTheme="minorHAnsi" w:cstheme="minorBidi"/>
      <w:lang w:val="en-AU" w:eastAsia="en-US"/>
    </w:rPr>
  </w:style>
  <w:style w:type="character" w:styleId="FollowedHyperlink">
    <w:name w:val="FollowedHyperlink"/>
    <w:basedOn w:val="DefaultParagraphFont"/>
    <w:semiHidden/>
    <w:unhideWhenUsed/>
    <w:rsid w:val="00A70174"/>
    <w:rPr>
      <w:color w:val="800080" w:themeColor="followedHyperlink"/>
      <w:u w:val="single"/>
    </w:rPr>
  </w:style>
  <w:style w:type="paragraph" w:styleId="FootnoteText">
    <w:name w:val="footnote text"/>
    <w:basedOn w:val="Normal"/>
    <w:link w:val="FootnoteTextChar"/>
    <w:semiHidden/>
    <w:unhideWhenUsed/>
    <w:rsid w:val="00D33F1D"/>
    <w:rPr>
      <w:sz w:val="20"/>
    </w:rPr>
  </w:style>
  <w:style w:type="character" w:customStyle="1" w:styleId="FootnoteTextChar">
    <w:name w:val="Footnote Text Char"/>
    <w:basedOn w:val="DefaultParagraphFont"/>
    <w:link w:val="FootnoteText"/>
    <w:semiHidden/>
    <w:rsid w:val="00D33F1D"/>
    <w:rPr>
      <w:rFonts w:ascii="Arial" w:hAnsi="Arial"/>
    </w:rPr>
  </w:style>
  <w:style w:type="character" w:styleId="FootnoteReference">
    <w:name w:val="footnote reference"/>
    <w:basedOn w:val="DefaultParagraphFont"/>
    <w:semiHidden/>
    <w:unhideWhenUsed/>
    <w:rsid w:val="00D33F1D"/>
    <w:rPr>
      <w:vertAlign w:val="superscript"/>
    </w:rPr>
  </w:style>
  <w:style w:type="paragraph" w:styleId="CommentSubject">
    <w:name w:val="annotation subject"/>
    <w:basedOn w:val="CommentText"/>
    <w:next w:val="CommentText"/>
    <w:link w:val="CommentSubjectChar"/>
    <w:semiHidden/>
    <w:unhideWhenUsed/>
    <w:rsid w:val="001F2926"/>
    <w:pPr>
      <w:spacing w:after="0"/>
    </w:pPr>
    <w:rPr>
      <w:rFonts w:ascii="Arial" w:eastAsia="Times New Roman" w:hAnsi="Arial" w:cs="Times New Roman"/>
      <w:b/>
      <w:bCs/>
      <w:lang w:val="de-DE" w:eastAsia="de-DE"/>
    </w:rPr>
  </w:style>
  <w:style w:type="character" w:customStyle="1" w:styleId="CommentSubjectChar">
    <w:name w:val="Comment Subject Char"/>
    <w:basedOn w:val="CommentTextChar"/>
    <w:link w:val="CommentSubject"/>
    <w:semiHidden/>
    <w:rsid w:val="001F2926"/>
    <w:rPr>
      <w:rFonts w:ascii="Arial" w:eastAsiaTheme="minorHAnsi" w:hAnsi="Arial" w:cstheme="minorBidi"/>
      <w:b/>
      <w:bCs/>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233407">
      <w:bodyDiv w:val="1"/>
      <w:marLeft w:val="0"/>
      <w:marRight w:val="0"/>
      <w:marTop w:val="0"/>
      <w:marBottom w:val="0"/>
      <w:divBdr>
        <w:top w:val="none" w:sz="0" w:space="0" w:color="auto"/>
        <w:left w:val="none" w:sz="0" w:space="0" w:color="auto"/>
        <w:bottom w:val="none" w:sz="0" w:space="0" w:color="auto"/>
        <w:right w:val="none" w:sz="0" w:space="0" w:color="auto"/>
      </w:divBdr>
    </w:div>
    <w:div w:id="1775712244">
      <w:bodyDiv w:val="1"/>
      <w:marLeft w:val="0"/>
      <w:marRight w:val="0"/>
      <w:marTop w:val="0"/>
      <w:marBottom w:val="0"/>
      <w:divBdr>
        <w:top w:val="none" w:sz="0" w:space="0" w:color="auto"/>
        <w:left w:val="none" w:sz="0" w:space="0" w:color="auto"/>
        <w:bottom w:val="none" w:sz="0" w:space="0" w:color="auto"/>
        <w:right w:val="none" w:sz="0" w:space="0" w:color="auto"/>
      </w:divBdr>
    </w:div>
    <w:div w:id="208221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rwe.com"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rwe.com" TargetMode="Externa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ntent.legislation.vic.gov.au/sites/default/files/2020-03/20-010aa%20authorised.pdf" TargetMode="External"/><Relationship Id="rId2" Type="http://schemas.openxmlformats.org/officeDocument/2006/relationships/hyperlink" Target="https://prod-energycouncil.energy.slicedtech.com.au/sites/prod.energycouncil/files/ESB%20Interim%20REZ%20framework%20Stage%202%20consultation%20paper%20FINAL.pdf" TargetMode="External"/><Relationship Id="rId1" Type="http://schemas.openxmlformats.org/officeDocument/2006/relationships/hyperlink" Target="https://esb-post2025-market-design.aemc.gov.au/32572/1609802925-p2025-january-directions-paper.pdf" TargetMode="External"/><Relationship Id="rId6" Type="http://schemas.openxmlformats.org/officeDocument/2006/relationships/hyperlink" Target="https://www.aemc.gov.au/market-reviews-advice/coordination-generation-and-transmission-investment-implementation-access-and" TargetMode="External"/><Relationship Id="rId5" Type="http://schemas.openxmlformats.org/officeDocument/2006/relationships/hyperlink" Target="https://www.aer.gov.au/networks-pipelines/guidelines-schemes-models-reviews/regulation-of-large-transmission-projects" TargetMode="External"/><Relationship Id="rId4" Type="http://schemas.openxmlformats.org/officeDocument/2006/relationships/hyperlink" Target="https://www.legislation.nsw.gov.au/view/html/inforce/current/act-2020-044"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70586-E775-473A-B44D-E91E436DBF9B}">
  <ds:schemaRefs>
    <ds:schemaRef ds:uri="http://schemas.microsoft.com/sharepoint/v3/contenttype/forms"/>
  </ds:schemaRefs>
</ds:datastoreItem>
</file>

<file path=customXml/itemProps2.xml><?xml version="1.0" encoding="utf-8"?>
<ds:datastoreItem xmlns:ds="http://schemas.openxmlformats.org/officeDocument/2006/customXml" ds:itemID="{A8EF56EF-7128-4D6C-8258-4FAEB9C68FF4}"/>
</file>

<file path=customXml/itemProps3.xml><?xml version="1.0" encoding="utf-8"?>
<ds:datastoreItem xmlns:ds="http://schemas.openxmlformats.org/officeDocument/2006/customXml" ds:itemID="{3A1705D5-9AEB-4F3F-A324-F5A69077FA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5F184D-7329-429D-A0D4-F66F141CB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2796</Words>
  <Characters>15941</Characters>
  <Application>Microsoft Office Word</Application>
  <DocSecurity>0</DocSecurity>
  <Lines>132</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Geschäftsbrief</vt:lpstr>
      <vt:lpstr>Geschäftsbrief</vt:lpstr>
    </vt:vector>
  </TitlesOfParts>
  <Manager>Englisch</Manager>
  <Company>RWE IT GmbH</Company>
  <LinksUpToDate>false</LinksUpToDate>
  <CharactersWithSpaces>18700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Geschäftsbrief</dc:title>
  <dc:creator>Limbeck, Steffi van</dc:creator>
  <dc:description>mit wahlweise Firmenlogo</dc:description>
  <cp:lastModifiedBy>Dickie, Matthew</cp:lastModifiedBy>
  <cp:revision>2</cp:revision>
  <cp:lastPrinted>2020-06-30T14:01:00Z</cp:lastPrinted>
  <dcterms:created xsi:type="dcterms:W3CDTF">2021-02-15T01:44:00Z</dcterms:created>
  <dcterms:modified xsi:type="dcterms:W3CDTF">2021-02-15T01:44:00Z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ameVorstandsleiste">
    <vt:lpwstr>alle (en) Fußzeile (Std)</vt:lpwstr>
  </property>
  <property fmtid="{D5CDD505-2E9C-101B-9397-08002B2CF9AE}" pid="3" name="DatumOrgEinheit">
    <vt:lpwstr>13.09.2019 11:02:20</vt:lpwstr>
  </property>
  <property fmtid="{D5CDD505-2E9C-101B-9397-08002B2CF9AE}" pid="4" name="ContentTypeId">
    <vt:lpwstr>0x0101004629361C0924AB47A2B13393BFDF77C4</vt:lpwstr>
  </property>
</Properties>
</file>